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采区智能规划设计一体化方法与系统</w:t>
      </w:r>
    </w:p>
    <w:p>
      <w:pPr>
        <w:jc w:val="center"/>
      </w:pPr>
      <w:r>
        <w:rPr>
          <w:rFonts w:ascii="宋体" w:hAnsi="宋体" w:eastAsia="宋体"/>
          <w:sz w:val="22"/>
        </w:rPr>
        <w:t>作者：李杨，王楠，刘浩天（通信作者）</w:t>
      </w:r>
    </w:p>
    <w:p>
      <w:pPr>
        <w:jc w:val="center"/>
      </w:pPr>
      <w:r>
        <w:rPr>
          <w:rFonts w:ascii="宋体" w:hAnsi="宋体" w:eastAsia="宋体"/>
          <w:sz w:val="22"/>
        </w:rPr>
        <w:t>单位：中国矿业大学（北京）</w:t>
      </w:r>
    </w:p>
    <w:p>
      <w:pPr>
        <w:jc w:val="center"/>
      </w:pPr>
      <w:r>
        <w:rPr>
          <w:rFonts w:ascii="宋体" w:hAnsi="宋体" w:eastAsia="宋体"/>
          <w:sz w:val="22"/>
        </w:rPr>
        <w:t>基金项目：[待补充]</w:t>
      </w:r>
    </w:p>
    <w:p>
      <w:pPr>
        <w:jc w:val="center"/>
      </w:pPr>
      <w:r>
        <w:rPr>
          <w:rFonts w:ascii="宋体" w:hAnsi="宋体" w:eastAsia="宋体"/>
          <w:sz w:val="22"/>
        </w:rPr>
        <w:t>中图分类号：[待填写]</w:t>
      </w:r>
    </w:p>
    <w:p>
      <w:pPr>
        <w:jc w:val="center"/>
      </w:pPr>
      <w:r>
        <w:rPr>
          <w:rFonts w:ascii="宋体" w:hAnsi="宋体" w:eastAsia="宋体"/>
          <w:sz w:val="22"/>
        </w:rPr>
        <w:t>文献标志码：A</w:t>
      </w:r>
    </w:p>
    <w:p>
      <w:pPr>
        <w:spacing w:after="60"/>
      </w:pPr>
      <w:r>
        <w:rPr>
          <w:rFonts w:ascii="黑体" w:hAnsi="黑体" w:eastAsia="黑体"/>
          <w:b/>
          <w:sz w:val="21"/>
        </w:rPr>
        <w:t>摘要：</w:t>
      </w:r>
      <w:r>
        <w:rPr>
          <w:rFonts w:ascii="宋体" w:hAnsi="宋体" w:eastAsia="宋体"/>
          <w:sz w:val="21"/>
        </w:rPr>
        <w:t>针对采区规划设计中地质资料组织、风险约束表达、方案生成、采掘接续以及经济评价相互分离的问题，构建了采区智能规划设计一体化方法及其平台化实现框架。以多源数据标准化与项目快照机制为统一底座，将规划流程组织为参数场构建、多场景覆岩扰动指数（overburden disturbance index，ODI）表征、候选方案生成与多目标比选、接续组织以及经济闭环评价五个连续环节。在方法层面，离散钻孔样点通过插值计算转化为可直接参与规划求解的煤层连续参数场，地表下沉、含水层扰动和上行开采等风险场景通过统一 ODI 进入约束体系，候选方案围绕工程效率、资源回收和扰动控制进行综合筛选，并进一步映射到接续与净现值评价。在验证层面，基于版本化样例数据和接口结果的贯通分析表明，系统能够以 15 个钻孔样点为输入，稳定生成采区边界与钻孔分布图、煤层厚度插值热力图、工作面与巷道布局图以及扩展建模结果图，并输出 3 个工作面、11 条巷道的结构化设计结果。结果说明，所建方法链已具备从数据导入、参数场构建、风险组织、方案规划到成果导出的端到端组织能力，并能够将规划中间对象继续传递至后续接续与评价环节。当前证据主要用于证明方法链和对象链的贯通可行性，尚不足以支撑真实矿井条件下的优劣性结论，相关结论仍需通过实矿案例、参数标定和基线对照进一步验证。</w:t>
      </w:r>
    </w:p>
    <w:p>
      <w:pPr>
        <w:spacing w:after="60"/>
      </w:pPr>
      <w:r>
        <w:rPr>
          <w:rFonts w:ascii="黑体" w:hAnsi="黑体" w:eastAsia="黑体"/>
          <w:b/>
          <w:sz w:val="21"/>
        </w:rPr>
        <w:t>关键词：</w:t>
      </w:r>
      <w:r>
        <w:rPr>
          <w:rFonts w:ascii="宋体" w:hAnsi="宋体" w:eastAsia="宋体"/>
          <w:sz w:val="21"/>
        </w:rPr>
        <w:t>采区规划设计；智能采矿；一体化决策；覆岩扰动指数；多目标规划；采掘接续；经济评价。</w:t>
      </w:r>
    </w:p>
    <w:p>
      <w:pPr>
        <w:sectPr>
          <w:pgSz w:w="12240" w:h="15840"/>
          <w:pgMar w:top="1247" w:right="1077" w:bottom="1247" w:left="1077" w:header="720" w:footer="720" w:gutter="0"/>
          <w:cols w:space="425" w:num="1"/>
          <w:docGrid w:linePitch="360"/>
        </w:sectPr>
      </w:pPr>
    </w:p>
    <w:p>
      <w:pPr>
        <w:spacing w:before="120" w:after="60"/>
      </w:pPr>
      <w:r>
        <w:rPr>
          <w:rFonts w:ascii="黑体" w:hAnsi="黑体" w:eastAsia="黑体"/>
          <w:b/>
          <w:sz w:val="26"/>
        </w:rPr>
        <w:t>0 引言</w:t>
      </w:r>
    </w:p>
    <w:p>
      <w:pPr>
        <w:spacing w:after="40"/>
        <w:ind w:firstLine="420"/>
      </w:pPr>
      <w:r>
        <w:rPr>
          <w:rFonts w:ascii="宋体" w:hAnsi="宋体" w:eastAsia="宋体"/>
          <w:sz w:val="21"/>
        </w:rPr>
        <w:t>采区规划设计位于煤矿技术决策链前端，其结果直接影响工作面布置、巷道工程量、资源回收率、生产接续组织以及投资收益水平。随着煤矿智能化建设由单点装备和局部环节应用转向平台化集成，采区规划已不再是单纯的平面布置问题，而逐步演化为涉及地质建模、风险约束、方案比选、接续组织和经济评价的复合决策问题</w:t>
      </w:r>
      <w:r>
        <w:rPr>
          <w:rFonts w:ascii="宋体" w:hAnsi="宋体" w:eastAsia="宋体"/>
          <w:sz w:val="16"/>
          <w:vertAlign w:val="superscript"/>
        </w:rPr>
        <w:t>[</w:t>
      </w:r>
      <w:hyperlink w:anchor="ref-1">
        <w:r>
          <w:rPr>
            <w:color w:val="000000"/>
            <w:vertAlign w:val="superscript"/>
          </w:rPr>
          <w:t>1</w:t>
        </w:r>
      </w:hyperlink>
      <w:r>
        <w:rPr>
          <w:rFonts w:ascii="宋体" w:hAnsi="宋体" w:eastAsia="宋体"/>
          <w:sz w:val="16"/>
          <w:vertAlign w:val="superscript"/>
        </w:rPr>
        <w:t>-</w:t>
      </w:r>
      <w:hyperlink w:anchor="ref-3">
        <w:r>
          <w:rPr>
            <w:color w:val="000000"/>
            <w:vertAlign w:val="superscript"/>
          </w:rPr>
          <w:t>3</w:t>
        </w:r>
      </w:hyperlink>
      <w:r>
        <w:rPr>
          <w:rFonts w:ascii="宋体" w:hAnsi="宋体" w:eastAsia="宋体"/>
          <w:sz w:val="16"/>
          <w:vertAlign w:val="superscript"/>
        </w:rPr>
        <w:t>]</w:t>
      </w:r>
      <w:r>
        <w:rPr>
          <w:rFonts w:ascii="宋体" w:hAnsi="宋体" w:eastAsia="宋体"/>
          <w:sz w:val="21"/>
        </w:rPr>
        <w:t>。然而在现有工程实践中，边界与钻孔资料、参数场构建、风险分析、方案布局以及经济评价往往分散在不同软件与表格环境中，导致数据重复整理、方案迭代周期偏长，并削弱了中间结果在后续环节中的可复用性。</w:t>
      </w:r>
    </w:p>
    <w:p>
      <w:pPr>
        <w:spacing w:after="40"/>
        <w:ind w:firstLine="420"/>
      </w:pPr>
      <w:r>
        <w:rPr>
          <w:rFonts w:ascii="宋体" w:hAnsi="宋体" w:eastAsia="宋体"/>
          <w:sz w:val="21"/>
        </w:rPr>
        <w:t>围绕覆岩扰动、地表沉陷和含水层受损等问题，国内外学者已从采动应力重分布、裂隙演化规律、导水裂隙带发育以及沉陷预测等角度开展了大量研究</w:t>
      </w:r>
      <w:r>
        <w:rPr>
          <w:rFonts w:ascii="宋体" w:hAnsi="宋体" w:eastAsia="宋体"/>
          <w:sz w:val="16"/>
          <w:vertAlign w:val="superscript"/>
        </w:rPr>
        <w:t>[</w:t>
      </w:r>
      <w:hyperlink w:anchor="ref-4">
        <w:r>
          <w:rPr>
            <w:color w:val="000000"/>
            <w:vertAlign w:val="superscript"/>
          </w:rPr>
          <w:t>4</w:t>
        </w:r>
      </w:hyperlink>
      <w:r>
        <w:rPr>
          <w:rFonts w:ascii="宋体" w:hAnsi="宋体" w:eastAsia="宋体"/>
          <w:sz w:val="16"/>
          <w:vertAlign w:val="superscript"/>
        </w:rPr>
        <w:t>-</w:t>
      </w:r>
      <w:hyperlink w:anchor="ref-10">
        <w:r>
          <w:rPr>
            <w:color w:val="000000"/>
            <w:vertAlign w:val="superscript"/>
          </w:rPr>
          <w:t>10</w:t>
        </w:r>
      </w:hyperlink>
      <w:r>
        <w:rPr>
          <w:rFonts w:ascii="宋体" w:hAnsi="宋体" w:eastAsia="宋体"/>
          <w:sz w:val="16"/>
          <w:vertAlign w:val="superscript"/>
        </w:rPr>
        <w:t>]</w:t>
      </w:r>
      <w:r>
        <w:rPr>
          <w:rFonts w:ascii="宋体" w:hAnsi="宋体" w:eastAsia="宋体"/>
          <w:sz w:val="21"/>
        </w:rPr>
        <w:t>。这些研究为采区规划中的风险识别提供了重要理论支撑，但多数工作仍集中于单一场景或单一指标，尚缺乏可同时支撑地表下沉、含水层扰动和上行开采等多场景决策的统一风险表征框架。与此同时，地下采场布局优化、多目标规划和生产调度方面的研究已证明候选方案生成与多目标排序在矿山决策中具有明显优势</w:t>
      </w:r>
      <w:r>
        <w:rPr>
          <w:rFonts w:ascii="宋体" w:hAnsi="宋体" w:eastAsia="宋体"/>
          <w:sz w:val="16"/>
          <w:vertAlign w:val="superscript"/>
        </w:rPr>
        <w:t>[</w:t>
      </w:r>
      <w:hyperlink w:anchor="ref-11">
        <w:r>
          <w:rPr>
            <w:color w:val="000000"/>
            <w:vertAlign w:val="superscript"/>
          </w:rPr>
          <w:t>11</w:t>
        </w:r>
      </w:hyperlink>
      <w:r>
        <w:rPr>
          <w:rFonts w:ascii="宋体" w:hAnsi="宋体" w:eastAsia="宋体"/>
          <w:sz w:val="16"/>
          <w:vertAlign w:val="superscript"/>
        </w:rPr>
        <w:t>-</w:t>
      </w:r>
      <w:hyperlink w:anchor="ref-15">
        <w:r>
          <w:rPr>
            <w:color w:val="000000"/>
            <w:vertAlign w:val="superscript"/>
          </w:rPr>
          <w:t>15</w:t>
        </w:r>
      </w:hyperlink>
      <w:r>
        <w:rPr>
          <w:rFonts w:ascii="宋体" w:hAnsi="宋体" w:eastAsia="宋体"/>
          <w:sz w:val="16"/>
          <w:vertAlign w:val="superscript"/>
        </w:rPr>
        <w:t>]</w:t>
      </w:r>
      <w:r>
        <w:rPr>
          <w:rFonts w:ascii="宋体" w:hAnsi="宋体" w:eastAsia="宋体"/>
          <w:sz w:val="21"/>
        </w:rPr>
        <w:t>，但规划结果与后续接续、经济评价之间仍然存在断裂。</w:t>
      </w:r>
    </w:p>
    <w:p>
      <w:pPr>
        <w:spacing w:after="40"/>
        <w:ind w:firstLine="420"/>
      </w:pPr>
      <w:r>
        <w:rPr>
          <w:rFonts w:ascii="宋体" w:hAnsi="宋体" w:eastAsia="宋体"/>
          <w:sz w:val="21"/>
        </w:rPr>
        <w:t>数字孪生和地质建模技术的发展，使得边界、钻孔、分层及生产状态能够在统一数据空间中组织和维护</w:t>
      </w:r>
      <w:r>
        <w:rPr>
          <w:rFonts w:ascii="宋体" w:hAnsi="宋体" w:eastAsia="宋体"/>
          <w:sz w:val="16"/>
          <w:vertAlign w:val="superscript"/>
        </w:rPr>
        <w:t>[</w:t>
      </w:r>
      <w:hyperlink w:anchor="ref-16">
        <w:r>
          <w:rPr>
            <w:color w:val="000000"/>
            <w:vertAlign w:val="superscript"/>
          </w:rPr>
          <w:t>16</w:t>
        </w:r>
      </w:hyperlink>
      <w:r>
        <w:rPr>
          <w:rFonts w:ascii="宋体" w:hAnsi="宋体" w:eastAsia="宋体"/>
          <w:sz w:val="16"/>
          <w:vertAlign w:val="superscript"/>
        </w:rPr>
        <w:t>-</w:t>
      </w:r>
      <w:hyperlink w:anchor="ref-18">
        <w:r>
          <w:rPr>
            <w:color w:val="000000"/>
            <w:vertAlign w:val="superscript"/>
          </w:rPr>
          <w:t>18</w:t>
        </w:r>
      </w:hyperlink>
      <w:r>
        <w:rPr>
          <w:rFonts w:ascii="宋体" w:hAnsi="宋体" w:eastAsia="宋体"/>
          <w:sz w:val="16"/>
          <w:vertAlign w:val="superscript"/>
        </w:rPr>
        <w:t>]</w:t>
      </w:r>
      <w:r>
        <w:rPr>
          <w:rFonts w:ascii="宋体" w:hAnsi="宋体" w:eastAsia="宋体"/>
          <w:sz w:val="21"/>
        </w:rPr>
        <w:t>；矿山项目经济评价研究也逐步从静态收益核算拓展到风险约束下的现金流分析</w:t>
      </w:r>
      <w:r>
        <w:rPr>
          <w:rFonts w:ascii="宋体" w:hAnsi="宋体" w:eastAsia="宋体"/>
          <w:sz w:val="16"/>
          <w:vertAlign w:val="superscript"/>
        </w:rPr>
        <w:t>[</w:t>
      </w:r>
      <w:hyperlink w:anchor="ref-19">
        <w:r>
          <w:rPr>
            <w:color w:val="000000"/>
            <w:vertAlign w:val="superscript"/>
          </w:rPr>
          <w:t>19</w:t>
        </w:r>
      </w:hyperlink>
      <w:r>
        <w:rPr>
          <w:rFonts w:ascii="宋体" w:hAnsi="宋体" w:eastAsia="宋体"/>
          <w:sz w:val="16"/>
          <w:vertAlign w:val="superscript"/>
        </w:rPr>
        <w:t>-</w:t>
      </w:r>
      <w:hyperlink w:anchor="ref-21">
        <w:r>
          <w:rPr>
            <w:color w:val="000000"/>
            <w:vertAlign w:val="superscript"/>
          </w:rPr>
          <w:t>21</w:t>
        </w:r>
      </w:hyperlink>
      <w:r>
        <w:rPr>
          <w:rFonts w:ascii="宋体" w:hAnsi="宋体" w:eastAsia="宋体"/>
          <w:sz w:val="16"/>
          <w:vertAlign w:val="superscript"/>
        </w:rPr>
        <w:t>]</w:t>
      </w:r>
      <w:r>
        <w:rPr>
          <w:rFonts w:ascii="宋体" w:hAnsi="宋体" w:eastAsia="宋体"/>
          <w:sz w:val="21"/>
        </w:rPr>
        <w:t>。但现有研究在“地质模型如何进入规划约束”“风险场如何参与方案比选”“规划结果如何继续传递到接续和经济评价”这三个关键问题上，仍缺少面向采区规划设计的一体化方法链。</w:t>
      </w:r>
    </w:p>
    <w:p>
      <w:pPr>
        <w:spacing w:after="40"/>
        <w:ind w:firstLine="420"/>
      </w:pPr>
      <w:r>
        <w:rPr>
          <w:rFonts w:ascii="宋体" w:hAnsi="宋体" w:eastAsia="宋体"/>
          <w:sz w:val="21"/>
        </w:rPr>
        <w:t>基于上述问题，围绕采区规划设计流程割裂与结果难以贯通的现实需求，提出采区智能规划设计一体化方法，并以已有平台系统为载体开展样例级验证。研究重点在于回答三个相互关联的问题：离散地质信息如何以连续参数场形式进入规划约束，跨场景覆岩扰动风险如何在统一尺度下组织并参与方案比选，以及空间布局结果如何继续传递到接续与经济评价环节。相应地，本文的主要工作包括：构建覆盖参数场、风险表征、方案规划、接续组织和经济评价的一体化方法链；建立面向地表下沉、含水层扰动和上行开采的多场景 ODI 风险组织框架；在现有样例数据条件下完成端到端贯通验证，并明确给出当前证据边界，为后续敏东矿案例扩展和基线对照研究提供统一方法基础。</w:t>
      </w:r>
    </w:p>
    <w:p>
      <w:pPr>
        <w:spacing w:before="120" w:after="60"/>
      </w:pPr>
      <w:r>
        <w:rPr>
          <w:rFonts w:ascii="黑体" w:hAnsi="黑体" w:eastAsia="黑体"/>
          <w:b/>
          <w:sz w:val="26"/>
        </w:rPr>
        <w:t>1 系统边界与总体架构</w:t>
      </w:r>
    </w:p>
    <w:p>
      <w:pPr>
        <w:spacing w:before="120" w:after="60"/>
      </w:pPr>
      <w:r>
        <w:rPr>
          <w:rFonts w:ascii="宋体" w:hAnsi="宋体" w:eastAsia="宋体"/>
          <w:b/>
          <w:sz w:val="22"/>
        </w:rPr>
        <w:t>1.1 研究对象与输入输出边界</w:t>
      </w:r>
    </w:p>
    <w:p>
      <w:pPr>
        <w:spacing w:after="40"/>
        <w:ind w:firstLine="420"/>
      </w:pPr>
      <w:r>
        <w:rPr>
          <w:rFonts w:ascii="宋体" w:hAnsi="宋体" w:eastAsia="宋体"/>
          <w:sz w:val="21"/>
        </w:rPr>
        <w:t>本文研究对象并非单一的布局算法，而是面向采区规划设计的一体化方法及其平台化实现。输入对象包括采区边界、钻孔坐标、钻孔属性及相关设计参数，输出对象包括连续参数场、候选规划方案、工作面与巷道几何结果、接续组织结果、经济评价指标以及图件和结构化导出文件。结合当前系统能力与证据边界，本文重点论证样例级链路贯通能力，而不将现有结果外推为真实矿井条件下的普适最优结论。</w:t>
      </w:r>
    </w:p>
    <w:p>
      <w:pPr>
        <w:sectPr>
          <w:type w:val="continuous"/>
          <w:pgSz w:w="12240" w:h="15840"/>
          <w:pgMar w:top="1247" w:right="1077" w:bottom="1247" w:left="1077" w:header="720" w:footer="720" w:gutter="0"/>
          <w:cols w:space="425" w:num="2"/>
          <w:docGrid w:linePitch="360"/>
        </w:sectPr>
      </w:pPr>
    </w:p>
    <w:p>
      <w:pPr>
        <w:spacing w:after="40"/>
        <w:jc w:val="center"/>
      </w:pPr>
      <w:r>
        <w:rPr>
          <w:rFonts w:ascii="宋体" w:hAnsi="宋体" w:eastAsia="宋体"/>
          <w:b w:val="0"/>
          <w:sz w:val="20"/>
        </w:rPr>
        <w:t>表1 研究对象的输入输出与适用边界</w:t>
      </w:r>
    </w:p>
    <w:p>
      <w:pPr>
        <w:spacing w:after="40"/>
        <w:jc w:val="center"/>
      </w:pPr>
      <w:r>
        <w:rPr>
          <w:rFonts w:ascii="宋体" w:hAnsi="宋体" w:eastAsia="宋体"/>
          <w:b w:val="0"/>
          <w:sz w:val="20"/>
        </w:rPr>
        <w:t>Table 1 Input, output and applicability boundary of the research object</w:t>
      </w:r>
    </w:p>
    <w:tbl>
      <w:tblPr>
        <w:tblW w:type="auto" w:w="0"/>
        <w:tblLayout w:type="fixed"/>
        <w:tblLook w:firstColumn="1" w:firstRow="1" w:lastColumn="0" w:lastRow="0" w:noHBand="0" w:noVBand="1" w:val="04A0"/>
      </w:tblPr>
      <w:tblGrid>
        <w:gridCol w:w="2521"/>
        <w:gridCol w:w="2521"/>
        <w:gridCol w:w="2521"/>
        <w:gridCol w:w="2521"/>
      </w:tblGrid>
      <w:tr>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类别</w:t>
            </w:r>
          </w:p>
        </w:tc>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内容</w:t>
            </w:r>
          </w:p>
        </w:tc>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当前证据状态</w:t>
            </w:r>
          </w:p>
        </w:tc>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论文口径</w:t>
            </w:r>
          </w:p>
        </w:tc>
      </w:tr>
      <w:tr>
        <w:tc>
          <w:tcPr>
            <w:tcW w:type="dxa" w:w="2521"/>
            <w:tcBorders>
              <w:top w:val="nil"/>
              <w:left w:val="nil"/>
              <w:bottom w:val="nil"/>
              <w:right w:val="nil"/>
            </w:tcBorders>
          </w:tcPr>
          <w:p>
            <w:pPr>
              <w:spacing w:after="0" w:before="0"/>
              <w:jc w:val="center"/>
            </w:pPr>
            <w:r>
              <w:rPr>
                <w:rFonts w:ascii="宋体" w:hAnsi="宋体" w:eastAsia="宋体"/>
                <w:sz w:val="18"/>
              </w:rPr>
              <w:t>输入</w:t>
            </w:r>
          </w:p>
        </w:tc>
        <w:tc>
          <w:tcPr>
            <w:tcW w:type="dxa" w:w="2521"/>
            <w:tcBorders>
              <w:top w:val="nil"/>
              <w:left w:val="nil"/>
              <w:bottom w:val="nil"/>
              <w:right w:val="nil"/>
            </w:tcBorders>
          </w:tcPr>
          <w:p>
            <w:pPr>
              <w:spacing w:after="0" w:before="0"/>
              <w:jc w:val="center"/>
            </w:pPr>
            <w:r>
              <w:rPr>
                <w:rFonts w:ascii="宋体" w:hAnsi="宋体" w:eastAsia="宋体"/>
                <w:sz w:val="18"/>
              </w:rPr>
              <w:t>采区边界、15 个钻孔样点、分层与设计参数</w:t>
            </w:r>
          </w:p>
        </w:tc>
        <w:tc>
          <w:tcPr>
            <w:tcW w:type="dxa" w:w="2521"/>
            <w:tcBorders>
              <w:top w:val="nil"/>
              <w:left w:val="nil"/>
              <w:bottom w:val="nil"/>
              <w:right w:val="nil"/>
            </w:tcBorders>
          </w:tcPr>
          <w:p>
            <w:pPr>
              <w:spacing w:after="0" w:before="0"/>
              <w:jc w:val="center"/>
            </w:pPr>
            <w:r>
              <w:rPr>
                <w:rFonts w:ascii="宋体" w:hAnsi="宋体" w:eastAsia="宋体"/>
                <w:sz w:val="18"/>
              </w:rPr>
              <w:t>已有样例数据</w:t>
            </w:r>
          </w:p>
        </w:tc>
        <w:tc>
          <w:tcPr>
            <w:tcW w:type="dxa" w:w="2521"/>
            <w:tcBorders>
              <w:top w:val="nil"/>
              <w:left w:val="nil"/>
              <w:bottom w:val="nil"/>
              <w:right w:val="nil"/>
            </w:tcBorders>
          </w:tcPr>
          <w:p>
            <w:pPr>
              <w:spacing w:after="0" w:before="0"/>
              <w:jc w:val="center"/>
            </w:pPr>
            <w:r>
              <w:rPr>
                <w:rFonts w:ascii="宋体" w:hAnsi="宋体" w:eastAsia="宋体"/>
                <w:sz w:val="18"/>
              </w:rPr>
              <w:t>可作为样例级验证输入</w:t>
            </w:r>
          </w:p>
        </w:tc>
      </w:tr>
      <w:tr>
        <w:tc>
          <w:tcPr>
            <w:tcW w:type="dxa" w:w="2521"/>
            <w:tcBorders>
              <w:top w:val="nil"/>
              <w:left w:val="nil"/>
              <w:bottom w:val="nil"/>
              <w:right w:val="nil"/>
            </w:tcBorders>
          </w:tcPr>
          <w:p>
            <w:pPr>
              <w:spacing w:after="0" w:before="0"/>
              <w:jc w:val="center"/>
            </w:pPr>
            <w:r>
              <w:rPr>
                <w:rFonts w:ascii="宋体" w:hAnsi="宋体" w:eastAsia="宋体"/>
                <w:sz w:val="18"/>
              </w:rPr>
              <w:t>中间对象</w:t>
            </w:r>
          </w:p>
        </w:tc>
        <w:tc>
          <w:tcPr>
            <w:tcW w:type="dxa" w:w="2521"/>
            <w:tcBorders>
              <w:top w:val="nil"/>
              <w:left w:val="nil"/>
              <w:bottom w:val="nil"/>
              <w:right w:val="nil"/>
            </w:tcBorders>
          </w:tcPr>
          <w:p>
            <w:pPr>
              <w:spacing w:after="0" w:before="0"/>
              <w:jc w:val="center"/>
            </w:pPr>
            <w:r>
              <w:rPr>
                <w:rFonts w:ascii="宋体" w:hAnsi="宋体" w:eastAsia="宋体"/>
                <w:sz w:val="18"/>
              </w:rPr>
              <w:t>煤层厚度参数场、ODI 风险场、候选规划方案集</w:t>
            </w:r>
          </w:p>
        </w:tc>
        <w:tc>
          <w:tcPr>
            <w:tcW w:type="dxa" w:w="2521"/>
            <w:tcBorders>
              <w:top w:val="nil"/>
              <w:left w:val="nil"/>
              <w:bottom w:val="nil"/>
              <w:right w:val="nil"/>
            </w:tcBorders>
          </w:tcPr>
          <w:p>
            <w:pPr>
              <w:spacing w:after="0" w:before="0"/>
              <w:jc w:val="center"/>
            </w:pPr>
            <w:r>
              <w:rPr>
                <w:rFonts w:ascii="宋体" w:hAnsi="宋体" w:eastAsia="宋体"/>
                <w:sz w:val="18"/>
              </w:rPr>
              <w:t>已有代码与图件支撑</w:t>
            </w:r>
          </w:p>
        </w:tc>
        <w:tc>
          <w:tcPr>
            <w:tcW w:type="dxa" w:w="2521"/>
            <w:tcBorders>
              <w:top w:val="nil"/>
              <w:left w:val="nil"/>
              <w:bottom w:val="nil"/>
              <w:right w:val="nil"/>
            </w:tcBorders>
          </w:tcPr>
          <w:p>
            <w:pPr>
              <w:spacing w:after="0" w:before="0"/>
              <w:jc w:val="center"/>
            </w:pPr>
            <w:r>
              <w:rPr>
                <w:rFonts w:ascii="宋体" w:hAnsi="宋体" w:eastAsia="宋体"/>
                <w:sz w:val="18"/>
              </w:rPr>
              <w:t>可作为方法链中间证据</w:t>
            </w:r>
          </w:p>
        </w:tc>
      </w:tr>
      <w:tr>
        <w:tc>
          <w:tcPr>
            <w:tcW w:type="dxa" w:w="2521"/>
            <w:tcBorders>
              <w:top w:val="nil"/>
              <w:left w:val="nil"/>
              <w:bottom w:val="nil"/>
              <w:right w:val="nil"/>
            </w:tcBorders>
          </w:tcPr>
          <w:p>
            <w:pPr>
              <w:spacing w:after="0" w:before="0"/>
              <w:jc w:val="center"/>
            </w:pPr>
            <w:r>
              <w:rPr>
                <w:rFonts w:ascii="宋体" w:hAnsi="宋体" w:eastAsia="宋体"/>
                <w:sz w:val="18"/>
              </w:rPr>
              <w:t>输出</w:t>
            </w:r>
          </w:p>
        </w:tc>
        <w:tc>
          <w:tcPr>
            <w:tcW w:type="dxa" w:w="2521"/>
            <w:tcBorders>
              <w:top w:val="nil"/>
              <w:left w:val="nil"/>
              <w:bottom w:val="nil"/>
              <w:right w:val="nil"/>
            </w:tcBorders>
          </w:tcPr>
          <w:p>
            <w:pPr>
              <w:spacing w:after="0" w:before="0"/>
              <w:jc w:val="center"/>
            </w:pPr>
            <w:r>
              <w:rPr>
                <w:rFonts w:ascii="宋体" w:hAnsi="宋体" w:eastAsia="宋体"/>
                <w:sz w:val="18"/>
              </w:rPr>
              <w:t>3 个工作面、11 条巷道、接续与经济结果、图件与结构化文件</w:t>
            </w:r>
          </w:p>
        </w:tc>
        <w:tc>
          <w:tcPr>
            <w:tcW w:type="dxa" w:w="2521"/>
            <w:tcBorders>
              <w:top w:val="nil"/>
              <w:left w:val="nil"/>
              <w:bottom w:val="nil"/>
              <w:right w:val="nil"/>
            </w:tcBorders>
          </w:tcPr>
          <w:p>
            <w:pPr>
              <w:spacing w:after="0" w:before="0"/>
              <w:jc w:val="center"/>
            </w:pPr>
            <w:r>
              <w:rPr>
                <w:rFonts w:ascii="宋体" w:hAnsi="宋体" w:eastAsia="宋体"/>
                <w:sz w:val="18"/>
              </w:rPr>
              <w:t>已有接口结果支撑</w:t>
            </w:r>
          </w:p>
        </w:tc>
        <w:tc>
          <w:tcPr>
            <w:tcW w:type="dxa" w:w="2521"/>
            <w:tcBorders>
              <w:top w:val="nil"/>
              <w:left w:val="nil"/>
              <w:bottom w:val="nil"/>
              <w:right w:val="nil"/>
            </w:tcBorders>
          </w:tcPr>
          <w:p>
            <w:pPr>
              <w:spacing w:after="0" w:before="0"/>
              <w:jc w:val="center"/>
            </w:pPr>
            <w:r>
              <w:rPr>
                <w:rFonts w:ascii="宋体" w:hAnsi="宋体" w:eastAsia="宋体"/>
                <w:sz w:val="18"/>
              </w:rPr>
              <w:t>可作为链路贯通结果</w:t>
            </w:r>
          </w:p>
        </w:tc>
      </w:tr>
      <w:tr>
        <w:tc>
          <w:tcPr>
            <w:tcW w:type="dxa" w:w="2521"/>
            <w:tcBorders>
              <w:top w:val="nil"/>
              <w:left w:val="nil"/>
              <w:bottom w:val="single" w:sz="12" w:space="0" w:color="000000"/>
              <w:right w:val="nil"/>
            </w:tcBorders>
          </w:tcPr>
          <w:p>
            <w:pPr>
              <w:spacing w:after="0" w:before="0"/>
              <w:jc w:val="center"/>
            </w:pPr>
            <w:r>
              <w:rPr>
                <w:rFonts w:ascii="宋体" w:hAnsi="宋体" w:eastAsia="宋体"/>
                <w:sz w:val="18"/>
              </w:rPr>
              <w:t>暂不支持强结论</w:t>
            </w:r>
          </w:p>
        </w:tc>
        <w:tc>
          <w:tcPr>
            <w:tcW w:type="dxa" w:w="2521"/>
            <w:tcBorders>
              <w:top w:val="nil"/>
              <w:left w:val="nil"/>
              <w:bottom w:val="single" w:sz="12" w:space="0" w:color="000000"/>
              <w:right w:val="nil"/>
            </w:tcBorders>
          </w:tcPr>
          <w:p>
            <w:pPr>
              <w:spacing w:after="0" w:before="0"/>
              <w:jc w:val="center"/>
            </w:pPr>
            <w:r>
              <w:rPr>
                <w:rFonts w:ascii="宋体" w:hAnsi="宋体" w:eastAsia="宋体"/>
                <w:sz w:val="18"/>
              </w:rPr>
              <w:t>实矿参数标定、跨矿区泛化性能、GNN 高精度预测</w:t>
            </w:r>
          </w:p>
        </w:tc>
        <w:tc>
          <w:tcPr>
            <w:tcW w:type="dxa" w:w="2521"/>
            <w:tcBorders>
              <w:top w:val="nil"/>
              <w:left w:val="nil"/>
              <w:bottom w:val="single" w:sz="12" w:space="0" w:color="000000"/>
              <w:right w:val="nil"/>
            </w:tcBorders>
          </w:tcPr>
          <w:p>
            <w:pPr>
              <w:spacing w:after="0" w:before="0"/>
              <w:jc w:val="center"/>
            </w:pPr>
            <w:r>
              <w:rPr>
                <w:rFonts w:ascii="宋体" w:hAnsi="宋体" w:eastAsia="宋体"/>
                <w:sz w:val="18"/>
              </w:rPr>
              <w:t>证据不足</w:t>
            </w:r>
          </w:p>
        </w:tc>
        <w:tc>
          <w:tcPr>
            <w:tcW w:type="dxa" w:w="2521"/>
            <w:tcBorders>
              <w:top w:val="nil"/>
              <w:left w:val="nil"/>
              <w:bottom w:val="single" w:sz="12" w:space="0" w:color="000000"/>
              <w:right w:val="nil"/>
            </w:tcBorders>
          </w:tcPr>
          <w:p>
            <w:pPr>
              <w:spacing w:after="0" w:before="0"/>
              <w:jc w:val="center"/>
            </w:pPr>
            <w:r>
              <w:rPr>
                <w:rFonts w:ascii="宋体" w:hAnsi="宋体" w:eastAsia="宋体"/>
                <w:sz w:val="18"/>
              </w:rPr>
              <w:t>仅在讨论中说明后续工作</w:t>
            </w:r>
          </w:p>
        </w:tc>
      </w:tr>
    </w:tbl>
    <w:p>
      <w:pPr>
        <w:spacing w:before="120" w:after="60"/>
      </w:pPr>
      <w:r>
        <w:rPr>
          <w:rFonts w:ascii="宋体" w:hAnsi="宋体" w:eastAsia="宋体"/>
          <w:b/>
          <w:sz w:val="22"/>
        </w:rPr>
        <w:t>1.2 一体化方法总流程</w:t>
      </w:r>
    </w:p>
    <w:p>
      <w:pPr>
        <w:spacing w:after="40"/>
        <w:ind w:firstLine="420"/>
      </w:pPr>
      <w:r>
        <w:rPr>
          <w:rFonts w:ascii="宋体" w:hAnsi="宋体" w:eastAsia="宋体"/>
          <w:sz w:val="21"/>
        </w:rPr>
        <w:t>传统采区规划设计往往遵循“数据整理 - 初步布局 - 后置校核 - 人工修订”的串行流程，风险与经济评价通常在布局完成后才补充进入分析。本文构建的一体化方法则将数据标准化、参数场构建、风险表征、候选规划、接续组织与经济评价串联为连续闭环，使规划过程中的关键中间结果能够被后续环节直接复用，而不是在模块之间重复转换。</w:t>
      </w:r>
    </w:p>
    <w:p>
      <w:pPr>
        <w:sectPr>
          <w:type w:val="continuous"/>
          <w:pgSz w:w="12240" w:h="15840"/>
          <w:pgMar w:top="1247" w:right="1077" w:bottom="1247" w:left="1077" w:header="720" w:footer="720" w:gutter="0"/>
          <w:cols w:space="425" w:num="1"/>
          <w:docGrid w:linePitch="360"/>
        </w:sectPr>
      </w:pPr>
    </w:p>
    <w:p>
      <w:pPr>
        <w:spacing w:after="40"/>
        <w:jc w:val="center"/>
      </w:pPr>
      <w:r>
        <w:drawing>
          <wp:inline xmlns:a="http://schemas.openxmlformats.org/drawingml/2006/main" xmlns:pic="http://schemas.openxmlformats.org/drawingml/2006/picture">
            <wp:extent cx="5669280" cy="1628307"/>
            <wp:docPr id="1" name="Picture 1"/>
            <wp:cNvGraphicFramePr>
              <a:graphicFrameLocks noChangeAspect="1"/>
            </wp:cNvGraphicFramePr>
            <a:graphic>
              <a:graphicData uri="http://schemas.openxmlformats.org/drawingml/2006/picture">
                <pic:pic>
                  <pic:nvPicPr>
                    <pic:cNvPr id="0" name="图2_采区智能规划设计一体化方法总流程.png"/>
                    <pic:cNvPicPr/>
                  </pic:nvPicPr>
                  <pic:blipFill>
                    <a:blip r:embed="rId9"/>
                    <a:stretch>
                      <a:fillRect/>
                    </a:stretch>
                  </pic:blipFill>
                  <pic:spPr>
                    <a:xfrm>
                      <a:off x="0" y="0"/>
                      <a:ext cx="5669280" cy="1628307"/>
                    </a:xfrm>
                    <a:prstGeom prst="rect"/>
                  </pic:spPr>
                </pic:pic>
              </a:graphicData>
            </a:graphic>
          </wp:inline>
        </w:drawing>
      </w:r>
    </w:p>
    <w:p>
      <w:pPr>
        <w:spacing w:after="40"/>
        <w:jc w:val="center"/>
      </w:pPr>
      <w:r>
        <w:rPr>
          <w:rFonts w:ascii="宋体" w:hAnsi="宋体" w:eastAsia="宋体"/>
          <w:b w:val="0"/>
          <w:sz w:val="20"/>
        </w:rPr>
        <w:t>图1 采区智能规划设计一体化方法总流程</w:t>
      </w:r>
    </w:p>
    <w:p>
      <w:pPr>
        <w:spacing w:after="40"/>
        <w:ind w:firstLine="420"/>
      </w:pPr>
      <w:r>
        <w:rPr>
          <w:rFonts w:ascii="宋体" w:hAnsi="宋体" w:eastAsia="宋体"/>
          <w:sz w:val="21"/>
        </w:rPr>
        <w:t>图1表明，一体化方法的核心不在于增加单一功能模块，而在于将原本分散的输入、建模、决策和评价链路统一到同一工作流中。由此，参数场构建、风险约束组织、多模式规划以及闭环评价能够在同一对象体系内顺序展开并共享中间结果。</w:t>
      </w:r>
    </w:p>
    <w:p>
      <w:pPr>
        <w:spacing w:before="120" w:after="60"/>
      </w:pPr>
      <w:r>
        <w:rPr>
          <w:rFonts w:ascii="宋体" w:hAnsi="宋体" w:eastAsia="宋体"/>
          <w:b/>
          <w:sz w:val="22"/>
        </w:rPr>
        <w:t>1.3 数据-模型-决策分层架构</w:t>
      </w:r>
    </w:p>
    <w:p>
      <w:pPr>
        <w:spacing w:after="40"/>
        <w:ind w:firstLine="420"/>
      </w:pPr>
      <w:r>
        <w:rPr>
          <w:rFonts w:ascii="宋体" w:hAnsi="宋体" w:eastAsia="宋体"/>
          <w:sz w:val="21"/>
        </w:rPr>
        <w:t>从实现结构上看，现有平台可抽象为数据与项目管理层、模型与分析层、规划与决策层以及输出与交付层。数据层负责边界、钻孔、参数和项目状态的统一组织；模型层负责参数场构建、风险场计算与扩展建模；规划层负责候选方案生成、接续组织和经济评价；输出层负责图件、结构化结果及 CAD 导出。这种分层方式强调的是工程对象在不同环节之间的可传递关系，而非技术栈本身的堆叠。</w:t>
      </w:r>
    </w:p>
    <w:p>
      <w:pPr>
        <w:sectPr>
          <w:type w:val="continuous"/>
          <w:pgSz w:w="12240" w:h="15840"/>
          <w:pgMar w:top="1247" w:right="1077" w:bottom="1247" w:left="1077" w:header="720" w:footer="720" w:gutter="0"/>
          <w:cols w:space="425" w:num="1"/>
          <w:docGrid w:linePitch="360"/>
        </w:sectPr>
      </w:pPr>
    </w:p>
    <w:p>
      <w:pPr>
        <w:spacing w:after="40"/>
        <w:jc w:val="center"/>
      </w:pPr>
      <w:r>
        <w:drawing>
          <wp:inline xmlns:a="http://schemas.openxmlformats.org/drawingml/2006/main" xmlns:pic="http://schemas.openxmlformats.org/drawingml/2006/picture">
            <wp:extent cx="5669280" cy="2834640"/>
            <wp:docPr id="2" name="Picture 2"/>
            <wp:cNvGraphicFramePr>
              <a:graphicFrameLocks noChangeAspect="1"/>
            </wp:cNvGraphicFramePr>
            <a:graphic>
              <a:graphicData uri="http://schemas.openxmlformats.org/drawingml/2006/picture">
                <pic:pic>
                  <pic:nvPicPr>
                    <pic:cNvPr id="0" name="图3_数据模型决策分层架构图.png"/>
                    <pic:cNvPicPr/>
                  </pic:nvPicPr>
                  <pic:blipFill>
                    <a:blip r:embed="rId10"/>
                    <a:stretch>
                      <a:fillRect/>
                    </a:stretch>
                  </pic:blipFill>
                  <pic:spPr>
                    <a:xfrm>
                      <a:off x="0" y="0"/>
                      <a:ext cx="5669280" cy="2834640"/>
                    </a:xfrm>
                    <a:prstGeom prst="rect"/>
                  </pic:spPr>
                </pic:pic>
              </a:graphicData>
            </a:graphic>
          </wp:inline>
        </w:drawing>
      </w:r>
    </w:p>
    <w:p>
      <w:pPr>
        <w:spacing w:after="40"/>
        <w:jc w:val="center"/>
      </w:pPr>
      <w:r>
        <w:rPr>
          <w:rFonts w:ascii="宋体" w:hAnsi="宋体" w:eastAsia="宋体"/>
          <w:b w:val="0"/>
          <w:sz w:val="20"/>
        </w:rPr>
        <w:t>图2 数据-模型-决策分层架构图</w:t>
      </w:r>
    </w:p>
    <w:p>
      <w:pPr>
        <w:spacing w:after="40"/>
        <w:ind w:firstLine="420"/>
      </w:pPr>
      <w:r>
        <w:rPr>
          <w:rFonts w:ascii="宋体" w:hAnsi="宋体" w:eastAsia="宋体"/>
          <w:sz w:val="21"/>
        </w:rPr>
        <w:t>图2所示分层架构表明，平台价值主要体现在跨层数据复用与结果传递，而不是某一孤立模块的功能罗列。这一结构也是后文按“参数场 - 风险场 - 候选方案 - 接续 - 经济评价”逻辑展开方法论述的基础。</w:t>
      </w:r>
    </w:p>
    <w:p>
      <w:pPr>
        <w:spacing w:before="120" w:after="60"/>
      </w:pPr>
      <w:r>
        <w:rPr>
          <w:rFonts w:ascii="黑体" w:hAnsi="黑体" w:eastAsia="黑体"/>
          <w:b/>
          <w:sz w:val="26"/>
        </w:rPr>
        <w:t>2 关键方法</w:t>
      </w:r>
    </w:p>
    <w:p>
      <w:pPr>
        <w:spacing w:before="120" w:after="60"/>
      </w:pPr>
      <w:r>
        <w:rPr>
          <w:rFonts w:ascii="宋体" w:hAnsi="宋体" w:eastAsia="宋体"/>
          <w:b/>
          <w:sz w:val="22"/>
        </w:rPr>
        <w:t>2.1 多源数据标准化与参数场构建</w:t>
      </w:r>
    </w:p>
    <w:p>
      <w:pPr>
        <w:spacing w:after="40"/>
        <w:ind w:firstLine="420"/>
      </w:pPr>
      <w:r>
        <w:rPr>
          <w:rFonts w:ascii="宋体" w:hAnsi="宋体" w:eastAsia="宋体"/>
          <w:sz w:val="21"/>
        </w:rPr>
        <w:t>采区规划设计的首要难点在于，边界、钻孔、分层和设计参数天然具有异构性。为使这些对象能够进入统一的规划过程，本文首先将其映射为统一项目上下文中的结构化输入集合</w:t>
      </w:r>
      <m:oMath>
        <m:r>
          <m:t>𝒳</m:t>
        </m:r>
      </m:oMath>
      <w:r>
        <w:rPr>
          <w:rFonts w:ascii="宋体" w:hAnsi="宋体" w:eastAsia="宋体"/>
          <w:sz w:val="21"/>
        </w:rPr>
        <w:t>，并通过项目快照机制保持不同轮次试算之间的状态连续性。该处理方式使地质信息、风险参数和规划结果能够在同一项目内持续传递，而非依赖人工重复整理。</w:t>
      </w:r>
    </w:p>
    <w:p>
      <w:pPr>
        <w:spacing w:after="40"/>
        <w:ind w:firstLine="420"/>
      </w:pPr>
      <w:r>
        <w:rPr>
          <w:rFonts w:ascii="宋体" w:hAnsi="宋体" w:eastAsia="宋体"/>
          <w:sz w:val="21"/>
        </w:rPr>
        <w:t>在连续参数场构建方面，系统采用以钻孔样点为基础的插值策略，将离散样点转化为规划域上的连续空间信息。对给定样点集合</w:t>
      </w:r>
      <m:oMath>
        <m:d>
          <m:dPr>
            <m:begChr m:val="{"/>
            <m:sepChr m:val=""/>
            <m:endChr m:val=""/>
          </m:dPr>
          <m:e>
            <m:r>
              <m:t>(</m:t>
            </m:r>
            <m:sSub>
              <m:e>
                <m:r>
                  <m:t>x</m:t>
                </m:r>
              </m:e>
              <m:sub>
                <m:r>
                  <m:t>i</m:t>
                </m:r>
              </m:sub>
            </m:sSub>
            <m:r>
              <m:t>,</m:t>
            </m:r>
            <m:sSub>
              <m:e>
                <m:r>
                  <m:t>y</m:t>
                </m:r>
              </m:e>
              <m:sub>
                <m:r>
                  <m:t>i</m:t>
                </m:r>
              </m:sub>
            </m:sSub>
            <m:r>
              <m:t>,</m:t>
            </m:r>
            <m:sSub>
              <m:e>
                <m:r>
                  <m:t>z</m:t>
                </m:r>
              </m:e>
              <m:sub>
                <m:r>
                  <m:t>i</m:t>
                </m:r>
              </m:sub>
            </m:sSub>
            <m:r>
              <m:t>)</m:t>
            </m:r>
            <m:sSubSup>
              <m:e>
                <m:r>
                  <m:t>}</m:t>
                </m:r>
              </m:e>
              <m:sub>
                <m:r>
                  <m:t>i=1</m:t>
                </m:r>
              </m:sub>
              <m:sup>
                <m:r>
                  <m:t>n</m:t>
                </m:r>
              </m:sup>
            </m:sSubSup>
          </m:e>
        </m:d>
      </m:oMath>
      <w:r>
        <w:rPr>
          <w:rFonts w:ascii="宋体" w:hAnsi="宋体" w:eastAsia="宋体"/>
          <w:sz w:val="21"/>
        </w:rPr>
        <w:t>，参数场可表示为</w:t>
      </w:r>
    </w:p>
    <w:p>
      <w:pPr>
        <w:jc w:val="center"/>
      </w:pPr>
      <m:oMath>
        <m:r>
          <m:t>G(x,y)=</m:t>
        </m:r>
        <m:f>
          <m:fPr>
            <m:type m:val="bar"/>
          </m:fPr>
          <m:num>
            <m:nary>
              <m:naryPr>
                <m:chr m:val="∑"/>
                <m:limLoc m:val="subSup"/>
                <m:grow m:val="1"/>
                <m:subHide m:val="off"/>
                <m:supHide m:val="off"/>
              </m:naryPr>
              <m:sub>
                <m:r>
                  <m:t>i=1</m:t>
                </m:r>
              </m:sub>
              <m:sup>
                <m:r>
                  <m:t>n</m:t>
                </m:r>
              </m:sup>
              <m:e>
                <m:sSub>
                  <m:e>
                    <m:r>
                      <m:t>z</m:t>
                    </m:r>
                  </m:e>
                  <m:sub>
                    <m:r>
                      <m:t>i</m:t>
                    </m:r>
                  </m:sub>
                </m:sSub>
              </m:e>
            </m:nary>
            <m:sSub>
              <m:e>
                <m:r>
                  <m:t>d</m:t>
                </m:r>
              </m:e>
              <m:sub>
                <m:r>
                  <m:t>i</m:t>
                </m:r>
              </m:sub>
            </m:sSub>
            <m:r>
              <m:t>(x,y</m:t>
            </m:r>
            <m:sSup>
              <m:e>
                <m:r>
                  <m:t>)</m:t>
                </m:r>
              </m:e>
              <m:sup>
                <m:r>
                  <m:t>−p</m:t>
                </m:r>
              </m:sup>
            </m:sSup>
          </m:num>
          <m:den>
            <m:nary>
              <m:naryPr>
                <m:chr m:val="∑"/>
                <m:limLoc m:val="subSup"/>
                <m:grow m:val="1"/>
                <m:subHide m:val="off"/>
                <m:supHide m:val="off"/>
              </m:naryPr>
              <m:sub>
                <m:r>
                  <m:t>i=1</m:t>
                </m:r>
              </m:sub>
              <m:sup>
                <m:r>
                  <m:t>n</m:t>
                </m:r>
              </m:sup>
              <m:e>
                <m:sSub>
                  <m:e>
                    <m:r>
                      <m:t>d</m:t>
                    </m:r>
                  </m:e>
                  <m:sub>
                    <m:r>
                      <m:t>i</m:t>
                    </m:r>
                  </m:sub>
                </m:sSub>
              </m:e>
            </m:nary>
            <m:r>
              <m:t>(x,y</m:t>
            </m:r>
            <m:sSup>
              <m:e>
                <m:r>
                  <m:t>)</m:t>
                </m:r>
              </m:e>
              <m:sup>
                <m:r>
                  <m:t>−p</m:t>
                </m:r>
              </m:sup>
            </m:sSup>
          </m:den>
        </m:f>
        <m:r>
          <m:t>（1）</m:t>
        </m:r>
      </m:oMath>
    </w:p>
    <w:p>
      <w:pPr>
        <w:spacing w:after="40"/>
        <w:ind w:firstLine="420"/>
      </w:pPr>
      <w:r>
        <w:rPr>
          <w:rFonts w:ascii="宋体" w:hAnsi="宋体" w:eastAsia="宋体"/>
          <w:sz w:val="21"/>
        </w:rPr>
        <w:t>式中，</w:t>
      </w:r>
      <m:oMath>
        <m:sSub>
          <m:e>
            <m:r>
              <m:t>d</m:t>
            </m:r>
          </m:e>
          <m:sub>
            <m:r>
              <m:t>i</m:t>
            </m:r>
          </m:sub>
        </m:sSub>
        <m:r>
          <m:t>(x,y)</m:t>
        </m:r>
      </m:oMath>
      <w:r>
        <w:rPr>
          <w:rFonts w:ascii="宋体" w:hAnsi="宋体" w:eastAsia="宋体"/>
          <w:sz w:val="21"/>
        </w:rPr>
        <w:t>为规划位置</w:t>
      </w:r>
      <m:oMath>
        <m:d>
          <m:dPr>
            <m:sepChr m:val=","/>
          </m:dPr>
          <m:e>
            <m:r>
              <m:t>x</m:t>
            </m:r>
          </m:e>
          <m:e>
            <m:r>
              <m:t>y</m:t>
            </m:r>
          </m:e>
        </m:d>
      </m:oMath>
      <w:r>
        <w:rPr>
          <w:rFonts w:ascii="宋体" w:hAnsi="宋体" w:eastAsia="宋体"/>
          <w:sz w:val="21"/>
        </w:rPr>
        <w:t>与第</w:t>
      </w:r>
      <m:oMath>
        <m:r>
          <m:t>i</m:t>
        </m:r>
      </m:oMath>
      <w:r>
        <w:rPr>
          <w:rFonts w:ascii="宋体" w:hAnsi="宋体" w:eastAsia="宋体"/>
          <w:sz w:val="21"/>
        </w:rPr>
        <w:t>个钻孔样点之间的距离，</w:t>
      </w:r>
      <m:oMath>
        <m:r>
          <m:t>p</m:t>
        </m:r>
      </m:oMath>
      <w:r>
        <w:rPr>
          <w:rFonts w:ascii="宋体" w:hAnsi="宋体" w:eastAsia="宋体"/>
          <w:sz w:val="21"/>
        </w:rPr>
        <w:t>为距离衰减指数。该表达反映了反距离加权插值的基本思想，能够为煤层厚度等参数提供连续场支撑</w:t>
      </w:r>
      <w:r>
        <w:rPr>
          <w:rFonts w:ascii="宋体" w:hAnsi="宋体" w:eastAsia="宋体"/>
          <w:sz w:val="16"/>
          <w:vertAlign w:val="superscript"/>
        </w:rPr>
        <w:t>[</w:t>
      </w:r>
      <w:hyperlink w:anchor="ref-8">
        <w:r>
          <w:rPr>
            <w:color w:val="000000"/>
            <w:vertAlign w:val="superscript"/>
          </w:rPr>
          <w:t>8</w:t>
        </w:r>
      </w:hyperlink>
      <w:r>
        <w:rPr>
          <w:rFonts w:ascii="宋体" w:hAnsi="宋体" w:eastAsia="宋体"/>
          <w:sz w:val="16"/>
          <w:vertAlign w:val="superscript"/>
        </w:rPr>
        <w:t>,</w:t>
      </w:r>
      <w:hyperlink w:anchor="ref-16">
        <w:r>
          <w:rPr>
            <w:color w:val="000000"/>
            <w:vertAlign w:val="superscript"/>
          </w:rPr>
          <w:t>16</w:t>
        </w:r>
      </w:hyperlink>
      <w:r>
        <w:rPr>
          <w:rFonts w:ascii="宋体" w:hAnsi="宋体" w:eastAsia="宋体"/>
          <w:sz w:val="16"/>
          <w:vertAlign w:val="superscript"/>
        </w:rPr>
        <w:t>-</w:t>
      </w:r>
      <w:hyperlink w:anchor="ref-18">
        <w:r>
          <w:rPr>
            <w:color w:val="000000"/>
            <w:vertAlign w:val="superscript"/>
          </w:rPr>
          <w:t>18</w:t>
        </w:r>
      </w:hyperlink>
      <w:r>
        <w:rPr>
          <w:rFonts w:ascii="宋体" w:hAnsi="宋体" w:eastAsia="宋体"/>
          <w:sz w:val="16"/>
          <w:vertAlign w:val="superscript"/>
        </w:rPr>
        <w:t>]</w:t>
      </w:r>
      <w:r>
        <w:rPr>
          <w:rFonts w:ascii="宋体" w:hAnsi="宋体" w:eastAsia="宋体"/>
          <w:sz w:val="21"/>
        </w:rPr>
        <w:t>。</w:t>
      </w:r>
    </w:p>
    <w:p>
      <w:pPr>
        <w:sectPr>
          <w:type w:val="continuous"/>
          <w:pgSz w:w="12240" w:h="15840"/>
          <w:pgMar w:top="1247" w:right="1077" w:bottom="1247" w:left="1077" w:header="720" w:footer="720" w:gutter="0"/>
          <w:cols w:space="425" w:num="1"/>
          <w:docGrid w:linePitch="360"/>
        </w:sectPr>
      </w:pPr>
    </w:p>
    <w:p>
      <w:pPr>
        <w:spacing w:after="40"/>
        <w:jc w:val="center"/>
      </w:pPr>
      <w:r>
        <w:drawing>
          <wp:inline xmlns:a="http://schemas.openxmlformats.org/drawingml/2006/main" xmlns:pic="http://schemas.openxmlformats.org/drawingml/2006/picture">
            <wp:extent cx="4457700" cy="3566160"/>
            <wp:docPr id="3" name="Picture 3"/>
            <wp:cNvGraphicFramePr>
              <a:graphicFrameLocks noChangeAspect="1"/>
            </wp:cNvGraphicFramePr>
            <a:graphic>
              <a:graphicData uri="http://schemas.openxmlformats.org/drawingml/2006/picture">
                <pic:pic>
                  <pic:nvPicPr>
                    <pic:cNvPr id="0" name="图1_采区边界与钻孔分布图.png"/>
                    <pic:cNvPicPr/>
                  </pic:nvPicPr>
                  <pic:blipFill>
                    <a:blip r:embed="rId11"/>
                    <a:stretch>
                      <a:fillRect/>
                    </a:stretch>
                  </pic:blipFill>
                  <pic:spPr>
                    <a:xfrm>
                      <a:off x="0" y="0"/>
                      <a:ext cx="4457700" cy="3566160"/>
                    </a:xfrm>
                    <a:prstGeom prst="rect"/>
                  </pic:spPr>
                </pic:pic>
              </a:graphicData>
            </a:graphic>
          </wp:inline>
        </w:drawing>
      </w:r>
    </w:p>
    <w:p>
      <w:pPr>
        <w:spacing w:after="40"/>
        <w:jc w:val="center"/>
      </w:pPr>
      <w:r>
        <w:rPr>
          <w:rFonts w:ascii="宋体" w:hAnsi="宋体" w:eastAsia="宋体"/>
          <w:b w:val="0"/>
          <w:sz w:val="20"/>
        </w:rPr>
        <w:t>图3 采区边界与钻孔分布图</w:t>
      </w:r>
    </w:p>
    <w:p>
      <w:pPr>
        <w:spacing w:after="40"/>
        <w:ind w:firstLine="420"/>
      </w:pPr>
      <w:r>
        <w:rPr>
          <w:rFonts w:ascii="宋体" w:hAnsi="宋体" w:eastAsia="宋体"/>
          <w:sz w:val="21"/>
        </w:rPr>
        <w:t>图3给出了样例采区边界及 15 个钻孔样点的空间分布，说明规划对象已具有明确的几何边界与采样基础。</w:t>
      </w:r>
    </w:p>
    <w:p>
      <w:pPr>
        <w:sectPr>
          <w:type w:val="continuous"/>
          <w:pgSz w:w="12240" w:h="15840"/>
          <w:pgMar w:top="1247" w:right="1077" w:bottom="1247" w:left="1077" w:header="720" w:footer="720" w:gutter="0"/>
          <w:cols w:space="425" w:num="1"/>
          <w:docGrid w:linePitch="360"/>
        </w:sectPr>
      </w:pPr>
    </w:p>
    <w:p>
      <w:pPr>
        <w:spacing w:after="40"/>
        <w:jc w:val="center"/>
      </w:pPr>
      <w:r>
        <w:drawing>
          <wp:inline xmlns:a="http://schemas.openxmlformats.org/drawingml/2006/main" xmlns:pic="http://schemas.openxmlformats.org/drawingml/2006/picture">
            <wp:extent cx="4457700" cy="3566160"/>
            <wp:docPr id="4" name="Picture 4"/>
            <wp:cNvGraphicFramePr>
              <a:graphicFrameLocks noChangeAspect="1"/>
            </wp:cNvGraphicFramePr>
            <a:graphic>
              <a:graphicData uri="http://schemas.openxmlformats.org/drawingml/2006/picture">
                <pic:pic>
                  <pic:nvPicPr>
                    <pic:cNvPr id="0" name="图2_煤层厚度插值热力图.png"/>
                    <pic:cNvPicPr/>
                  </pic:nvPicPr>
                  <pic:blipFill>
                    <a:blip r:embed="rId12"/>
                    <a:stretch>
                      <a:fillRect/>
                    </a:stretch>
                  </pic:blipFill>
                  <pic:spPr>
                    <a:xfrm>
                      <a:off x="0" y="0"/>
                      <a:ext cx="4457700" cy="3566160"/>
                    </a:xfrm>
                    <a:prstGeom prst="rect"/>
                  </pic:spPr>
                </pic:pic>
              </a:graphicData>
            </a:graphic>
          </wp:inline>
        </w:drawing>
      </w:r>
    </w:p>
    <w:p>
      <w:pPr>
        <w:spacing w:after="40"/>
        <w:jc w:val="center"/>
      </w:pPr>
      <w:r>
        <w:rPr>
          <w:rFonts w:ascii="宋体" w:hAnsi="宋体" w:eastAsia="宋体"/>
          <w:b w:val="0"/>
          <w:sz w:val="20"/>
        </w:rPr>
        <w:t>图4 煤层厚度插值热力图</w:t>
      </w:r>
    </w:p>
    <w:p>
      <w:pPr>
        <w:spacing w:after="40"/>
        <w:ind w:firstLine="420"/>
      </w:pPr>
      <w:r>
        <w:rPr>
          <w:rFonts w:ascii="宋体" w:hAnsi="宋体" w:eastAsia="宋体"/>
          <w:sz w:val="21"/>
        </w:rPr>
        <w:t>图4所示煤层厚度插值热力图表明，系统已经能够将离散钻孔厚度信息组织为连续参数场。样例数据中煤层厚度最小值为 2.8 m，最大值为 4.8 m，平均值为 3.7933 m。需要强调的是，该参数场并非独立的展示成果，而是后续工作面布置、风险筛选和方案比选共享的统一空间底图。</w:t>
      </w:r>
    </w:p>
    <w:p>
      <w:pPr>
        <w:spacing w:before="120" w:after="60"/>
      </w:pPr>
      <w:r>
        <w:rPr>
          <w:rFonts w:ascii="宋体" w:hAnsi="宋体" w:eastAsia="宋体"/>
          <w:b/>
          <w:sz w:val="22"/>
        </w:rPr>
        <w:t>2.2 多场景 ODI 风险表征方法</w:t>
      </w:r>
    </w:p>
    <w:p>
      <w:pPr>
        <w:spacing w:after="40"/>
        <w:ind w:firstLine="420"/>
      </w:pPr>
      <w:r>
        <w:rPr>
          <w:rFonts w:ascii="宋体" w:hAnsi="宋体" w:eastAsia="宋体"/>
          <w:sz w:val="21"/>
        </w:rPr>
        <w:t>采区规划中的风险约束并非来源于单一指标，而更多表现为地表下沉、含水层扰动和上行开采等场景下覆岩扰动的综合影响。为使不同场景风险能够在同一框架下组织和传递，引入 ODI 作为中介变量，将异构风险信息归一到可比较的统一尺度。其基本形式可表示为</w:t>
      </w:r>
    </w:p>
    <w:p>
      <w:pPr>
        <w:jc w:val="center"/>
      </w:pPr>
      <m:oMath>
        <m:r>
          <m:t>ODI=</m:t>
        </m:r>
        <m:sSub>
          <m:e>
            <m:r>
              <m:t>w</m:t>
            </m:r>
          </m:e>
          <m:sub>
            <m:r>
              <m:t>d</m:t>
            </m:r>
          </m:sub>
        </m:sSub>
        <m:sSub>
          <m:e>
            <m:r>
              <m:t>I</m:t>
            </m:r>
          </m:e>
          <m:sub>
            <m:r>
              <m:t>d</m:t>
            </m:r>
          </m:sub>
        </m:sSub>
        <m:r>
          <m:t>+</m:t>
        </m:r>
        <m:sSub>
          <m:e>
            <m:r>
              <m:t>w</m:t>
            </m:r>
          </m:e>
          <m:sub>
            <m:r>
              <m:t>o</m:t>
            </m:r>
          </m:sub>
        </m:sSub>
        <m:sSub>
          <m:e>
            <m:r>
              <m:t>I</m:t>
            </m:r>
          </m:e>
          <m:sub>
            <m:r>
              <m:t>o</m:t>
            </m:r>
          </m:sub>
        </m:sSub>
        <m:r>
          <m:t>+</m:t>
        </m:r>
        <m:sSub>
          <m:e>
            <m:r>
              <m:t>w</m:t>
            </m:r>
          </m:e>
          <m:sub>
            <m:r>
              <m:t>f</m:t>
            </m:r>
          </m:sub>
        </m:sSub>
        <m:sSub>
          <m:e>
            <m:r>
              <m:t>I</m:t>
            </m:r>
          </m:e>
          <m:sub>
            <m:r>
              <m:t>f</m:t>
            </m:r>
          </m:sub>
        </m:sSub>
        <m:r>
          <m:t>（2）</m:t>
        </m:r>
      </m:oMath>
    </w:p>
    <w:p>
      <w:pPr>
        <w:jc w:val="center"/>
      </w:pPr>
      <m:oMath>
        <m:sSub>
          <m:e>
            <m:r>
              <m:t>w</m:t>
            </m:r>
          </m:e>
          <m:sub>
            <m:r>
              <m:t>d</m:t>
            </m:r>
          </m:sub>
        </m:sSub>
        <m:r>
          <m:t>+</m:t>
        </m:r>
        <m:sSub>
          <m:e>
            <m:r>
              <m:t>w</m:t>
            </m:r>
          </m:e>
          <m:sub>
            <m:r>
              <m:t>o</m:t>
            </m:r>
          </m:sub>
        </m:sSub>
        <m:r>
          <m:t>+</m:t>
        </m:r>
        <m:sSub>
          <m:e>
            <m:r>
              <m:t>w</m:t>
            </m:r>
          </m:e>
          <m:sub>
            <m:r>
              <m:t>f</m:t>
            </m:r>
          </m:sub>
        </m:sSub>
        <m:r>
          <m:t>=1</m:t>
        </m:r>
        <m:r>
          <m:t>（3）</m:t>
        </m:r>
      </m:oMath>
    </w:p>
    <w:p>
      <w:pPr>
        <w:spacing w:after="40"/>
        <w:ind w:firstLine="420"/>
      </w:pPr>
      <w:r>
        <w:rPr>
          <w:rFonts w:ascii="宋体" w:hAnsi="宋体" w:eastAsia="宋体"/>
          <w:sz w:val="21"/>
        </w:rPr>
        <w:t>式中，</w:t>
      </w:r>
      <m:oMath>
        <m:sSub>
          <m:e>
            <m:r>
              <m:t>I</m:t>
            </m:r>
          </m:e>
          <m:sub>
            <m:r>
              <m:t>d</m:t>
            </m:r>
          </m:sub>
        </m:sSub>
      </m:oMath>
      <w:r>
        <w:rPr>
          <w:rFonts w:ascii="宋体" w:hAnsi="宋体" w:eastAsia="宋体"/>
          <w:sz w:val="21"/>
        </w:rPr>
        <w:t>、</w:t>
      </w:r>
      <m:oMath>
        <m:sSub>
          <m:e>
            <m:r>
              <m:t>I</m:t>
            </m:r>
          </m:e>
          <m:sub>
            <m:r>
              <m:t>o</m:t>
            </m:r>
          </m:sub>
        </m:sSub>
      </m:oMath>
      <w:r>
        <w:rPr>
          <w:rFonts w:ascii="宋体" w:hAnsi="宋体" w:eastAsia="宋体"/>
          <w:sz w:val="21"/>
        </w:rPr>
        <w:t>、</w:t>
      </w:r>
      <m:oMath>
        <m:sSub>
          <m:e>
            <m:r>
              <m:t>I</m:t>
            </m:r>
          </m:e>
          <m:sub>
            <m:r>
              <m:t>f</m:t>
            </m:r>
          </m:sub>
        </m:sSub>
      </m:oMath>
      <w:r>
        <w:rPr>
          <w:rFonts w:ascii="宋体" w:hAnsi="宋体" w:eastAsia="宋体"/>
          <w:sz w:val="21"/>
        </w:rPr>
        <w:t>分别表示不同风险因子维度上的归一化指标，</w:t>
      </w:r>
      <m:oMath>
        <m:sSub>
          <m:e>
            <m:r>
              <m:t>w</m:t>
            </m:r>
          </m:e>
          <m:sub>
            <m:r>
              <m:t>d</m:t>
            </m:r>
          </m:sub>
        </m:sSub>
      </m:oMath>
      <w:r>
        <w:rPr>
          <w:rFonts w:ascii="宋体" w:hAnsi="宋体" w:eastAsia="宋体"/>
          <w:sz w:val="21"/>
        </w:rPr>
        <w:t>、</w:t>
      </w:r>
      <m:oMath>
        <m:sSub>
          <m:e>
            <m:r>
              <m:t>w</m:t>
            </m:r>
          </m:e>
          <m:sub>
            <m:r>
              <m:t>o</m:t>
            </m:r>
          </m:sub>
        </m:sSub>
      </m:oMath>
      <w:r>
        <w:rPr>
          <w:rFonts w:ascii="宋体" w:hAnsi="宋体" w:eastAsia="宋体"/>
          <w:sz w:val="21"/>
        </w:rPr>
        <w:t>、</w:t>
      </w:r>
      <m:oMath>
        <m:sSub>
          <m:e>
            <m:r>
              <m:t>w</m:t>
            </m:r>
          </m:e>
          <m:sub>
            <m:r>
              <m:t>f</m:t>
            </m:r>
          </m:sub>
        </m:sSub>
      </m:oMath>
      <w:r>
        <w:rPr>
          <w:rFonts w:ascii="宋体" w:hAnsi="宋体" w:eastAsia="宋体"/>
          <w:sz w:val="21"/>
        </w:rPr>
        <w:t>为相应权重。该表达的重点不在于给出唯一的行业通用公式，而在于说明系统通过统一中介变量实现多场景风险信息的组织、比较与传递。</w:t>
      </w:r>
    </w:p>
    <w:p>
      <w:pPr>
        <w:sectPr>
          <w:type w:val="continuous"/>
          <w:pgSz w:w="12240" w:h="15840"/>
          <w:pgMar w:top="1247" w:right="1077" w:bottom="1247" w:left="1077" w:header="720" w:footer="720" w:gutter="0"/>
          <w:cols w:space="425" w:num="1"/>
          <w:docGrid w:linePitch="360"/>
        </w:sectPr>
      </w:pPr>
    </w:p>
    <w:p>
      <w:pPr>
        <w:spacing w:after="40"/>
        <w:jc w:val="center"/>
      </w:pPr>
      <w:r>
        <w:rPr>
          <w:rFonts w:ascii="宋体" w:hAnsi="宋体" w:eastAsia="宋体"/>
          <w:b w:val="0"/>
          <w:sz w:val="20"/>
        </w:rPr>
        <w:t>表2 多场景 ODI 风险组织关系</w:t>
      </w:r>
    </w:p>
    <w:p>
      <w:pPr>
        <w:spacing w:after="40"/>
        <w:jc w:val="center"/>
      </w:pPr>
      <w:r>
        <w:rPr>
          <w:rFonts w:ascii="宋体" w:hAnsi="宋体" w:eastAsia="宋体"/>
          <w:b w:val="0"/>
          <w:sz w:val="20"/>
        </w:rPr>
        <w:t>Table 2 Multi-scenario ODI organization relationship</w:t>
      </w:r>
    </w:p>
    <w:tbl>
      <w:tblPr>
        <w:tblW w:type="auto" w:w="0"/>
        <w:tblLayout w:type="fixed"/>
        <w:tblLook w:firstColumn="1" w:firstRow="1" w:lastColumn="0" w:lastRow="0" w:noHBand="0" w:noVBand="1" w:val="04A0"/>
      </w:tblPr>
      <w:tblGrid>
        <w:gridCol w:w="2521"/>
        <w:gridCol w:w="2521"/>
        <w:gridCol w:w="2521"/>
        <w:gridCol w:w="2521"/>
      </w:tblGrid>
      <w:tr>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场景</w:t>
            </w:r>
          </w:p>
        </w:tc>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主要关注对象</w:t>
            </w:r>
          </w:p>
        </w:tc>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输入依据</w:t>
            </w:r>
          </w:p>
        </w:tc>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ODI 在规划中的作用</w:t>
            </w:r>
          </w:p>
        </w:tc>
      </w:tr>
      <w:tr>
        <w:tc>
          <w:tcPr>
            <w:tcW w:type="dxa" w:w="2521"/>
            <w:tcBorders>
              <w:top w:val="nil"/>
              <w:left w:val="nil"/>
              <w:bottom w:val="nil"/>
              <w:right w:val="nil"/>
            </w:tcBorders>
          </w:tcPr>
          <w:p>
            <w:pPr>
              <w:spacing w:after="0" w:before="0"/>
              <w:jc w:val="center"/>
            </w:pPr>
            <w:r>
              <w:rPr>
                <w:rFonts w:ascii="宋体" w:hAnsi="宋体" w:eastAsia="宋体"/>
                <w:sz w:val="18"/>
              </w:rPr>
              <w:t>地表下沉</w:t>
            </w:r>
          </w:p>
        </w:tc>
        <w:tc>
          <w:tcPr>
            <w:tcW w:type="dxa" w:w="2521"/>
            <w:tcBorders>
              <w:top w:val="nil"/>
              <w:left w:val="nil"/>
              <w:bottom w:val="nil"/>
              <w:right w:val="nil"/>
            </w:tcBorders>
          </w:tcPr>
          <w:p>
            <w:pPr>
              <w:spacing w:after="0" w:before="0"/>
              <w:jc w:val="center"/>
            </w:pPr>
            <w:r>
              <w:rPr>
                <w:rFonts w:ascii="宋体" w:hAnsi="宋体" w:eastAsia="宋体"/>
                <w:sz w:val="18"/>
              </w:rPr>
              <w:t>地表移动与沉陷风险</w:t>
            </w:r>
          </w:p>
        </w:tc>
        <w:tc>
          <w:tcPr>
            <w:tcW w:type="dxa" w:w="2521"/>
            <w:tcBorders>
              <w:top w:val="nil"/>
              <w:left w:val="nil"/>
              <w:bottom w:val="nil"/>
              <w:right w:val="nil"/>
            </w:tcBorders>
          </w:tcPr>
          <w:p>
            <w:pPr>
              <w:spacing w:after="0" w:before="0"/>
              <w:jc w:val="center"/>
            </w:pPr>
            <w:r>
              <w:rPr>
                <w:rFonts w:ascii="宋体" w:hAnsi="宋体" w:eastAsia="宋体"/>
                <w:sz w:val="18"/>
              </w:rPr>
              <w:t>沉陷预测与空间约束[8,24,25]</w:t>
            </w:r>
          </w:p>
        </w:tc>
        <w:tc>
          <w:tcPr>
            <w:tcW w:type="dxa" w:w="2521"/>
            <w:tcBorders>
              <w:top w:val="nil"/>
              <w:left w:val="nil"/>
              <w:bottom w:val="nil"/>
              <w:right w:val="nil"/>
            </w:tcBorders>
          </w:tcPr>
          <w:p>
            <w:pPr>
              <w:spacing w:after="0" w:before="0"/>
              <w:jc w:val="center"/>
            </w:pPr>
            <w:r>
              <w:rPr>
                <w:rFonts w:ascii="宋体" w:hAnsi="宋体" w:eastAsia="宋体"/>
                <w:sz w:val="18"/>
              </w:rPr>
              <w:t>约束工作面布置范围与强度</w:t>
            </w:r>
          </w:p>
        </w:tc>
      </w:tr>
      <w:tr>
        <w:tc>
          <w:tcPr>
            <w:tcW w:type="dxa" w:w="2521"/>
            <w:tcBorders>
              <w:top w:val="nil"/>
              <w:left w:val="nil"/>
              <w:bottom w:val="nil"/>
              <w:right w:val="nil"/>
            </w:tcBorders>
          </w:tcPr>
          <w:p>
            <w:pPr>
              <w:spacing w:after="0" w:before="0"/>
              <w:jc w:val="center"/>
            </w:pPr>
            <w:r>
              <w:rPr>
                <w:rFonts w:ascii="宋体" w:hAnsi="宋体" w:eastAsia="宋体"/>
                <w:sz w:val="18"/>
              </w:rPr>
              <w:t>含水层扰动</w:t>
            </w:r>
          </w:p>
        </w:tc>
        <w:tc>
          <w:tcPr>
            <w:tcW w:type="dxa" w:w="2521"/>
            <w:tcBorders>
              <w:top w:val="nil"/>
              <w:left w:val="nil"/>
              <w:bottom w:val="nil"/>
              <w:right w:val="nil"/>
            </w:tcBorders>
          </w:tcPr>
          <w:p>
            <w:pPr>
              <w:spacing w:after="0" w:before="0"/>
              <w:jc w:val="center"/>
            </w:pPr>
            <w:r>
              <w:rPr>
                <w:rFonts w:ascii="宋体" w:hAnsi="宋体" w:eastAsia="宋体"/>
                <w:sz w:val="18"/>
              </w:rPr>
              <w:t>导水裂隙带与含水层受损</w:t>
            </w:r>
          </w:p>
        </w:tc>
        <w:tc>
          <w:tcPr>
            <w:tcW w:type="dxa" w:w="2521"/>
            <w:tcBorders>
              <w:top w:val="nil"/>
              <w:left w:val="nil"/>
              <w:bottom w:val="nil"/>
              <w:right w:val="nil"/>
            </w:tcBorders>
          </w:tcPr>
          <w:p>
            <w:pPr>
              <w:spacing w:after="0" w:before="0"/>
              <w:jc w:val="center"/>
            </w:pPr>
            <w:r>
              <w:rPr>
                <w:rFonts w:ascii="宋体" w:hAnsi="宋体" w:eastAsia="宋体"/>
                <w:sz w:val="18"/>
              </w:rPr>
              <w:t>裂隙演化与导水带高度[5,22,23]</w:t>
            </w:r>
          </w:p>
        </w:tc>
        <w:tc>
          <w:tcPr>
            <w:tcW w:type="dxa" w:w="2521"/>
            <w:tcBorders>
              <w:top w:val="nil"/>
              <w:left w:val="nil"/>
              <w:bottom w:val="nil"/>
              <w:right w:val="nil"/>
            </w:tcBorders>
          </w:tcPr>
          <w:p>
            <w:pPr>
              <w:spacing w:after="0" w:before="0"/>
              <w:jc w:val="center"/>
            </w:pPr>
            <w:r>
              <w:rPr>
                <w:rFonts w:ascii="宋体" w:hAnsi="宋体" w:eastAsia="宋体"/>
                <w:sz w:val="18"/>
              </w:rPr>
              <w:t>参与风险场筛选与方案排序</w:t>
            </w:r>
          </w:p>
        </w:tc>
      </w:tr>
      <w:tr>
        <w:tc>
          <w:tcPr>
            <w:tcW w:type="dxa" w:w="2521"/>
            <w:tcBorders>
              <w:top w:val="nil"/>
              <w:left w:val="nil"/>
              <w:bottom w:val="single" w:sz="12" w:space="0" w:color="000000"/>
              <w:right w:val="nil"/>
            </w:tcBorders>
          </w:tcPr>
          <w:p>
            <w:pPr>
              <w:spacing w:after="0" w:before="0"/>
              <w:jc w:val="center"/>
            </w:pPr>
            <w:r>
              <w:rPr>
                <w:rFonts w:ascii="宋体" w:hAnsi="宋体" w:eastAsia="宋体"/>
                <w:sz w:val="18"/>
              </w:rPr>
              <w:t>上行开采</w:t>
            </w:r>
          </w:p>
        </w:tc>
        <w:tc>
          <w:tcPr>
            <w:tcW w:type="dxa" w:w="2521"/>
            <w:tcBorders>
              <w:top w:val="nil"/>
              <w:left w:val="nil"/>
              <w:bottom w:val="single" w:sz="12" w:space="0" w:color="000000"/>
              <w:right w:val="nil"/>
            </w:tcBorders>
          </w:tcPr>
          <w:p>
            <w:pPr>
              <w:spacing w:after="0" w:before="0"/>
              <w:jc w:val="center"/>
            </w:pPr>
            <w:r>
              <w:rPr>
                <w:rFonts w:ascii="宋体" w:hAnsi="宋体" w:eastAsia="宋体"/>
                <w:sz w:val="18"/>
              </w:rPr>
              <w:t>上覆岩层扰动与安全边界</w:t>
            </w:r>
          </w:p>
        </w:tc>
        <w:tc>
          <w:tcPr>
            <w:tcW w:type="dxa" w:w="2521"/>
            <w:tcBorders>
              <w:top w:val="nil"/>
              <w:left w:val="nil"/>
              <w:bottom w:val="single" w:sz="12" w:space="0" w:color="000000"/>
              <w:right w:val="nil"/>
            </w:tcBorders>
          </w:tcPr>
          <w:p>
            <w:pPr>
              <w:spacing w:after="0" w:before="0"/>
              <w:jc w:val="center"/>
            </w:pPr>
            <w:r>
              <w:rPr>
                <w:rFonts w:ascii="宋体" w:hAnsi="宋体" w:eastAsia="宋体"/>
                <w:sz w:val="18"/>
              </w:rPr>
              <w:t>采动应力与覆岩破坏特征[4,7,10]</w:t>
            </w:r>
          </w:p>
        </w:tc>
        <w:tc>
          <w:tcPr>
            <w:tcW w:type="dxa" w:w="2521"/>
            <w:tcBorders>
              <w:top w:val="nil"/>
              <w:left w:val="nil"/>
              <w:bottom w:val="single" w:sz="12" w:space="0" w:color="000000"/>
              <w:right w:val="nil"/>
            </w:tcBorders>
          </w:tcPr>
          <w:p>
            <w:pPr>
              <w:spacing w:after="0" w:before="0"/>
              <w:jc w:val="center"/>
            </w:pPr>
            <w:r>
              <w:rPr>
                <w:rFonts w:ascii="宋体" w:hAnsi="宋体" w:eastAsia="宋体"/>
                <w:sz w:val="18"/>
              </w:rPr>
              <w:t>作为接续与可行性评价输入</w:t>
            </w:r>
          </w:p>
        </w:tc>
      </w:tr>
    </w:tbl>
    <w:p>
      <w:pPr>
        <w:spacing w:after="40"/>
        <w:ind w:firstLine="420"/>
      </w:pPr>
      <w:r>
        <w:rPr>
          <w:rFonts w:ascii="宋体" w:hAnsi="宋体" w:eastAsia="宋体"/>
          <w:sz w:val="21"/>
        </w:rPr>
        <w:t>因此，ODI 在本方法中并非附加性的展示指标，而是风险场进入规划、接续与经济评价链路的中介变量。通过这一设计，风险约束能够以前置方式进入方案生成与比选过程，而不再停留于布局完成后的事后说明。</w:t>
      </w:r>
    </w:p>
    <w:p>
      <w:pPr>
        <w:spacing w:before="120" w:after="60"/>
      </w:pPr>
      <w:r>
        <w:rPr>
          <w:rFonts w:ascii="宋体" w:hAnsi="宋体" w:eastAsia="宋体"/>
          <w:b/>
          <w:sz w:val="22"/>
        </w:rPr>
        <w:t>2.3 四模式候选规划与方案比选</w:t>
      </w:r>
    </w:p>
    <w:p>
      <w:pPr>
        <w:spacing w:after="40"/>
        <w:ind w:firstLine="420"/>
      </w:pPr>
      <w:r>
        <w:rPr>
          <w:rFonts w:ascii="宋体" w:hAnsi="宋体" w:eastAsia="宋体"/>
          <w:sz w:val="21"/>
        </w:rPr>
        <w:t>考虑到采区规划需要在工程效率、资源回收和扰动控制之间进行权衡，本文将候选方案组织为工程效率最优、资源回收最优、覆岩扰动优化和综合权衡优化 4 种规划模式。四模式并非 4 套相互独立的算法，而是面向同一候选方案池的不同筛选视角，其综合目标可概括为</w:t>
      </w:r>
    </w:p>
    <w:p>
      <w:pPr>
        <w:jc w:val="center"/>
      </w:pPr>
      <m:oMath>
        <m:sSub>
          <m:e>
            <m:r>
              <m:t>max</m:t>
            </m:r>
          </m:e>
          <m:sub>
            <m:r>
              <m:t>π∈Π</m:t>
            </m:r>
          </m:sub>
        </m:sSub>
        <m:r>
          <m:t>J(π)=</m:t>
        </m:r>
        <m:sSub>
          <m:e>
            <m:r>
              <m:t>w</m:t>
            </m:r>
          </m:e>
          <m:sub>
            <m:r>
              <m:t>e</m:t>
            </m:r>
          </m:sub>
        </m:sSub>
        <m:sSub>
          <m:e>
            <m:r>
              <m:t>S</m:t>
            </m:r>
          </m:e>
          <m:sub>
            <m:r>
              <m:t>e</m:t>
            </m:r>
          </m:sub>
        </m:sSub>
        <m:r>
          <m:t>(π)+</m:t>
        </m:r>
        <m:sSub>
          <m:e>
            <m:r>
              <m:t>w</m:t>
            </m:r>
          </m:e>
          <m:sub>
            <m:r>
              <m:t>r</m:t>
            </m:r>
          </m:sub>
        </m:sSub>
        <m:sSub>
          <m:e>
            <m:r>
              <m:t>S</m:t>
            </m:r>
          </m:e>
          <m:sub>
            <m:r>
              <m:t>r</m:t>
            </m:r>
          </m:sub>
        </m:sSub>
        <m:r>
          <m:t>(π)+</m:t>
        </m:r>
        <m:sSub>
          <m:e>
            <m:r>
              <m:t>w</m:t>
            </m:r>
          </m:e>
          <m:sub>
            <m:r>
              <m:t>m</m:t>
            </m:r>
          </m:sub>
        </m:sSub>
        <m:sSub>
          <m:e>
            <m:r>
              <m:t>S</m:t>
            </m:r>
          </m:e>
          <m:sub>
            <m:r>
              <m:t>m</m:t>
            </m:r>
          </m:sub>
        </m:sSub>
        <m:r>
          <m:t>(π)</m:t>
        </m:r>
        <m:r>
          <m:t>（4）</m:t>
        </m:r>
      </m:oMath>
    </w:p>
    <w:p>
      <w:pPr>
        <w:spacing w:after="40"/>
        <w:ind w:firstLine="420"/>
      </w:pPr>
      <w:r>
        <w:rPr>
          <w:rFonts w:ascii="宋体" w:hAnsi="宋体" w:eastAsia="宋体"/>
          <w:sz w:val="21"/>
        </w:rPr>
        <w:t>式中，</w:t>
      </w:r>
      <m:oMath>
        <m:r>
          <m:t>Π</m:t>
        </m:r>
      </m:oMath>
      <w:r>
        <w:rPr>
          <w:rFonts w:ascii="宋体" w:hAnsi="宋体" w:eastAsia="宋体"/>
          <w:sz w:val="21"/>
        </w:rPr>
        <w:t>为候选规划方案集合，</w:t>
      </w:r>
      <m:oMath>
        <m:sSub>
          <m:e>
            <m:r>
              <m:t>S</m:t>
            </m:r>
          </m:e>
          <m:sub>
            <m:r>
              <m:t>e</m:t>
            </m:r>
          </m:sub>
        </m:sSub>
        <m:r>
          <m:t>(π)</m:t>
        </m:r>
      </m:oMath>
      <w:r>
        <w:rPr>
          <w:rFonts w:ascii="宋体" w:hAnsi="宋体" w:eastAsia="宋体"/>
          <w:sz w:val="21"/>
        </w:rPr>
        <w:t>、</w:t>
      </w:r>
      <m:oMath>
        <m:sSub>
          <m:e>
            <m:r>
              <m:t>S</m:t>
            </m:r>
          </m:e>
          <m:sub>
            <m:r>
              <m:t>r</m:t>
            </m:r>
          </m:sub>
        </m:sSub>
        <m:r>
          <m:t>(π)</m:t>
        </m:r>
      </m:oMath>
      <w:r>
        <w:rPr>
          <w:rFonts w:ascii="宋体" w:hAnsi="宋体" w:eastAsia="宋体"/>
          <w:sz w:val="21"/>
        </w:rPr>
        <w:t>、</w:t>
      </w:r>
      <m:oMath>
        <m:sSub>
          <m:e>
            <m:r>
              <m:t>S</m:t>
            </m:r>
          </m:e>
          <m:sub>
            <m:r>
              <m:t>m</m:t>
            </m:r>
          </m:sub>
        </m:sSub>
        <m:r>
          <m:t>(π)</m:t>
        </m:r>
      </m:oMath>
      <w:r>
        <w:rPr>
          <w:rFonts w:ascii="宋体" w:hAnsi="宋体" w:eastAsia="宋体"/>
          <w:sz w:val="21"/>
        </w:rPr>
        <w:t>分别表示方案在工程效率、资源回收和扰动控制方面的评价值，</w:t>
      </w:r>
      <m:oMath>
        <m:sSub>
          <m:e>
            <m:r>
              <m:t>w</m:t>
            </m:r>
          </m:e>
          <m:sub>
            <m:r>
              <m:t>e</m:t>
            </m:r>
          </m:sub>
        </m:sSub>
      </m:oMath>
      <w:r>
        <w:rPr>
          <w:rFonts w:ascii="宋体" w:hAnsi="宋体" w:eastAsia="宋体"/>
          <w:sz w:val="21"/>
        </w:rPr>
        <w:t>、</w:t>
      </w:r>
      <m:oMath>
        <m:sSub>
          <m:e>
            <m:r>
              <m:t>w</m:t>
            </m:r>
          </m:e>
          <m:sub>
            <m:r>
              <m:t>r</m:t>
            </m:r>
          </m:sub>
        </m:sSub>
      </m:oMath>
      <w:r>
        <w:rPr>
          <w:rFonts w:ascii="宋体" w:hAnsi="宋体" w:eastAsia="宋体"/>
          <w:sz w:val="21"/>
        </w:rPr>
        <w:t>、</w:t>
      </w:r>
      <m:oMath>
        <m:sSub>
          <m:e>
            <m:r>
              <m:t>w</m:t>
            </m:r>
          </m:e>
          <m:sub>
            <m:r>
              <m:t>m</m:t>
            </m:r>
          </m:sub>
        </m:sSub>
      </m:oMath>
      <w:r>
        <w:rPr>
          <w:rFonts w:ascii="宋体" w:hAnsi="宋体" w:eastAsia="宋体"/>
          <w:sz w:val="21"/>
        </w:rPr>
        <w:t>为权重系数。当某一风险场不可用时，相应权重可动态退化并重新归一化，以维持方案比较的一致性。</w:t>
      </w:r>
    </w:p>
    <w:p>
      <w:pPr>
        <w:sectPr>
          <w:type w:val="continuous"/>
          <w:pgSz w:w="12240" w:h="15840"/>
          <w:pgMar w:top="1247" w:right="1077" w:bottom="1247" w:left="1077" w:header="720" w:footer="720" w:gutter="0"/>
          <w:cols w:space="425" w:num="1"/>
          <w:docGrid w:linePitch="360"/>
        </w:sectPr>
      </w:pPr>
    </w:p>
    <w:p>
      <w:pPr>
        <w:spacing w:after="40"/>
        <w:jc w:val="center"/>
      </w:pPr>
      <w:r>
        <w:drawing>
          <wp:inline xmlns:a="http://schemas.openxmlformats.org/drawingml/2006/main" xmlns:pic="http://schemas.openxmlformats.org/drawingml/2006/picture">
            <wp:extent cx="5669280" cy="2551176"/>
            <wp:docPr id="5" name="Picture 5"/>
            <wp:cNvGraphicFramePr>
              <a:graphicFrameLocks noChangeAspect="1"/>
            </wp:cNvGraphicFramePr>
            <a:graphic>
              <a:graphicData uri="http://schemas.openxmlformats.org/drawingml/2006/picture">
                <pic:pic>
                  <pic:nvPicPr>
                    <pic:cNvPr id="0" name="图5_四模式智能规划协同关系图.png"/>
                    <pic:cNvPicPr/>
                  </pic:nvPicPr>
                  <pic:blipFill>
                    <a:blip r:embed="rId13"/>
                    <a:stretch>
                      <a:fillRect/>
                    </a:stretch>
                  </pic:blipFill>
                  <pic:spPr>
                    <a:xfrm>
                      <a:off x="0" y="0"/>
                      <a:ext cx="5669280" cy="2551176"/>
                    </a:xfrm>
                    <a:prstGeom prst="rect"/>
                  </pic:spPr>
                </pic:pic>
              </a:graphicData>
            </a:graphic>
          </wp:inline>
        </w:drawing>
      </w:r>
    </w:p>
    <w:p>
      <w:pPr>
        <w:spacing w:after="40"/>
        <w:jc w:val="center"/>
      </w:pPr>
      <w:r>
        <w:rPr>
          <w:rFonts w:ascii="宋体" w:hAnsi="宋体" w:eastAsia="宋体"/>
          <w:b w:val="0"/>
          <w:sz w:val="20"/>
        </w:rPr>
        <w:t>图5 四模式智能规划协同关系图</w:t>
      </w:r>
    </w:p>
    <w:p>
      <w:pPr>
        <w:spacing w:after="40"/>
        <w:ind w:firstLine="420"/>
      </w:pPr>
      <w:r>
        <w:rPr>
          <w:rFonts w:ascii="宋体" w:hAnsi="宋体" w:eastAsia="宋体"/>
          <w:sz w:val="21"/>
        </w:rPr>
        <w:t>图5展示了候选池生成、多目标评分和四模式筛选之间的协同关系。与传统“只输出单一布局方案”的方式不同，该组织方式更符合采区规划中“多方案并行比较、人工与算法共同决策”的实际需求</w:t>
      </w:r>
      <w:r>
        <w:rPr>
          <w:rFonts w:ascii="宋体" w:hAnsi="宋体" w:eastAsia="宋体"/>
          <w:sz w:val="16"/>
          <w:vertAlign w:val="superscript"/>
        </w:rPr>
        <w:t>[</w:t>
      </w:r>
      <w:hyperlink w:anchor="ref-11">
        <w:r>
          <w:rPr>
            <w:color w:val="000000"/>
            <w:vertAlign w:val="superscript"/>
          </w:rPr>
          <w:t>11</w:t>
        </w:r>
      </w:hyperlink>
      <w:r>
        <w:rPr>
          <w:rFonts w:ascii="宋体" w:hAnsi="宋体" w:eastAsia="宋体"/>
          <w:sz w:val="16"/>
          <w:vertAlign w:val="superscript"/>
        </w:rPr>
        <w:t>-</w:t>
      </w:r>
      <w:hyperlink w:anchor="ref-15">
        <w:r>
          <w:rPr>
            <w:color w:val="000000"/>
            <w:vertAlign w:val="superscript"/>
          </w:rPr>
          <w:t>15</w:t>
        </w:r>
      </w:hyperlink>
      <w:r>
        <w:rPr>
          <w:rFonts w:ascii="宋体" w:hAnsi="宋体" w:eastAsia="宋体"/>
          <w:sz w:val="16"/>
          <w:vertAlign w:val="superscript"/>
        </w:rPr>
        <w:t>]</w:t>
      </w:r>
      <w:r>
        <w:rPr>
          <w:rFonts w:ascii="宋体" w:hAnsi="宋体" w:eastAsia="宋体"/>
          <w:sz w:val="21"/>
        </w:rPr>
        <w:t>，也有利于将风险、效率和回收等目标置于同一比选框架下。</w:t>
      </w:r>
    </w:p>
    <w:p>
      <w:pPr>
        <w:spacing w:before="120" w:after="60"/>
      </w:pPr>
      <w:r>
        <w:rPr>
          <w:rFonts w:ascii="宋体" w:hAnsi="宋体" w:eastAsia="宋体"/>
          <w:b/>
          <w:sz w:val="22"/>
        </w:rPr>
        <w:t>2.4 三阶段采掘接续与经济闭环评价</w:t>
      </w:r>
    </w:p>
    <w:p>
      <w:pPr>
        <w:spacing w:after="40"/>
        <w:ind w:firstLine="420"/>
      </w:pPr>
      <w:r>
        <w:rPr>
          <w:rFonts w:ascii="宋体" w:hAnsi="宋体" w:eastAsia="宋体"/>
          <w:sz w:val="21"/>
        </w:rPr>
        <w:t>在一体化方法中，规划结果并不止于工作面与巷道的几何布局，而是进一步进入接续组织与工程经济分析。阶段 1 完成几何对象向生产组织对象的转换；阶段 2 将 ODI 风险场转换为时间序列风险输入；阶段 3 围绕产量、风险和工期开展候选接续方案评价。其综合接续评分可表示为</w:t>
      </w:r>
    </w:p>
    <w:p>
      <w:pPr>
        <w:jc w:val="center"/>
      </w:pPr>
      <m:oMath>
        <m:sSub>
          <m:e>
            <m:r>
              <m:t>S</m:t>
            </m:r>
          </m:e>
          <m:sub>
            <m:r>
              <m:t>succ</m:t>
            </m:r>
          </m:sub>
        </m:sSub>
        <m:r>
          <m:t>=αP+β(1−R)+γC</m:t>
        </m:r>
        <m:r>
          <m:t>（5）</m:t>
        </m:r>
      </m:oMath>
    </w:p>
    <w:p>
      <w:pPr>
        <w:spacing w:after="40"/>
        <w:ind w:firstLine="420"/>
      </w:pPr>
      <w:r>
        <w:rPr>
          <w:rFonts w:ascii="宋体" w:hAnsi="宋体" w:eastAsia="宋体"/>
          <w:sz w:val="21"/>
        </w:rPr>
        <w:t>式中，</w:t>
      </w:r>
      <m:oMath>
        <m:r>
          <m:t>P</m:t>
        </m:r>
      </m:oMath>
      <w:r>
        <w:rPr>
          <w:rFonts w:ascii="宋体" w:hAnsi="宋体" w:eastAsia="宋体"/>
          <w:sz w:val="21"/>
        </w:rPr>
        <w:t>表示产量相关指标，</w:t>
      </w:r>
      <m:oMath>
        <m:r>
          <m:t>R</m:t>
        </m:r>
      </m:oMath>
      <w:r>
        <w:rPr>
          <w:rFonts w:ascii="宋体" w:hAnsi="宋体" w:eastAsia="宋体"/>
          <w:sz w:val="21"/>
        </w:rPr>
        <w:t>表示风险强度或风险峰值，</w:t>
      </w:r>
      <m:oMath>
        <m:r>
          <m:t>C</m:t>
        </m:r>
      </m:oMath>
      <w:r>
        <w:rPr>
          <w:rFonts w:ascii="宋体" w:hAnsi="宋体" w:eastAsia="宋体"/>
          <w:sz w:val="21"/>
        </w:rPr>
        <w:t>表示工期与组织可控性，</w:t>
      </w:r>
      <m:oMath>
        <m:r>
          <m:t>α</m:t>
        </m:r>
      </m:oMath>
      <w:r>
        <w:rPr>
          <w:rFonts w:ascii="宋体" w:hAnsi="宋体" w:eastAsia="宋体"/>
          <w:sz w:val="21"/>
        </w:rPr>
        <w:t>、</w:t>
      </w:r>
      <m:oMath>
        <m:r>
          <m:t>β</m:t>
        </m:r>
      </m:oMath>
      <w:r>
        <w:rPr>
          <w:rFonts w:ascii="宋体" w:hAnsi="宋体" w:eastAsia="宋体"/>
          <w:sz w:val="21"/>
        </w:rPr>
        <w:t>、</w:t>
      </w:r>
      <m:oMath>
        <m:r>
          <m:t>γ</m:t>
        </m:r>
      </m:oMath>
      <w:r>
        <w:rPr>
          <w:rFonts w:ascii="宋体" w:hAnsi="宋体" w:eastAsia="宋体"/>
          <w:sz w:val="21"/>
        </w:rPr>
        <w:t>为权重。</w:t>
      </w:r>
    </w:p>
    <w:p>
      <w:pPr>
        <w:spacing w:after="40"/>
        <w:ind w:firstLine="420"/>
      </w:pPr>
      <w:r>
        <w:rPr>
          <w:rFonts w:ascii="宋体" w:hAnsi="宋体" w:eastAsia="宋体"/>
          <w:sz w:val="21"/>
        </w:rPr>
        <w:t>进一步地，经济分析将接续结果映射为月度现金流与净现值：</w:t>
      </w:r>
    </w:p>
    <w:p>
      <w:pPr>
        <w:jc w:val="center"/>
      </w:pPr>
      <m:oMath>
        <m:r>
          <m:t>NC</m:t>
        </m:r>
        <m:sSub>
          <m:e>
            <m:r>
              <m:t>F</m:t>
            </m:r>
          </m:e>
          <m:sub>
            <m:r>
              <m:t>t</m:t>
            </m:r>
          </m:sub>
        </m:sSub>
        <m:r>
          <m:t>=Re</m:t>
        </m:r>
        <m:sSub>
          <m:e>
            <m:r>
              <m:t>v</m:t>
            </m:r>
          </m:e>
          <m:sub>
            <m:r>
              <m:t>t</m:t>
            </m:r>
          </m:sub>
        </m:sSub>
        <m:r>
          <m:t>−Cos</m:t>
        </m:r>
        <m:sSub>
          <m:e>
            <m:r>
              <m:t>t</m:t>
            </m:r>
          </m:e>
          <m:sub>
            <m:r>
              <m:t>t</m:t>
            </m:r>
          </m:sub>
        </m:sSub>
        <m:r>
          <m:t>−RiskCos</m:t>
        </m:r>
        <m:sSub>
          <m:e>
            <m:r>
              <m:t>t</m:t>
            </m:r>
          </m:e>
          <m:sub>
            <m:r>
              <m:t>t</m:t>
            </m:r>
          </m:sub>
        </m:sSub>
        <m:r>
          <m:t>（6）</m:t>
        </m:r>
      </m:oMath>
    </w:p>
    <w:p>
      <w:pPr>
        <w:jc w:val="center"/>
      </w:pPr>
      <m:oMath>
        <m:r>
          <m:t>NPV=</m:t>
        </m:r>
        <m:nary>
          <m:naryPr>
            <m:chr m:val="∑"/>
            <m:limLoc m:val="subSup"/>
            <m:grow m:val="1"/>
            <m:subHide m:val="off"/>
            <m:supHide m:val="off"/>
          </m:naryPr>
          <m:sub>
            <m:r>
              <m:t>t=1</m:t>
            </m:r>
          </m:sub>
          <m:sup>
            <m:r>
              <m:t>T</m:t>
            </m:r>
          </m:sup>
          <m:e>
            <m:f>
              <m:fPr>
                <m:type m:val="bar"/>
              </m:fPr>
              <m:num>
                <m:r>
                  <m:t>NC</m:t>
                </m:r>
                <m:sSub>
                  <m:e>
                    <m:r>
                      <m:t>F</m:t>
                    </m:r>
                  </m:e>
                  <m:sub>
                    <m:r>
                      <m:t>t</m:t>
                    </m:r>
                  </m:sub>
                </m:sSub>
              </m:num>
              <m:den>
                <m:d>
                  <m:dPr>
                    <m:sepChr m:val="+"/>
                    <m:endChr m:val=""/>
                  </m:dPr>
                  <m:e>
                    <m:r>
                      <m:t>1</m:t>
                    </m:r>
                  </m:e>
                  <m:e>
                    <m:sSub>
                      <m:e>
                        <m:r>
                          <m:t>r</m:t>
                        </m:r>
                      </m:e>
                      <m:sub>
                        <m:r>
                          <m:t>m</m:t>
                        </m:r>
                      </m:sub>
                    </m:sSub>
                    <m:sSup>
                      <m:e>
                        <m:r>
                          <m:t>)</m:t>
                        </m:r>
                      </m:e>
                      <m:sup>
                        <m:r>
                          <m:t>t</m:t>
                        </m:r>
                      </m:sup>
                    </m:sSup>
                  </m:e>
                </m:d>
              </m:den>
            </m:f>
          </m:e>
        </m:nary>
        <m:r>
          <m:t>−</m:t>
        </m:r>
        <m:sSub>
          <m:e>
            <m:r>
              <m:t>I</m:t>
            </m:r>
          </m:e>
          <m:sub>
            <m:r>
              <m:t>0</m:t>
            </m:r>
          </m:sub>
        </m:sSub>
        <m:r>
          <m:t>（7）</m:t>
        </m:r>
      </m:oMath>
    </w:p>
    <w:p>
      <w:pPr>
        <w:spacing w:after="40"/>
        <w:ind w:firstLine="420"/>
      </w:pPr>
      <w:r>
        <w:rPr>
          <w:rFonts w:ascii="宋体" w:hAnsi="宋体" w:eastAsia="宋体"/>
          <w:sz w:val="21"/>
        </w:rPr>
        <w:t>式中，</w:t>
      </w:r>
      <m:oMath>
        <m:r>
          <m:t>NC</m:t>
        </m:r>
        <m:sSub>
          <m:e>
            <m:r>
              <m:t>F</m:t>
            </m:r>
          </m:e>
          <m:sub>
            <m:r>
              <m:t>t</m:t>
            </m:r>
          </m:sub>
        </m:sSub>
      </m:oMath>
      <w:r>
        <w:rPr>
          <w:rFonts w:ascii="宋体" w:hAnsi="宋体" w:eastAsia="宋体"/>
          <w:sz w:val="21"/>
        </w:rPr>
        <w:t>为第</w:t>
      </w:r>
      <m:oMath>
        <m:r>
          <m:t>t</m:t>
        </m:r>
      </m:oMath>
      <w:r>
        <w:rPr>
          <w:rFonts w:ascii="宋体" w:hAnsi="宋体" w:eastAsia="宋体"/>
          <w:sz w:val="21"/>
        </w:rPr>
        <w:t>月净现金流，</w:t>
      </w:r>
      <m:oMath>
        <m:r>
          <m:t>Re</m:t>
        </m:r>
        <m:sSub>
          <m:e>
            <m:r>
              <m:t>v</m:t>
            </m:r>
          </m:e>
          <m:sub>
            <m:r>
              <m:t>t</m:t>
            </m:r>
          </m:sub>
        </m:sSub>
      </m:oMath>
      <w:r>
        <w:rPr>
          <w:rFonts w:ascii="宋体" w:hAnsi="宋体" w:eastAsia="宋体"/>
          <w:sz w:val="21"/>
        </w:rPr>
        <w:t>为收入，</w:t>
      </w:r>
      <m:oMath>
        <m:r>
          <m:t>Cos</m:t>
        </m:r>
        <m:sSub>
          <m:e>
            <m:r>
              <m:t>t</m:t>
            </m:r>
          </m:e>
          <m:sub>
            <m:r>
              <m:t>t</m:t>
            </m:r>
          </m:sub>
        </m:sSub>
      </m:oMath>
      <w:r>
        <w:rPr>
          <w:rFonts w:ascii="宋体" w:hAnsi="宋体" w:eastAsia="宋体"/>
          <w:sz w:val="21"/>
        </w:rPr>
        <w:t>为成本，</w:t>
      </w:r>
      <m:oMath>
        <m:r>
          <m:t>RiskCos</m:t>
        </m:r>
        <m:sSub>
          <m:e>
            <m:r>
              <m:t>t</m:t>
            </m:r>
          </m:e>
          <m:sub>
            <m:r>
              <m:t>t</m:t>
            </m:r>
          </m:sub>
        </m:sSub>
      </m:oMath>
      <w:r>
        <w:rPr>
          <w:rFonts w:ascii="宋体" w:hAnsi="宋体" w:eastAsia="宋体"/>
          <w:sz w:val="21"/>
        </w:rPr>
        <w:t>为风险联动成本，</w:t>
      </w:r>
      <m:oMath>
        <m:sSub>
          <m:e>
            <m:r>
              <m:t>I</m:t>
            </m:r>
          </m:e>
          <m:sub>
            <m:r>
              <m:t>0</m:t>
            </m:r>
          </m:sub>
        </m:sSub>
      </m:oMath>
      <w:r>
        <w:rPr>
          <w:rFonts w:ascii="宋体" w:hAnsi="宋体" w:eastAsia="宋体"/>
          <w:sz w:val="21"/>
        </w:rPr>
        <w:t>为初始投入，</w:t>
      </w:r>
      <m:oMath>
        <m:sSub>
          <m:e>
            <m:r>
              <m:t>r</m:t>
            </m:r>
          </m:e>
          <m:sub>
            <m:r>
              <m:t>m</m:t>
            </m:r>
          </m:sub>
        </m:sSub>
      </m:oMath>
      <w:r>
        <w:rPr>
          <w:rFonts w:ascii="宋体" w:hAnsi="宋体" w:eastAsia="宋体"/>
          <w:sz w:val="21"/>
        </w:rPr>
        <w:t>为月折现率。上述表达体现的不是具体会计规则，而是规划、接续与风险因素进入经济评价的基本闭环关系</w:t>
      </w:r>
      <w:r>
        <w:rPr>
          <w:rFonts w:ascii="宋体" w:hAnsi="宋体" w:eastAsia="宋体"/>
          <w:sz w:val="16"/>
          <w:vertAlign w:val="superscript"/>
        </w:rPr>
        <w:t>[</w:t>
      </w:r>
      <w:hyperlink w:anchor="ref-19">
        <w:r>
          <w:rPr>
            <w:color w:val="000000"/>
            <w:vertAlign w:val="superscript"/>
          </w:rPr>
          <w:t>19</w:t>
        </w:r>
      </w:hyperlink>
      <w:r>
        <w:rPr>
          <w:rFonts w:ascii="宋体" w:hAnsi="宋体" w:eastAsia="宋体"/>
          <w:sz w:val="16"/>
          <w:vertAlign w:val="superscript"/>
        </w:rPr>
        <w:t>-</w:t>
      </w:r>
      <w:hyperlink w:anchor="ref-21">
        <w:r>
          <w:rPr>
            <w:color w:val="000000"/>
            <w:vertAlign w:val="superscript"/>
          </w:rPr>
          <w:t>21</w:t>
        </w:r>
      </w:hyperlink>
      <w:r>
        <w:rPr>
          <w:rFonts w:ascii="宋体" w:hAnsi="宋体" w:eastAsia="宋体"/>
          <w:sz w:val="16"/>
          <w:vertAlign w:val="superscript"/>
        </w:rPr>
        <w:t>]</w:t>
      </w:r>
      <w:r>
        <w:rPr>
          <w:rFonts w:ascii="宋体" w:hAnsi="宋体" w:eastAsia="宋体"/>
          <w:sz w:val="21"/>
        </w:rPr>
        <w:t>。</w:t>
      </w:r>
    </w:p>
    <w:p>
      <w:pPr>
        <w:sectPr>
          <w:type w:val="continuous"/>
          <w:pgSz w:w="12240" w:h="15840"/>
          <w:pgMar w:top="1247" w:right="1077" w:bottom="1247" w:left="1077" w:header="720" w:footer="720" w:gutter="0"/>
          <w:cols w:space="425" w:num="1"/>
          <w:docGrid w:linePitch="360"/>
        </w:sectPr>
      </w:pPr>
    </w:p>
    <w:p>
      <w:pPr>
        <w:spacing w:after="40"/>
        <w:jc w:val="center"/>
      </w:pPr>
      <w:r>
        <w:drawing>
          <wp:inline xmlns:a="http://schemas.openxmlformats.org/drawingml/2006/main" xmlns:pic="http://schemas.openxmlformats.org/drawingml/2006/picture">
            <wp:extent cx="5669280" cy="2362200"/>
            <wp:docPr id="6" name="Picture 6"/>
            <wp:cNvGraphicFramePr>
              <a:graphicFrameLocks noChangeAspect="1"/>
            </wp:cNvGraphicFramePr>
            <a:graphic>
              <a:graphicData uri="http://schemas.openxmlformats.org/drawingml/2006/picture">
                <pic:pic>
                  <pic:nvPicPr>
                    <pic:cNvPr id="0" name="图7_规划接续经济闭环评价图.png"/>
                    <pic:cNvPicPr/>
                  </pic:nvPicPr>
                  <pic:blipFill>
                    <a:blip r:embed="rId14"/>
                    <a:stretch>
                      <a:fillRect/>
                    </a:stretch>
                  </pic:blipFill>
                  <pic:spPr>
                    <a:xfrm>
                      <a:off x="0" y="0"/>
                      <a:ext cx="5669280" cy="2362200"/>
                    </a:xfrm>
                    <a:prstGeom prst="rect"/>
                  </pic:spPr>
                </pic:pic>
              </a:graphicData>
            </a:graphic>
          </wp:inline>
        </w:drawing>
      </w:r>
    </w:p>
    <w:p>
      <w:pPr>
        <w:spacing w:after="40"/>
        <w:jc w:val="center"/>
      </w:pPr>
      <w:r>
        <w:rPr>
          <w:rFonts w:ascii="宋体" w:hAnsi="宋体" w:eastAsia="宋体"/>
          <w:b w:val="0"/>
          <w:sz w:val="20"/>
        </w:rPr>
        <w:t>图6 规划-接续-经济闭环评价图</w:t>
      </w:r>
    </w:p>
    <w:p>
      <w:pPr>
        <w:spacing w:after="40"/>
        <w:ind w:firstLine="420"/>
      </w:pPr>
      <w:r>
        <w:rPr>
          <w:rFonts w:ascii="宋体" w:hAnsi="宋体" w:eastAsia="宋体"/>
          <w:sz w:val="21"/>
        </w:rPr>
        <w:t>图6表明，本文方法强调“布局结果可继续被接续与经济模块消费”，从而将原本后置的评价环节转化为与规划过程耦合的闭环链路。</w:t>
      </w:r>
    </w:p>
    <w:p>
      <w:pPr>
        <w:spacing w:before="120" w:after="60"/>
      </w:pPr>
      <w:r>
        <w:rPr>
          <w:rFonts w:ascii="宋体" w:hAnsi="宋体" w:eastAsia="宋体"/>
          <w:b/>
          <w:sz w:val="22"/>
        </w:rPr>
        <w:t>2.5 证据映射与复现约束</w:t>
      </w:r>
    </w:p>
    <w:p>
      <w:pPr>
        <w:spacing w:after="40"/>
        <w:ind w:firstLine="420"/>
      </w:pPr>
      <w:r>
        <w:rPr>
          <w:rFonts w:ascii="宋体" w:hAnsi="宋体" w:eastAsia="宋体"/>
          <w:sz w:val="21"/>
        </w:rPr>
        <w:t>主文证据来自固定样例输入、版本化代码快照和脚本可再生图件，而非脱离运行结果的事后归纳。样例输入主要包括采区边界数据、钻孔数据和设计参数；中间与输出证据包括地质建模结果、采区设计结果、GNN 训练结果及网格预测结果。文字整理与图件重构基于代码快照 b0d24be 完成，主文机制图由脚本重新生成，主文结果图则直接对应接口输出。当前工作区已经具备“同版本代码 + 同批样例数据 + 同套脚本”条件下的样例级复现能力，但尚未形成面向外部发布的标准化数据包、参数锁定文件和跨环境复现说明。因此，本文关于方法有效性的表述仅限于样例级再现和链路级论证，不扩展为跨矿区、跨环境意义上的充分复现实证。</w:t>
      </w:r>
    </w:p>
    <w:p>
      <w:pPr>
        <w:spacing w:before="120" w:after="60"/>
      </w:pPr>
      <w:r>
        <w:rPr>
          <w:rFonts w:ascii="黑体" w:hAnsi="黑体" w:eastAsia="黑体"/>
          <w:b/>
          <w:sz w:val="26"/>
        </w:rPr>
        <w:t>3 结果与验证</w:t>
      </w:r>
    </w:p>
    <w:p>
      <w:pPr>
        <w:spacing w:before="120" w:after="60"/>
      </w:pPr>
      <w:r>
        <w:rPr>
          <w:rFonts w:ascii="宋体" w:hAnsi="宋体" w:eastAsia="宋体"/>
          <w:b/>
          <w:sz w:val="22"/>
        </w:rPr>
        <w:t>3.1 样例数据与验证口径</w:t>
      </w:r>
    </w:p>
    <w:p>
      <w:pPr>
        <w:spacing w:after="40"/>
        <w:ind w:firstLine="420"/>
      </w:pPr>
      <w:r>
        <w:rPr>
          <w:rFonts w:ascii="宋体" w:hAnsi="宋体" w:eastAsia="宋体"/>
          <w:sz w:val="21"/>
        </w:rPr>
        <w:t>考虑到当前阶段尚缺少真实矿井多案例对照数据，本文将验证目标限定为样例级链路贯通，而非工业级性能验证。样例输入包括 1 个由 6 个边界点构成的采区边界对象和 15 个钻孔样点，钻孔编号为 ZK-101 至 ZK-115；煤层厚度样本最小值为 2.8 m，最大值为 4.8 m，平均值为 3.7933 m。在此基础上，验证重点集中于四个方面：数据能否稳定导入并生成参数场，规划模块能否输出结构化工作面与巷道对象，规划结果能否继续进入接续、经济与导出链路，以及扩展建模模块是否具备可运行的接口链路。</w:t>
      </w:r>
    </w:p>
    <w:p>
      <w:pPr>
        <w:spacing w:after="40"/>
        <w:ind w:firstLine="420"/>
      </w:pPr>
      <w:r>
        <w:rPr>
          <w:rFonts w:ascii="宋体" w:hAnsi="宋体" w:eastAsia="宋体"/>
          <w:sz w:val="21"/>
        </w:rPr>
        <w:t>与常见的算法优劣比较研究不同，本文尚未引入真实矿井基线方案对照，也未形成训练/测试切分下的统计显著性检验、置信区间或效应量报告。因此，正文中的“验证”主要指接口链路与工程对象传递关系在样例数据上的贯通，而不代表方法已经完成可推广的性能统计论证。</w:t>
      </w:r>
    </w:p>
    <w:p>
      <w:pPr>
        <w:sectPr>
          <w:type w:val="continuous"/>
          <w:pgSz w:w="12240" w:h="15840"/>
          <w:pgMar w:top="1247" w:right="1077" w:bottom="1247" w:left="1077" w:header="720" w:footer="720" w:gutter="0"/>
          <w:cols w:space="425" w:num="1"/>
          <w:docGrid w:linePitch="360"/>
        </w:sectPr>
      </w:pPr>
    </w:p>
    <w:p>
      <w:pPr>
        <w:spacing w:after="40"/>
        <w:jc w:val="center"/>
      </w:pPr>
      <w:r>
        <w:rPr>
          <w:rFonts w:ascii="宋体" w:hAnsi="宋体" w:eastAsia="宋体"/>
          <w:b w:val="0"/>
          <w:sz w:val="20"/>
        </w:rPr>
        <w:t>表3 样例贯通验证关键结果</w:t>
      </w:r>
    </w:p>
    <w:p>
      <w:pPr>
        <w:spacing w:after="40"/>
        <w:jc w:val="center"/>
      </w:pPr>
      <w:r>
        <w:rPr>
          <w:rFonts w:ascii="宋体" w:hAnsi="宋体" w:eastAsia="宋体"/>
          <w:b w:val="0"/>
          <w:sz w:val="20"/>
        </w:rPr>
        <w:t>Table 3 Key results of sample end-to-end verification</w:t>
      </w:r>
    </w:p>
    <w:tbl>
      <w:tblPr>
        <w:tblW w:type="auto" w:w="0"/>
        <w:tblLayout w:type="fixed"/>
        <w:tblLook w:firstColumn="1" w:firstRow="1" w:lastColumn="0" w:lastRow="0" w:noHBand="0" w:noVBand="1" w:val="04A0"/>
      </w:tblPr>
      <w:tblGrid>
        <w:gridCol w:w="3362"/>
        <w:gridCol w:w="3362"/>
        <w:gridCol w:w="3362"/>
      </w:tblGrid>
      <w:tr>
        <w:tc>
          <w:tcPr>
            <w:tcW w:type="dxa" w:w="3362"/>
            <w:tcBorders>
              <w:top w:val="single" w:sz="12" w:space="0" w:color="000000"/>
              <w:left w:val="nil"/>
              <w:bottom w:val="single" w:sz="8" w:space="0" w:color="000000"/>
              <w:right w:val="nil"/>
            </w:tcBorders>
          </w:tcPr>
          <w:p>
            <w:pPr>
              <w:spacing w:after="0" w:before="0"/>
              <w:jc w:val="center"/>
            </w:pPr>
            <w:r>
              <w:rPr>
                <w:rFonts w:ascii="宋体" w:hAnsi="宋体" w:eastAsia="宋体"/>
                <w:b/>
                <w:sz w:val="18"/>
              </w:rPr>
              <w:t>验证项</w:t>
            </w:r>
          </w:p>
        </w:tc>
        <w:tc>
          <w:tcPr>
            <w:tcW w:type="dxa" w:w="3362"/>
            <w:tcBorders>
              <w:top w:val="single" w:sz="12" w:space="0" w:color="000000"/>
              <w:left w:val="nil"/>
              <w:bottom w:val="single" w:sz="8" w:space="0" w:color="000000"/>
              <w:right w:val="nil"/>
            </w:tcBorders>
          </w:tcPr>
          <w:p>
            <w:pPr>
              <w:spacing w:after="0" w:before="0"/>
              <w:jc w:val="center"/>
            </w:pPr>
            <w:r>
              <w:rPr>
                <w:rFonts w:ascii="宋体" w:hAnsi="宋体" w:eastAsia="宋体"/>
                <w:b/>
                <w:sz w:val="18"/>
              </w:rPr>
              <w:t>样例结果</w:t>
            </w:r>
          </w:p>
        </w:tc>
        <w:tc>
          <w:tcPr>
            <w:tcW w:type="dxa" w:w="3362"/>
            <w:tcBorders>
              <w:top w:val="single" w:sz="12" w:space="0" w:color="000000"/>
              <w:left w:val="nil"/>
              <w:bottom w:val="single" w:sz="8" w:space="0" w:color="000000"/>
              <w:right w:val="nil"/>
            </w:tcBorders>
          </w:tcPr>
          <w:p>
            <w:pPr>
              <w:spacing w:after="0" w:before="0"/>
              <w:jc w:val="center"/>
            </w:pPr>
            <w:r>
              <w:rPr>
                <w:rFonts w:ascii="宋体" w:hAnsi="宋体" w:eastAsia="宋体"/>
                <w:b/>
                <w:sz w:val="18"/>
              </w:rPr>
              <w:t>解释口径</w:t>
            </w:r>
          </w:p>
        </w:tc>
      </w:tr>
      <w:tr>
        <w:tc>
          <w:tcPr>
            <w:tcW w:type="dxa" w:w="3362"/>
            <w:tcBorders>
              <w:top w:val="nil"/>
              <w:left w:val="nil"/>
              <w:bottom w:val="nil"/>
              <w:right w:val="nil"/>
            </w:tcBorders>
          </w:tcPr>
          <w:p>
            <w:pPr>
              <w:spacing w:after="0" w:before="0"/>
              <w:jc w:val="center"/>
            </w:pPr>
            <w:r>
              <w:rPr>
                <w:rFonts w:ascii="宋体" w:hAnsi="宋体" w:eastAsia="宋体"/>
                <w:sz w:val="18"/>
              </w:rPr>
              <w:t>钻孔样点数量</w:t>
            </w:r>
          </w:p>
        </w:tc>
        <w:tc>
          <w:tcPr>
            <w:tcW w:type="dxa" w:w="3362"/>
            <w:tcBorders>
              <w:top w:val="nil"/>
              <w:left w:val="nil"/>
              <w:bottom w:val="nil"/>
              <w:right w:val="nil"/>
            </w:tcBorders>
          </w:tcPr>
          <w:p>
            <w:pPr>
              <w:spacing w:after="0" w:before="0"/>
              <w:jc w:val="center"/>
            </w:pPr>
            <w:r>
              <w:rPr>
                <w:rFonts w:ascii="宋体" w:hAnsi="宋体" w:eastAsia="宋体"/>
                <w:sz w:val="18"/>
              </w:rPr>
              <w:t>15 个</w:t>
            </w:r>
          </w:p>
        </w:tc>
        <w:tc>
          <w:tcPr>
            <w:tcW w:type="dxa" w:w="3362"/>
            <w:tcBorders>
              <w:top w:val="nil"/>
              <w:left w:val="nil"/>
              <w:bottom w:val="nil"/>
              <w:right w:val="nil"/>
            </w:tcBorders>
          </w:tcPr>
          <w:p>
            <w:pPr>
              <w:spacing w:after="0" w:before="0"/>
              <w:jc w:val="center"/>
            </w:pPr>
            <w:r>
              <w:rPr>
                <w:rFonts w:ascii="宋体" w:hAnsi="宋体" w:eastAsia="宋体"/>
                <w:sz w:val="18"/>
              </w:rPr>
              <w:t>支撑样例级参数场构建</w:t>
            </w:r>
          </w:p>
        </w:tc>
      </w:tr>
      <w:tr>
        <w:tc>
          <w:tcPr>
            <w:tcW w:type="dxa" w:w="3362"/>
            <w:tcBorders>
              <w:top w:val="nil"/>
              <w:left w:val="nil"/>
              <w:bottom w:val="nil"/>
              <w:right w:val="nil"/>
            </w:tcBorders>
          </w:tcPr>
          <w:p>
            <w:pPr>
              <w:spacing w:after="0" w:before="0"/>
              <w:jc w:val="center"/>
            </w:pPr>
            <w:r>
              <w:rPr>
                <w:rFonts w:ascii="宋体" w:hAnsi="宋体" w:eastAsia="宋体"/>
                <w:sz w:val="18"/>
              </w:rPr>
              <w:t>煤层厚度范围</w:t>
            </w:r>
          </w:p>
        </w:tc>
        <w:tc>
          <w:tcPr>
            <w:tcW w:type="dxa" w:w="3362"/>
            <w:tcBorders>
              <w:top w:val="nil"/>
              <w:left w:val="nil"/>
              <w:bottom w:val="nil"/>
              <w:right w:val="nil"/>
            </w:tcBorders>
          </w:tcPr>
          <w:p>
            <w:pPr>
              <w:spacing w:after="0" w:before="0"/>
              <w:jc w:val="center"/>
            </w:pPr>
            <w:r>
              <w:rPr>
                <w:rFonts w:ascii="宋体" w:hAnsi="宋体" w:eastAsia="宋体"/>
                <w:sz w:val="18"/>
              </w:rPr>
              <w:t>2.8 m 至 4.8 m</w:t>
            </w:r>
          </w:p>
        </w:tc>
        <w:tc>
          <w:tcPr>
            <w:tcW w:type="dxa" w:w="3362"/>
            <w:tcBorders>
              <w:top w:val="nil"/>
              <w:left w:val="nil"/>
              <w:bottom w:val="nil"/>
              <w:right w:val="nil"/>
            </w:tcBorders>
          </w:tcPr>
          <w:p>
            <w:pPr>
              <w:spacing w:after="0" w:before="0"/>
              <w:jc w:val="center"/>
            </w:pPr>
            <w:r>
              <w:rPr>
                <w:rFonts w:ascii="宋体" w:hAnsi="宋体" w:eastAsia="宋体"/>
                <w:sz w:val="18"/>
              </w:rPr>
              <w:t>支撑厚度场插值</w:t>
            </w:r>
          </w:p>
        </w:tc>
      </w:tr>
      <w:tr>
        <w:tc>
          <w:tcPr>
            <w:tcW w:type="dxa" w:w="3362"/>
            <w:tcBorders>
              <w:top w:val="nil"/>
              <w:left w:val="nil"/>
              <w:bottom w:val="nil"/>
              <w:right w:val="nil"/>
            </w:tcBorders>
          </w:tcPr>
          <w:p>
            <w:pPr>
              <w:spacing w:after="0" w:before="0"/>
              <w:jc w:val="center"/>
            </w:pPr>
            <w:r>
              <w:rPr>
                <w:rFonts w:ascii="宋体" w:hAnsi="宋体" w:eastAsia="宋体"/>
                <w:sz w:val="18"/>
              </w:rPr>
              <w:t>工作面数量</w:t>
            </w:r>
          </w:p>
        </w:tc>
        <w:tc>
          <w:tcPr>
            <w:tcW w:type="dxa" w:w="3362"/>
            <w:tcBorders>
              <w:top w:val="nil"/>
              <w:left w:val="nil"/>
              <w:bottom w:val="nil"/>
              <w:right w:val="nil"/>
            </w:tcBorders>
          </w:tcPr>
          <w:p>
            <w:pPr>
              <w:spacing w:after="0" w:before="0"/>
              <w:jc w:val="center"/>
            </w:pPr>
            <w:r>
              <w:rPr>
                <w:rFonts w:ascii="宋体" w:hAnsi="宋体" w:eastAsia="宋体"/>
                <w:sz w:val="18"/>
              </w:rPr>
              <w:t>3 个</w:t>
            </w:r>
          </w:p>
        </w:tc>
        <w:tc>
          <w:tcPr>
            <w:tcW w:type="dxa" w:w="3362"/>
            <w:tcBorders>
              <w:top w:val="nil"/>
              <w:left w:val="nil"/>
              <w:bottom w:val="nil"/>
              <w:right w:val="nil"/>
            </w:tcBorders>
          </w:tcPr>
          <w:p>
            <w:pPr>
              <w:spacing w:after="0" w:before="0"/>
              <w:jc w:val="center"/>
            </w:pPr>
            <w:r>
              <w:rPr>
                <w:rFonts w:ascii="宋体" w:hAnsi="宋体" w:eastAsia="宋体"/>
                <w:sz w:val="18"/>
              </w:rPr>
              <w:t>说明规划可输出结构化对象</w:t>
            </w:r>
          </w:p>
        </w:tc>
      </w:tr>
      <w:tr>
        <w:tc>
          <w:tcPr>
            <w:tcW w:type="dxa" w:w="3362"/>
            <w:tcBorders>
              <w:top w:val="nil"/>
              <w:left w:val="nil"/>
              <w:bottom w:val="nil"/>
              <w:right w:val="nil"/>
            </w:tcBorders>
          </w:tcPr>
          <w:p>
            <w:pPr>
              <w:spacing w:after="0" w:before="0"/>
              <w:jc w:val="center"/>
            </w:pPr>
            <w:r>
              <w:rPr>
                <w:rFonts w:ascii="宋体" w:hAnsi="宋体" w:eastAsia="宋体"/>
                <w:sz w:val="18"/>
              </w:rPr>
              <w:t>巷道数量</w:t>
            </w:r>
          </w:p>
        </w:tc>
        <w:tc>
          <w:tcPr>
            <w:tcW w:type="dxa" w:w="3362"/>
            <w:tcBorders>
              <w:top w:val="nil"/>
              <w:left w:val="nil"/>
              <w:bottom w:val="nil"/>
              <w:right w:val="nil"/>
            </w:tcBorders>
          </w:tcPr>
          <w:p>
            <w:pPr>
              <w:spacing w:after="0" w:before="0"/>
              <w:jc w:val="center"/>
            </w:pPr>
            <w:r>
              <w:rPr>
                <w:rFonts w:ascii="宋体" w:hAnsi="宋体" w:eastAsia="宋体"/>
                <w:sz w:val="18"/>
              </w:rPr>
              <w:t>11 条</w:t>
            </w:r>
          </w:p>
        </w:tc>
        <w:tc>
          <w:tcPr>
            <w:tcW w:type="dxa" w:w="3362"/>
            <w:tcBorders>
              <w:top w:val="nil"/>
              <w:left w:val="nil"/>
              <w:bottom w:val="nil"/>
              <w:right w:val="nil"/>
            </w:tcBorders>
          </w:tcPr>
          <w:p>
            <w:pPr>
              <w:spacing w:after="0" w:before="0"/>
              <w:jc w:val="center"/>
            </w:pPr>
            <w:r>
              <w:rPr>
                <w:rFonts w:ascii="宋体" w:hAnsi="宋体" w:eastAsia="宋体"/>
                <w:sz w:val="18"/>
              </w:rPr>
              <w:t>说明几何布局链路已贯通</w:t>
            </w:r>
          </w:p>
        </w:tc>
      </w:tr>
      <w:tr>
        <w:tc>
          <w:tcPr>
            <w:tcW w:type="dxa" w:w="3362"/>
            <w:tcBorders>
              <w:top w:val="nil"/>
              <w:left w:val="nil"/>
              <w:bottom w:val="nil"/>
              <w:right w:val="nil"/>
            </w:tcBorders>
          </w:tcPr>
          <w:p>
            <w:pPr>
              <w:spacing w:after="0" w:before="0"/>
              <w:jc w:val="center"/>
            </w:pPr>
            <w:r>
              <w:rPr>
                <w:rFonts w:ascii="宋体" w:hAnsi="宋体" w:eastAsia="宋体"/>
                <w:sz w:val="18"/>
              </w:rPr>
              <w:t>GNN 指标</w:t>
            </w:r>
          </w:p>
        </w:tc>
        <w:tc>
          <w:tcPr>
            <w:tcW w:type="dxa" w:w="3362"/>
            <w:tcBorders>
              <w:top w:val="nil"/>
              <w:left w:val="nil"/>
              <w:bottom w:val="nil"/>
              <w:right w:val="nil"/>
            </w:tcBorders>
          </w:tcPr>
          <w:p>
            <w:pPr>
              <w:spacing w:after="0" w:before="0"/>
              <w:jc w:val="center"/>
            </w:pPr>
            <w:r>
              <w:rPr>
                <w:rFonts w:ascii="宋体" w:hAnsi="宋体" w:eastAsia="宋体"/>
                <w:sz w:val="18"/>
              </w:rPr>
              <w:t>MAE=0.5141，RMSE=0.6157，R²=-0.0436</w:t>
            </w:r>
          </w:p>
        </w:tc>
        <w:tc>
          <w:tcPr>
            <w:tcW w:type="dxa" w:w="3362"/>
            <w:tcBorders>
              <w:top w:val="nil"/>
              <w:left w:val="nil"/>
              <w:bottom w:val="nil"/>
              <w:right w:val="nil"/>
            </w:tcBorders>
          </w:tcPr>
          <w:p>
            <w:pPr>
              <w:spacing w:after="0" w:before="0"/>
              <w:jc w:val="center"/>
            </w:pPr>
            <w:r>
              <w:rPr>
                <w:rFonts w:ascii="宋体" w:hAnsi="宋体" w:eastAsia="宋体"/>
                <w:sz w:val="18"/>
              </w:rPr>
              <w:t>仅证明扩展接口可运行</w:t>
            </w:r>
          </w:p>
        </w:tc>
      </w:tr>
      <w:tr>
        <w:tc>
          <w:tcPr>
            <w:tcW w:type="dxa" w:w="3362"/>
            <w:tcBorders>
              <w:top w:val="nil"/>
              <w:left w:val="nil"/>
              <w:bottom w:val="single" w:sz="12" w:space="0" w:color="000000"/>
              <w:right w:val="nil"/>
            </w:tcBorders>
          </w:tcPr>
          <w:p>
            <w:pPr>
              <w:spacing w:after="0" w:before="0"/>
              <w:jc w:val="center"/>
            </w:pPr>
            <w:r>
              <w:rPr>
                <w:rFonts w:ascii="宋体" w:hAnsi="宋体" w:eastAsia="宋体"/>
                <w:sz w:val="18"/>
              </w:rPr>
              <w:t>导出能力</w:t>
            </w:r>
          </w:p>
        </w:tc>
        <w:tc>
          <w:tcPr>
            <w:tcW w:type="dxa" w:w="3362"/>
            <w:tcBorders>
              <w:top w:val="nil"/>
              <w:left w:val="nil"/>
              <w:bottom w:val="single" w:sz="12" w:space="0" w:color="000000"/>
              <w:right w:val="nil"/>
            </w:tcBorders>
          </w:tcPr>
          <w:p>
            <w:pPr>
              <w:spacing w:after="0" w:before="0"/>
              <w:jc w:val="center"/>
            </w:pPr>
            <w:r>
              <w:rPr>
                <w:rFonts w:ascii="宋体" w:hAnsi="宋体" w:eastAsia="宋体"/>
                <w:sz w:val="18"/>
              </w:rPr>
              <w:t>图件、JSON、CAD 路径已接通</w:t>
            </w:r>
          </w:p>
        </w:tc>
        <w:tc>
          <w:tcPr>
            <w:tcW w:type="dxa" w:w="3362"/>
            <w:tcBorders>
              <w:top w:val="nil"/>
              <w:left w:val="nil"/>
              <w:bottom w:val="single" w:sz="12" w:space="0" w:color="000000"/>
              <w:right w:val="nil"/>
            </w:tcBorders>
          </w:tcPr>
          <w:p>
            <w:pPr>
              <w:spacing w:after="0" w:before="0"/>
              <w:jc w:val="center"/>
            </w:pPr>
            <w:r>
              <w:rPr>
                <w:rFonts w:ascii="宋体" w:hAnsi="宋体" w:eastAsia="宋体"/>
                <w:sz w:val="18"/>
              </w:rPr>
              <w:t>说明成果可继续消费</w:t>
            </w:r>
          </w:p>
        </w:tc>
      </w:tr>
    </w:tbl>
    <w:p>
      <w:pPr>
        <w:spacing w:before="120" w:after="60"/>
      </w:pPr>
      <w:r>
        <w:rPr>
          <w:rFonts w:ascii="宋体" w:hAnsi="宋体" w:eastAsia="宋体"/>
          <w:b/>
          <w:sz w:val="22"/>
        </w:rPr>
        <w:t>3.2 参数场与空间布局结果</w:t>
      </w:r>
    </w:p>
    <w:p>
      <w:pPr>
        <w:spacing w:after="40"/>
        <w:ind w:firstLine="420"/>
      </w:pPr>
      <w:r>
        <w:rPr>
          <w:rFonts w:ascii="宋体" w:hAnsi="宋体" w:eastAsia="宋体"/>
          <w:sz w:val="21"/>
        </w:rPr>
        <w:t>在完成边界、钻孔与参数输入后，系统首先生成煤层厚度参数场，并据此开展工作面与巷道布局。图4表明，离散钻孔信息已经能够被组织为连续参数场；在此基础上，规划模块输出了 3 个工作面和 11 条巷道，说明参数场已经实际参与几何布局求解，而非仅作为独立展示结果。从参数场生成到几何布局导出的链路在当前样例条件下是连通的，输出对象也已具备继续传入接续与评价模块的结构化条件。</w:t>
      </w:r>
    </w:p>
    <w:p>
      <w:pPr>
        <w:sectPr>
          <w:type w:val="continuous"/>
          <w:pgSz w:w="12240" w:h="15840"/>
          <w:pgMar w:top="1247" w:right="1077" w:bottom="1247" w:left="1077" w:header="720" w:footer="720" w:gutter="0"/>
          <w:cols w:space="425" w:num="1"/>
          <w:docGrid w:linePitch="360"/>
        </w:sectPr>
      </w:pPr>
    </w:p>
    <w:p>
      <w:pPr>
        <w:spacing w:after="40"/>
        <w:jc w:val="center"/>
      </w:pPr>
      <w:r>
        <w:drawing>
          <wp:inline xmlns:a="http://schemas.openxmlformats.org/drawingml/2006/main" xmlns:pic="http://schemas.openxmlformats.org/drawingml/2006/picture">
            <wp:extent cx="5034578" cy="3566159"/>
            <wp:docPr id="7" name="Picture 7"/>
            <wp:cNvGraphicFramePr>
              <a:graphicFrameLocks noChangeAspect="1"/>
            </wp:cNvGraphicFramePr>
            <a:graphic>
              <a:graphicData uri="http://schemas.openxmlformats.org/drawingml/2006/picture">
                <pic:pic>
                  <pic:nvPicPr>
                    <pic:cNvPr id="0" name="图3_采区工作面与巷道布局图.png"/>
                    <pic:cNvPicPr/>
                  </pic:nvPicPr>
                  <pic:blipFill>
                    <a:blip r:embed="rId15"/>
                    <a:stretch>
                      <a:fillRect/>
                    </a:stretch>
                  </pic:blipFill>
                  <pic:spPr>
                    <a:xfrm>
                      <a:off x="0" y="0"/>
                      <a:ext cx="5034578" cy="3566159"/>
                    </a:xfrm>
                    <a:prstGeom prst="rect"/>
                  </pic:spPr>
                </pic:pic>
              </a:graphicData>
            </a:graphic>
          </wp:inline>
        </w:drawing>
      </w:r>
    </w:p>
    <w:p>
      <w:pPr>
        <w:spacing w:after="40"/>
        <w:jc w:val="center"/>
      </w:pPr>
      <w:r>
        <w:rPr>
          <w:rFonts w:ascii="宋体" w:hAnsi="宋体" w:eastAsia="宋体"/>
          <w:b w:val="0"/>
          <w:sz w:val="20"/>
        </w:rPr>
        <w:t>图7 采区工作面与巷道布局图</w:t>
      </w:r>
    </w:p>
    <w:p>
      <w:pPr>
        <w:spacing w:after="40"/>
        <w:ind w:firstLine="420"/>
      </w:pPr>
      <w:r>
        <w:rPr>
          <w:rFonts w:ascii="宋体" w:hAnsi="宋体" w:eastAsia="宋体"/>
          <w:sz w:val="21"/>
        </w:rPr>
        <w:t>图7所示结果说明，规划输出不是抽象评分，而是能够继续传递到接续与经济评价环节的几何设计对象。样例中工作面编号分别为 WF-01、WF-02 和 WF-03，满足“由参数场到结构化规划对象”的链路要求。需要指出的是，3 个工作面虽然均成功生成，但接口结果同时给出了“推进长度小于最小值 800.0 m”的校验提示。这表明当前样例布局更适合被理解为可计算、可导出、可继续传递的候选设计对象，而非已经通过工程约束终校的最终生产方案。</w:t>
      </w:r>
    </w:p>
    <w:p>
      <w:pPr>
        <w:spacing w:before="120" w:after="60"/>
      </w:pPr>
      <w:r>
        <w:rPr>
          <w:rFonts w:ascii="宋体" w:hAnsi="宋体" w:eastAsia="宋体"/>
          <w:b/>
          <w:sz w:val="22"/>
        </w:rPr>
        <w:t>3.3 端到端链路贯通结果</w:t>
      </w:r>
    </w:p>
    <w:p>
      <w:pPr>
        <w:spacing w:after="40"/>
        <w:ind w:firstLine="420"/>
      </w:pPr>
      <w:r>
        <w:rPr>
          <w:rFonts w:ascii="宋体" w:hAnsi="宋体" w:eastAsia="宋体"/>
          <w:sz w:val="21"/>
        </w:rPr>
        <w:t>从整体链路看，现有系统已经能够完成“采区边界与钻孔导入 - 参数场构建 - 风险组织 - 方案规划 - 接续与经济分析 - 成果导出”的闭环流程。与仅展示局部算法输出相比，这一结果更能体现一体化方法在工程组织层面的价值，即每个中间结果都能够被后续模块继续消费，而不是在单个图件或单个指标处终止。</w:t>
      </w:r>
    </w:p>
    <w:p>
      <w:pPr>
        <w:spacing w:after="40"/>
        <w:ind w:firstLine="420"/>
      </w:pPr>
      <w:r>
        <w:rPr>
          <w:rFonts w:ascii="宋体" w:hAnsi="宋体" w:eastAsia="宋体"/>
          <w:sz w:val="21"/>
        </w:rPr>
        <w:t>从验证证据看，当前平台已稳定产出边界与钻孔分布图、煤层厚度插值热力图、工作面与巷道布局图，并保存相应结构化 JSON 结果。这说明所建方法链已在现有样例数据条件下具备连续运行能力。需要强调的是，该结论对应的是“方法链可运行、对象链可传递”，而不是“方案质量已优于传统方法”或“样例布局已满足全部工程约束”。</w:t>
      </w:r>
    </w:p>
    <w:p>
      <w:pPr>
        <w:spacing w:before="120" w:after="60"/>
      </w:pPr>
      <w:r>
        <w:rPr>
          <w:rFonts w:ascii="宋体" w:hAnsi="宋体" w:eastAsia="宋体"/>
          <w:b/>
          <w:sz w:val="22"/>
        </w:rPr>
        <w:t>3.4 扩展建模能力与边界说明</w:t>
      </w:r>
    </w:p>
    <w:p>
      <w:pPr>
        <w:spacing w:after="40"/>
        <w:ind w:firstLine="420"/>
      </w:pPr>
      <w:r>
        <w:rPr>
          <w:rFonts w:ascii="宋体" w:hAnsi="宋体" w:eastAsia="宋体"/>
          <w:sz w:val="21"/>
        </w:rPr>
        <w:t>除主链路外，系统还提供基于 GNN 的扩展建模接口，用于探索小样本条件下的结构化地质预测。样例运行结果如图8所示。</w:t>
      </w:r>
    </w:p>
    <w:p>
      <w:pPr>
        <w:sectPr>
          <w:type w:val="continuous"/>
          <w:pgSz w:w="12240" w:h="15840"/>
          <w:pgMar w:top="1247" w:right="1077" w:bottom="1247" w:left="1077" w:header="720" w:footer="720" w:gutter="0"/>
          <w:cols w:space="425" w:num="1"/>
          <w:docGrid w:linePitch="360"/>
        </w:sectPr>
      </w:pPr>
    </w:p>
    <w:p>
      <w:pPr>
        <w:spacing w:after="40"/>
        <w:jc w:val="center"/>
      </w:pPr>
      <w:r>
        <w:drawing>
          <wp:inline xmlns:a="http://schemas.openxmlformats.org/drawingml/2006/main" xmlns:pic="http://schemas.openxmlformats.org/drawingml/2006/picture">
            <wp:extent cx="4457700" cy="3566160"/>
            <wp:docPr id="8" name="Picture 8"/>
            <wp:cNvGraphicFramePr>
              <a:graphicFrameLocks noChangeAspect="1"/>
            </wp:cNvGraphicFramePr>
            <a:graphic>
              <a:graphicData uri="http://schemas.openxmlformats.org/drawingml/2006/picture">
                <pic:pic>
                  <pic:nvPicPr>
                    <pic:cNvPr id="0" name="图4_GNN煤层厚度预测网格图.png"/>
                    <pic:cNvPicPr/>
                  </pic:nvPicPr>
                  <pic:blipFill>
                    <a:blip r:embed="rId16"/>
                    <a:stretch>
                      <a:fillRect/>
                    </a:stretch>
                  </pic:blipFill>
                  <pic:spPr>
                    <a:xfrm>
                      <a:off x="0" y="0"/>
                      <a:ext cx="4457700" cy="3566160"/>
                    </a:xfrm>
                    <a:prstGeom prst="rect"/>
                  </pic:spPr>
                </pic:pic>
              </a:graphicData>
            </a:graphic>
          </wp:inline>
        </w:drawing>
      </w:r>
    </w:p>
    <w:p>
      <w:pPr>
        <w:spacing w:after="40"/>
        <w:jc w:val="center"/>
      </w:pPr>
      <w:r>
        <w:rPr>
          <w:rFonts w:ascii="宋体" w:hAnsi="宋体" w:eastAsia="宋体"/>
          <w:b w:val="0"/>
          <w:sz w:val="20"/>
        </w:rPr>
        <w:t>图8 GNN煤层厚度预测网格图</w:t>
      </w:r>
    </w:p>
    <w:p>
      <w:pPr>
        <w:spacing w:after="40"/>
        <w:ind w:firstLine="420"/>
      </w:pPr>
      <w:r>
        <w:rPr>
          <w:rFonts w:ascii="宋体" w:hAnsi="宋体" w:eastAsia="宋体"/>
          <w:sz w:val="21"/>
        </w:rPr>
        <w:t>图8说明扩展建模链路已经具备输入、训练与网格输出能力，但当前训练样本仅为 15 个钻孔，所得 MAE=0.5141、RMSE=0.6157、R²=-0.0436 仅能证明扩展接口可运行，尚不足以支撑泛化精度、工程可用性或相对优越性的强结论。因此，本研究仅将该模块作为平台扩展能力展示，而未将其纳入核心贡献和主结论。</w:t>
      </w:r>
    </w:p>
    <w:p>
      <w:pPr>
        <w:spacing w:before="120" w:after="60"/>
      </w:pPr>
      <w:r>
        <w:rPr>
          <w:rFonts w:ascii="黑体" w:hAnsi="黑体" w:eastAsia="黑体"/>
          <w:b/>
          <w:sz w:val="26"/>
        </w:rPr>
        <w:t>4 讨论</w:t>
      </w:r>
    </w:p>
    <w:p>
      <w:pPr>
        <w:spacing w:before="120" w:after="60"/>
      </w:pPr>
      <w:r>
        <w:rPr>
          <w:rFonts w:ascii="宋体" w:hAnsi="宋体" w:eastAsia="宋体"/>
          <w:b/>
          <w:sz w:val="22"/>
        </w:rPr>
        <w:t>4.1 一体化方法相对于传统割裂流程的价值</w:t>
      </w:r>
    </w:p>
    <w:p>
      <w:pPr>
        <w:spacing w:after="40"/>
        <w:ind w:firstLine="420"/>
      </w:pPr>
      <w:r>
        <w:rPr>
          <w:rFonts w:ascii="宋体" w:hAnsi="宋体" w:eastAsia="宋体"/>
          <w:sz w:val="21"/>
        </w:rPr>
        <w:t>本文方法的主要价值不在于单独提出某一种全新的插值算法或排序算法，而在于构建了一条从参数场、风险场到方案规划、接续组织和经济评价的连续方法链。与传统“先布局、后校核、再补经济”的割裂流程相比，该方法至少带来三方面改进：其一，规划输入与中间结果在统一项目上下文中组织，降低了信息重复整理成本；其二，ODI 风险场以前置约束方式进入候选方案筛选，使风险不再只是布局完成后的附加说明；其三，工作面布局结果能够直接进入接续与经济分析，从而增强方案比选的完整性。上述改进目前主要体现在流程闭环和对象传递层面，其工程收益幅度仍有赖于后续实矿对照研究进一步量化。</w:t>
      </w:r>
    </w:p>
    <w:p>
      <w:pPr>
        <w:spacing w:before="120" w:after="60"/>
      </w:pPr>
      <w:r>
        <w:rPr>
          <w:rFonts w:ascii="宋体" w:hAnsi="宋体" w:eastAsia="宋体"/>
          <w:b/>
          <w:sz w:val="22"/>
        </w:rPr>
        <w:t>4.2 当前局限性与投稿边界</w:t>
      </w:r>
    </w:p>
    <w:p>
      <w:pPr>
        <w:spacing w:after="40"/>
        <w:ind w:firstLine="420"/>
      </w:pPr>
      <w:r>
        <w:rPr>
          <w:rFonts w:ascii="宋体" w:hAnsi="宋体" w:eastAsia="宋体"/>
          <w:sz w:val="21"/>
        </w:rPr>
        <w:t>需要指出的是，当前稿件仍然存在明确边界。首先，验证证据主要来自样例数据和现有代码运行结果，尚不具备真实矿井条件下的多案例对照基础。其次，ODI 在不同地质条件下的参数标定尚未系统展开，因此目前更适合将其描述为统一风险组织框架，而非成熟的行业标准。再次，采区设计结果虽已生成 3 个工作面和 11 条巷道，但工作面推进长度仍出现“小于最小值 800.0 m”的校验提示，说明样例方案尚未达到工程终判层面的充分约束满足。最后，GNN 扩展建模链虽然可运行，但样本量偏小，不能据此给出可靠的精度结论；作者简介、基金项目和首页脚注等投稿元信息也尚未补齐。因此，当前稿件更适合作为高质量方法稿和重构稿，而非可直接送审的最终版本。</w:t>
      </w:r>
    </w:p>
    <w:p>
      <w:pPr>
        <w:spacing w:before="120" w:after="60"/>
      </w:pPr>
      <w:r>
        <w:rPr>
          <w:rFonts w:ascii="宋体" w:hAnsi="宋体" w:eastAsia="宋体"/>
          <w:b/>
          <w:sz w:val="22"/>
        </w:rPr>
        <w:t>4.3 后续深化方向</w:t>
      </w:r>
    </w:p>
    <w:p>
      <w:pPr>
        <w:spacing w:after="40"/>
        <w:ind w:firstLine="420"/>
      </w:pPr>
      <w:r>
        <w:rPr>
          <w:rFonts w:ascii="宋体" w:hAnsi="宋体" w:eastAsia="宋体"/>
          <w:sz w:val="21"/>
        </w:rPr>
        <w:t>为进一步达到正式投稿要求，后续工作宜从三个方面推进：其一，以敏东矿为优先实证对象，引入真实矿井案例和基线方案，形成“传统流程 - 一体化方法”的对照证据，并报告可比较的工程指标；其二，对 ODI 多场景参数开展标定与敏感性分析，补充置信区间、显著性与实际效应量层面的统计报告，增强方法的可复现性与解释性；其三，完善作者信息、基金项目、期刊模板细节和图表终校，使文稿达到完整投稿状态。</w:t>
      </w:r>
    </w:p>
    <w:p>
      <w:pPr>
        <w:spacing w:before="120" w:after="60"/>
      </w:pPr>
      <w:r>
        <w:rPr>
          <w:rFonts w:ascii="黑体" w:hAnsi="黑体" w:eastAsia="黑体"/>
          <w:b/>
          <w:sz w:val="26"/>
        </w:rPr>
        <w:t>5 结论</w:t>
      </w:r>
    </w:p>
    <w:p>
      <w:pPr>
        <w:pStyle w:val="ListNumber"/>
      </w:pPr>
      <w:r>
        <w:rPr>
          <w:rFonts w:ascii="宋体" w:hAnsi="宋体" w:eastAsia="宋体"/>
          <w:sz w:val="21"/>
        </w:rPr>
        <w:t>针对采区规划设计中数据处理、风险评价、方案布局、采掘接续与经济分析相互割裂的问题，构建了覆盖参数场、风险场、候选规划、接续组织和经济评价的一体化方法链，实现了“数据 - 模型 - 规划 - 接续 - 经济 - 导出”的连续组织。</w:t>
      </w:r>
    </w:p>
    <w:p>
      <w:pPr>
        <w:pStyle w:val="ListNumber"/>
      </w:pPr>
      <w:r>
        <w:rPr>
          <w:rFonts w:ascii="宋体" w:hAnsi="宋体" w:eastAsia="宋体"/>
          <w:sz w:val="21"/>
        </w:rPr>
        <w:t>通过多场景 ODI 中介变量，将地表下沉、含水层扰动和上行开采等风险信息纳入统一框架，使风险约束能够以前置方式进入方案生成和接续评价过程，为风险场参与采区规划提供了统一组织方法。</w:t>
      </w:r>
    </w:p>
    <w:p>
      <w:pPr>
        <w:pStyle w:val="ListNumber"/>
      </w:pPr>
      <w:r>
        <w:rPr>
          <w:rFonts w:ascii="宋体" w:hAnsi="宋体" w:eastAsia="宋体"/>
          <w:sz w:val="21"/>
        </w:rPr>
        <w:t>基于现有样例数据的贯通验证表明，系统能够以 15 个钻孔样点为输入，输出 3 个工作面、11 条巷道以及多类关键图件和结构化结果，说明所建方法已具备样例级链路可行性；但该结果仍应理解为方法贯通证据，而非工程终判证据。</w:t>
      </w:r>
    </w:p>
    <w:p>
      <w:pPr>
        <w:pStyle w:val="ListNumber"/>
      </w:pPr>
      <w:r>
        <w:rPr>
          <w:rFonts w:ascii="宋体" w:hAnsi="宋体" w:eastAsia="宋体"/>
          <w:sz w:val="21"/>
        </w:rPr>
        <w:t>当前验证仍主要停留在样例层面，工作面推进长度校验、ODI 参数标定、敏东矿案例实证以及基线对照仍待补充，因此本文结论应理解为“方法链和平台链路已经建立”，而非“实矿条件下的最终优选结论”。</w:t>
      </w:r>
    </w:p>
    <w:p>
      <w:pPr>
        <w:spacing w:before="120" w:after="60"/>
      </w:pPr>
      <w:r>
        <w:rPr>
          <w:rFonts w:ascii="黑体" w:hAnsi="黑体" w:eastAsia="黑体"/>
          <w:b/>
          <w:sz w:val="26"/>
        </w:rPr>
        <w:t>参考文献</w:t>
      </w:r>
    </w:p>
    <w:p>
      <w:pPr>
        <w:spacing w:after="40"/>
        <w:ind w:left="420" w:hanging="420"/>
      </w:pPr>
      <w:bookmarkStart w:id="1" w:name="ref-1"/>
      <w:bookmarkEnd w:id="1"/>
      <w:r>
        <w:rPr>
          <w:rFonts w:ascii="宋体" w:hAnsi="宋体" w:eastAsia="宋体"/>
          <w:sz w:val="18"/>
        </w:rPr>
        <w:t>[1] WU Xuefei, LI Hongxia, WANG Baoli, et al. Review on improvements to the safety level of coal mines by applying intelligent coal mining[J]. Sustainability, 2022, 14(24): 16400. DOI: 10.3390/su142416400.</w:t>
      </w:r>
    </w:p>
    <w:p>
      <w:pPr>
        <w:spacing w:after="40"/>
        <w:ind w:left="420" w:hanging="420"/>
      </w:pPr>
      <w:bookmarkStart w:id="2" w:name="ref-2"/>
      <w:bookmarkEnd w:id="2"/>
      <w:r>
        <w:rPr>
          <w:rFonts w:ascii="宋体" w:hAnsi="宋体" w:eastAsia="宋体"/>
          <w:sz w:val="18"/>
        </w:rPr>
        <w:t>[2] WANG Guofa, REN Huaiwei, ZHAO Guorui, et al. Research and practice of intelligent coal mine technology systems in China[J]. International Journal of Coal Science &amp; Technology, 2022, 9(1). DOI: 10.1007/s40789-022-00491-3.</w:t>
      </w:r>
    </w:p>
    <w:p>
      <w:pPr>
        <w:spacing w:after="40"/>
        <w:ind w:left="420" w:hanging="420"/>
      </w:pPr>
      <w:bookmarkStart w:id="3" w:name="ref-3"/>
      <w:bookmarkEnd w:id="3"/>
      <w:r>
        <w:rPr>
          <w:rFonts w:ascii="宋体" w:hAnsi="宋体" w:eastAsia="宋体"/>
          <w:sz w:val="18"/>
        </w:rPr>
        <w:t>[3] ZHANG Kexue, KANG Lei, CHEN Xuexi, et al. A review of intelligent unmanned mining current situation and development trend[J]. Energies, 2022, 15(2): 513. DOI: 10.3390/en15020513.</w:t>
      </w:r>
    </w:p>
    <w:p>
      <w:pPr>
        <w:spacing w:after="40"/>
        <w:ind w:left="420" w:hanging="420"/>
      </w:pPr>
      <w:bookmarkStart w:id="4" w:name="ref-4"/>
      <w:bookmarkEnd w:id="4"/>
      <w:r>
        <w:rPr>
          <w:rFonts w:ascii="宋体" w:hAnsi="宋体" w:eastAsia="宋体"/>
          <w:sz w:val="18"/>
        </w:rPr>
        <w:t>[4] YANG Yi, LI Yingchun, WANG Lujun, et al. On strata damage and stress disturbance induced by coal mining based on physical similarity simulation experiments[J]. Scientific Reports, 2023, 13(1). DOI: 10.1038/s41598-023-42148-4.</w:t>
      </w:r>
    </w:p>
    <w:p>
      <w:pPr>
        <w:spacing w:after="40"/>
        <w:ind w:left="420" w:hanging="420"/>
      </w:pPr>
      <w:bookmarkStart w:id="5" w:name="ref-5"/>
      <w:bookmarkEnd w:id="5"/>
      <w:r>
        <w:rPr>
          <w:rFonts w:ascii="宋体" w:hAnsi="宋体" w:eastAsia="宋体"/>
          <w:sz w:val="18"/>
        </w:rPr>
        <w:t>[5] REN Yiwei, YUAN Qiang, CHEN Jie, et al. Evolution characteristics of mining-induced fractures in overburden strata under close-multi coal seams mining based on optical fiber monitoring[J]. Engineering Geology, 2024, 343: 107802. DOI: 10.1016/j.enggeo.2024.107802.</w:t>
      </w:r>
    </w:p>
    <w:p>
      <w:pPr>
        <w:spacing w:after="40"/>
        <w:ind w:left="420" w:hanging="420"/>
      </w:pPr>
      <w:bookmarkStart w:id="6" w:name="ref-6"/>
      <w:bookmarkEnd w:id="6"/>
      <w:r>
        <w:rPr>
          <w:rFonts w:ascii="宋体" w:hAnsi="宋体" w:eastAsia="宋体"/>
          <w:sz w:val="18"/>
        </w:rPr>
        <w:t>[6] YANG Xiao, SHI Longqing, QIU Mei, et al. Spatiotemporal evolution patterns of mining-induced overburden damage based on microseismic event response analysis[J]. Journal of Applied Geophysics, 2025, 242: 105876. DOI: 10.1016/j.jappgeo.2025.105876.</w:t>
      </w:r>
    </w:p>
    <w:p>
      <w:pPr>
        <w:spacing w:after="40"/>
        <w:ind w:left="420" w:hanging="420"/>
      </w:pPr>
      <w:bookmarkStart w:id="7" w:name="ref-7"/>
      <w:bookmarkEnd w:id="7"/>
      <w:r>
        <w:rPr>
          <w:rFonts w:ascii="宋体" w:hAnsi="宋体" w:eastAsia="宋体"/>
          <w:sz w:val="18"/>
        </w:rPr>
        <w:t>[7] ZHANG Jie, WANG Li, YANG Tao, et al. Study on overburden failure characteristics and ground pressure behavior in shallow coal seam mining underneath the gully[J]. Frontiers in Earth Science, 2024, 12. DOI: 10.3389/feart.2024.1375979.</w:t>
      </w:r>
    </w:p>
    <w:p>
      <w:pPr>
        <w:spacing w:after="40"/>
        <w:ind w:left="420" w:hanging="420"/>
      </w:pPr>
      <w:bookmarkStart w:id="8" w:name="ref-8"/>
      <w:bookmarkEnd w:id="8"/>
      <w:r>
        <w:rPr>
          <w:rFonts w:ascii="宋体" w:hAnsi="宋体" w:eastAsia="宋体"/>
          <w:sz w:val="18"/>
        </w:rPr>
        <w:t>[8] CAO Jian, HUANG Qingxiang, GUO Lingfei. Subsidence prediction of overburden strata and ground surface in shallow coal seam mining[J]. Scientific Reports, 2021, 11(1). DOI: 10.1038/s41598-021-98520-9.</w:t>
      </w:r>
    </w:p>
    <w:p>
      <w:pPr>
        <w:spacing w:after="40"/>
        <w:ind w:left="420" w:hanging="420"/>
      </w:pPr>
      <w:bookmarkStart w:id="9" w:name="ref-9"/>
      <w:bookmarkEnd w:id="9"/>
      <w:r>
        <w:rPr>
          <w:rFonts w:ascii="宋体" w:hAnsi="宋体" w:eastAsia="宋体"/>
          <w:sz w:val="18"/>
        </w:rPr>
        <w:t>[9] PRAKASH Amar, BHARTI Abhay Kumar, VERMA Aniket. Unearthing underground mining-induced strata disturbance by electrical resistivity tomography interpretation[J]. Environmental &amp; Engineering Geoscience, 2022, 28(4): 361-369. DOI: 10.2113/eeg-d-21-00073.</w:t>
      </w:r>
    </w:p>
    <w:p>
      <w:pPr>
        <w:spacing w:after="40"/>
        <w:ind w:left="420" w:hanging="420"/>
      </w:pPr>
      <w:bookmarkStart w:id="10" w:name="ref-10"/>
      <w:bookmarkEnd w:id="10"/>
      <w:r>
        <w:rPr>
          <w:rFonts w:ascii="宋体" w:hAnsi="宋体" w:eastAsia="宋体"/>
          <w:sz w:val="18"/>
        </w:rPr>
        <w:t>[10] SHI Xiuchang, ZHANG Jixing. Characteristics of overburden failure and fracture evolution in shallow buried working face with large mining height[J]. Sustainability, 2021, 13(24): 13775. DOI: 10.3390/su132413775.</w:t>
      </w:r>
    </w:p>
    <w:p>
      <w:pPr>
        <w:spacing w:after="40"/>
        <w:ind w:left="420" w:hanging="420"/>
      </w:pPr>
      <w:bookmarkStart w:id="11" w:name="ref-11"/>
      <w:bookmarkEnd w:id="11"/>
      <w:r>
        <w:rPr>
          <w:rFonts w:ascii="宋体" w:hAnsi="宋体" w:eastAsia="宋体"/>
          <w:sz w:val="18"/>
        </w:rPr>
        <w:t>[11] FOROUGHI Sorayya, HAMIDI Jafar Khademi, MONJEZI Masoud, et al. The integrated optimization of underground stope layout designing and production scheduling incorporating a non-dominated sorting genetic algorithm (NSGA-II)[J]. Resources Policy, 2019, 63: 101408. DOI: 10.1016/j.resourpol.2019.101408.</w:t>
      </w:r>
    </w:p>
    <w:p>
      <w:pPr>
        <w:spacing w:after="40"/>
        <w:ind w:left="420" w:hanging="420"/>
      </w:pPr>
      <w:bookmarkStart w:id="12" w:name="ref-12"/>
      <w:bookmarkEnd w:id="12"/>
      <w:r>
        <w:rPr>
          <w:rFonts w:ascii="宋体" w:hAnsi="宋体" w:eastAsia="宋体"/>
          <w:sz w:val="18"/>
        </w:rPr>
        <w:t>[12] SHAN Yang, KE Li, XIANG Jun, et al. Multi-objective optimisation based on NSGA-II of mine cut-off grade from the perspective of resource security[J]. International Journal of Mining, Reclamation and Environment, 2025: 1-20. DOI: 10.1080/17480930.2025.2532460.</w:t>
      </w:r>
    </w:p>
    <w:p>
      <w:pPr>
        <w:spacing w:after="40"/>
        <w:ind w:left="420" w:hanging="420"/>
      </w:pPr>
      <w:bookmarkStart w:id="13" w:name="ref-13"/>
      <w:bookmarkEnd w:id="13"/>
      <w:r>
        <w:rPr>
          <w:rFonts w:ascii="宋体" w:hAnsi="宋体" w:eastAsia="宋体"/>
          <w:sz w:val="18"/>
        </w:rPr>
        <w:t>[13] GU Xiaowei, WANG Xunhong, LIU Zaobao, et al. A multi-objective optimization model using improved NSGA-II for optimizing metal mines production process[J]. IEEE Access, 2020, 8: 28847-28858. DOI: 10.1109/access.2020.2972018.</w:t>
      </w:r>
    </w:p>
    <w:p>
      <w:pPr>
        <w:spacing w:after="40"/>
        <w:ind w:left="420" w:hanging="420"/>
      </w:pPr>
      <w:bookmarkStart w:id="14" w:name="ref-14"/>
      <w:bookmarkEnd w:id="14"/>
      <w:r>
        <w:rPr>
          <w:rFonts w:ascii="宋体" w:hAnsi="宋体" w:eastAsia="宋体"/>
          <w:sz w:val="18"/>
        </w:rPr>
        <w:t>[14] NESBITT Peter, BLAKE Lewis R., LAMAS Patricio, et al. Underground mine scheduling under uncertainty[J]. European Journal of Operational Research, 2021, 294(1): 340-352. DOI: 10.1016/j.ejor.2021.01.011.</w:t>
      </w:r>
    </w:p>
    <w:p>
      <w:pPr>
        <w:spacing w:after="40"/>
        <w:ind w:left="420" w:hanging="420"/>
      </w:pPr>
      <w:bookmarkStart w:id="15" w:name="ref-15"/>
      <w:bookmarkEnd w:id="15"/>
      <w:r>
        <w:rPr>
          <w:rFonts w:ascii="宋体" w:hAnsi="宋体" w:eastAsia="宋体"/>
          <w:sz w:val="18"/>
        </w:rPr>
        <w:t>[15] PATHIRANAGE Ishara Hewa, NEUMANN Aneta. Multi-objective evolutionary optimization for large-scale open pit mine scheduling[C]//2024 IEEE Congress on Evolutionary Computation (CEC). 2024: 1-8. DOI: 10.1109/CEC60901.2024.10612008.</w:t>
      </w:r>
    </w:p>
    <w:p>
      <w:pPr>
        <w:spacing w:after="40"/>
        <w:ind w:left="420" w:hanging="420"/>
      </w:pPr>
      <w:bookmarkStart w:id="16" w:name="ref-16"/>
      <w:bookmarkEnd w:id="16"/>
      <w:r>
        <w:rPr>
          <w:rFonts w:ascii="宋体" w:hAnsi="宋体" w:eastAsia="宋体"/>
          <w:sz w:val="18"/>
        </w:rPr>
        <w:t>[16] ZHANG Xuhui, LV Xinyuan, WANG Yan, et al. Production process management for intelligent coal mining based on digital twin[M]//Digital Twin Driven Service. 2022: 251-277. DOI: 10.1016/B978-0-323-91300-3.00008-5.</w:t>
      </w:r>
    </w:p>
    <w:p>
      <w:pPr>
        <w:spacing w:after="40"/>
        <w:ind w:left="420" w:hanging="420"/>
      </w:pPr>
      <w:bookmarkStart w:id="17" w:name="ref-17"/>
      <w:bookmarkEnd w:id="17"/>
      <w:r>
        <w:rPr>
          <w:rFonts w:ascii="宋体" w:hAnsi="宋体" w:eastAsia="宋体"/>
          <w:sz w:val="18"/>
        </w:rPr>
        <w:t>[17] QU Juncong, KIZIL Mehmet S., YAHYAEI Mohsen, et al. Digital twins in the minerals industry: a comprehensive review[J]. Mining Technology, 2023, 132(4): 267-289. DOI: 10.1080/25726668.2023.2257479.</w:t>
      </w:r>
    </w:p>
    <w:p>
      <w:pPr>
        <w:spacing w:after="40"/>
        <w:ind w:left="420" w:hanging="420"/>
      </w:pPr>
      <w:bookmarkStart w:id="18" w:name="ref-18"/>
      <w:bookmarkEnd w:id="18"/>
      <w:r>
        <w:rPr>
          <w:rFonts w:ascii="宋体" w:hAnsi="宋体" w:eastAsia="宋体"/>
          <w:sz w:val="18"/>
        </w:rPr>
        <w:t>[18] PAN Dongdong, XU Zhenhao, LU Xinming, et al. 3D scene and geological modeling using integrated multi-source spatial data: methodology, challenges, and suggestions[J]. Tunnelling and Underground Space Technology, 2020, 100: 103393. DOI: 10.1016/j.tust.2020.103393.</w:t>
      </w:r>
    </w:p>
    <w:p>
      <w:pPr>
        <w:spacing w:after="40"/>
        <w:ind w:left="420" w:hanging="420"/>
      </w:pPr>
      <w:bookmarkStart w:id="19" w:name="ref-19"/>
      <w:bookmarkEnd w:id="19"/>
      <w:r>
        <w:rPr>
          <w:rFonts w:ascii="宋体" w:hAnsi="宋体" w:eastAsia="宋体"/>
          <w:sz w:val="18"/>
        </w:rPr>
        <w:t>[19] AHMED Haitham M., ADEWUYI Sefiu, AHMED Hussin M. A. Continuous cash flow modeling for economic evaluation and risk analysis in mine planning using Monte Carlo simulation[J]. Journal of King Abdulaziz University: Engineering Sciences, 2024, 34(2). DOI: 10.4197/eng.34-2.6.</w:t>
      </w:r>
    </w:p>
    <w:p>
      <w:pPr>
        <w:spacing w:after="40"/>
        <w:ind w:left="420" w:hanging="420"/>
      </w:pPr>
      <w:bookmarkStart w:id="20" w:name="ref-20"/>
      <w:bookmarkEnd w:id="20"/>
      <w:r>
        <w:rPr>
          <w:rFonts w:ascii="宋体" w:hAnsi="宋体" w:eastAsia="宋体"/>
          <w:sz w:val="18"/>
        </w:rPr>
        <w:t>[20] LI Jiaoqun, WU Tong, LU Zengxiang, et al. Investigation into mining economic evaluation approaches based on the Rosenblueth point estimate method[J]. Applied Sciences, 2023, 13(15): 9011. DOI: 10.3390/app13159011.</w:t>
      </w:r>
    </w:p>
    <w:p>
      <w:pPr>
        <w:spacing w:after="40"/>
        <w:ind w:left="420" w:hanging="420"/>
      </w:pPr>
      <w:bookmarkStart w:id="21" w:name="ref-21"/>
      <w:bookmarkEnd w:id="21"/>
      <w:r>
        <w:rPr>
          <w:rFonts w:ascii="宋体" w:hAnsi="宋体" w:eastAsia="宋体"/>
          <w:sz w:val="18"/>
        </w:rPr>
        <w:t>[21] DEHGHANI Hesam, ATAEE-POUR Majid, ESFAHANIPOUR Akbar. Evaluation of the mining projects under economic uncertainties using multidimensional binomial tree[J]. Resources Policy, 2014, 39: 124-133. DOI: 10.1016/j.resourpol.2014.01.003.</w:t>
      </w:r>
    </w:p>
    <w:p>
      <w:pPr>
        <w:spacing w:after="40"/>
        <w:ind w:left="420" w:hanging="420"/>
      </w:pPr>
      <w:bookmarkStart w:id="22" w:name="ref-22"/>
      <w:bookmarkEnd w:id="22"/>
      <w:r>
        <w:rPr>
          <w:rFonts w:ascii="宋体" w:hAnsi="宋体" w:eastAsia="宋体"/>
          <w:sz w:val="18"/>
        </w:rPr>
        <w:t>[22] LIU Xiong, ZHENG Lulin, LIU Hao, et al. Evolution of overburden fractures and the water-conducting fracture zone in closely spaced coal mine seams under highly water-rich aquifers[J]. ACS Omega, 2025. DOI: 10.1021/acsomega.5c09774.</w:t>
      </w:r>
    </w:p>
    <w:p>
      <w:pPr>
        <w:spacing w:after="40"/>
        <w:ind w:left="420" w:hanging="420"/>
      </w:pPr>
      <w:bookmarkStart w:id="23" w:name="ref-23"/>
      <w:bookmarkEnd w:id="23"/>
      <w:r>
        <w:rPr>
          <w:rFonts w:ascii="宋体" w:hAnsi="宋体" w:eastAsia="宋体"/>
          <w:sz w:val="18"/>
        </w:rPr>
        <w:t>[23] XUE Sen, WANG Qiqing, SONG Zhen. Analysis of water-permeable fractured zone in weakly cemented overburden considering rock strain-softening[J]. Scientific Reports, 2026, 16(1). DOI: 10.1038/s41598-026-45413-4.</w:t>
      </w:r>
    </w:p>
    <w:p>
      <w:pPr>
        <w:spacing w:after="40"/>
        <w:ind w:left="420" w:hanging="420"/>
      </w:pPr>
      <w:bookmarkStart w:id="24" w:name="ref-24"/>
      <w:bookmarkEnd w:id="24"/>
      <w:r>
        <w:rPr>
          <w:rFonts w:ascii="宋体" w:hAnsi="宋体" w:eastAsia="宋体"/>
          <w:sz w:val="18"/>
        </w:rPr>
        <w:t>[24] ZHU Xiaojun, ZHA Feng, GUO Guangli, et al. Mechanical prediction method of strata movement and surface subsidence in backfill-strip mining[J]. Scientific Reports, 2024, 14(1). DOI: 10.1038/s41598-024-82761-5.</w:t>
      </w:r>
    </w:p>
    <w:p>
      <w:pPr>
        <w:spacing w:after="40"/>
        <w:ind w:left="420" w:hanging="420"/>
      </w:pPr>
      <w:bookmarkStart w:id="25" w:name="ref-25"/>
      <w:bookmarkEnd w:id="25"/>
      <w:r>
        <w:rPr>
          <w:rFonts w:ascii="宋体" w:hAnsi="宋体" w:eastAsia="宋体"/>
          <w:sz w:val="18"/>
        </w:rPr>
        <w:t>[25] KRATZSCH Helmut. Strata movement at the mining horizon[M]//Mining Subsidence Engineering. Berlin, Heidelberg: Springer, 1983: 7-40. DOI: 10.1007/978-3-642-81923-0_2.</w:t>
      </w:r>
    </w:p>
    <w:sectPr w:rsidR="00FC693F" w:rsidRPr="0006063C" w:rsidSect="00034616">
      <w:type w:val="continuous"/>
      <w:pgSz w:w="12240" w:h="15840"/>
      <w:pgMar w:top="1247" w:right="1077" w:bottom="1247" w:left="1077" w:header="720" w:footer="720" w:gutter="0"/>
      <w:cols w:space="425"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