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3EAFD" w14:textId="77777777" w:rsidR="007E22B6" w:rsidRDefault="00D76BC3">
      <w:pPr>
        <w:pStyle w:val="02"/>
      </w:pPr>
      <w:proofErr w:type="gramStart"/>
      <w:r>
        <w:rPr>
          <w:rFonts w:ascii="宋体" w:eastAsia="宋体" w:hAnsi="宋体"/>
        </w:rPr>
        <w:t>覆岩扰动</w:t>
      </w:r>
      <w:proofErr w:type="gramEnd"/>
      <w:r>
        <w:rPr>
          <w:rFonts w:ascii="宋体" w:eastAsia="宋体" w:hAnsi="宋体"/>
        </w:rPr>
        <w:t>约束下采区协同规划方法</w:t>
      </w:r>
    </w:p>
    <w:p w14:paraId="6AEACE4A"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w:t>
      </w:r>
      <w:proofErr w:type="gramStart"/>
      <w:r>
        <w:rPr>
          <w:rFonts w:ascii="宋体" w:eastAsia="宋体" w:hAnsi="宋体"/>
        </w:rPr>
        <w:t>浩</w:t>
      </w:r>
      <w:proofErr w:type="gramEnd"/>
      <w:r>
        <w:rPr>
          <w:rFonts w:ascii="宋体" w:eastAsia="宋体" w:hAnsi="宋体"/>
        </w:rPr>
        <w:t>天</w:t>
      </w:r>
      <w:r>
        <w:rPr>
          <w:rFonts w:ascii="宋体" w:eastAsia="宋体" w:hAnsi="宋体"/>
          <w:vertAlign w:val="superscript"/>
        </w:rPr>
        <w:t>1</w:t>
      </w:r>
    </w:p>
    <w:p w14:paraId="4CF8D9AE" w14:textId="77777777" w:rsidR="007E22B6" w:rsidRDefault="00A249E2">
      <w:pPr>
        <w:pStyle w:val="04"/>
        <w:ind w:firstLine="300"/>
      </w:pPr>
      <w:r>
        <w:rPr>
          <w:rFonts w:ascii="宋体" w:eastAsia="宋体" w:hAnsi="宋体"/>
        </w:rPr>
        <w:t>（1. 中国矿业大学（北京） 能源与矿业学院，北京 100083）</w:t>
      </w:r>
    </w:p>
    <w:p w14:paraId="01C3B82A" w14:textId="77777777" w:rsidR="007E22B6" w:rsidRDefault="00A249E2">
      <w:pPr>
        <w:pStyle w:val="05"/>
        <w:spacing w:after="60"/>
      </w:pPr>
      <w:r>
        <w:t>摘要：针对采区规划中离散地质信息难以连续参与布置、多</w:t>
      </w:r>
      <w:proofErr w:type="gramStart"/>
      <w:r>
        <w:t>场景覆岩扰动</w:t>
      </w:r>
      <w:proofErr w:type="gramEnd"/>
      <w:r>
        <w:t>风险约束口径不统一以及规划结果难以向接续和经济评价传递等问题，提出一种</w:t>
      </w:r>
      <w:proofErr w:type="gramStart"/>
      <w:r>
        <w:t>基于覆岩扰动</w:t>
      </w:r>
      <w:proofErr w:type="gramEnd"/>
      <w:r>
        <w:t>指数（</w:t>
      </w:r>
      <w:r>
        <w:t>overburden disturbance index</w:t>
      </w:r>
      <w:r>
        <w:t>，</w:t>
      </w:r>
      <w:r>
        <w:t>ODI</w:t>
      </w:r>
      <w:r>
        <w:t>）约束的采区候选方案生成与多目标比选方法。该方法以采区边界、钻孔样点和设计参数为输入，构建有效布置域和连续参数场；</w:t>
      </w:r>
      <w:proofErr w:type="gramStart"/>
      <w:r>
        <w:t>当前样</w:t>
      </w:r>
      <w:proofErr w:type="gramEnd"/>
      <w:r>
        <w:t>例以煤层厚度场为主要展示对象，将地表沉陷、含水层扰动、上行开采等风险分量归一化并加权为统一</w:t>
      </w:r>
      <w:r>
        <w:t>ODI</w:t>
      </w:r>
      <w:r>
        <w:t>场，以</w:t>
      </w:r>
      <w:r>
        <w:t>ODI</w:t>
      </w:r>
      <w:r>
        <w:t>均值、</w:t>
      </w:r>
      <w:r>
        <w:t>90%</w:t>
      </w:r>
      <w:r>
        <w:t>分位数和超阈值暴露比例表征方案风险。在此基础上，建立包含工作面数量、推进方向、煤柱宽度、工作面宽度和方案选择变量的候选方案集合，采用工程效率、资源回收和扰动控制目标进行非支配排序与综合筛选。样例复核得到</w:t>
      </w:r>
      <w:r>
        <w:t>80×56</w:t>
      </w:r>
      <w:r>
        <w:t>栅格</w:t>
      </w:r>
      <w:r>
        <w:t>ODI</w:t>
      </w:r>
      <w:r>
        <w:t>场，均值为</w:t>
      </w:r>
      <w:r>
        <w:t>0.4669</w:t>
      </w:r>
      <w:r>
        <w:t>，</w:t>
      </w:r>
      <w:r>
        <w:t>P90</w:t>
      </w:r>
      <w:r>
        <w:t>为</w:t>
      </w:r>
      <w:r>
        <w:t>0.7474</w:t>
      </w:r>
      <w:r>
        <w:t>，</w:t>
      </w:r>
      <w:r>
        <w:t>ODI&gt;0.70</w:t>
      </w:r>
      <w:r>
        <w:t>比例为</w:t>
      </w:r>
      <w:r>
        <w:t>15.89%</w:t>
      </w:r>
      <w:r>
        <w:t>。在同一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。本文对低扰动候选的判定依据为</w:t>
      </w:r>
      <w:r>
        <w:t>ODI</w:t>
      </w:r>
      <w:r>
        <w:t>均值、</w:t>
      </w:r>
      <w:r>
        <w:t>P90</w:t>
      </w:r>
      <w:r>
        <w:t>和风险综合得分的联合判据，而非单一阈值下的超限比例最小。敏感性分析表明，在</w:t>
      </w:r>
      <w:proofErr w:type="gramStart"/>
      <w:r>
        <w:t>当前样</w:t>
      </w:r>
      <w:proofErr w:type="gramEnd"/>
      <w:r>
        <w:t>例和候选集合范围内，</w:t>
      </w:r>
      <w:r>
        <w:t>C</w:t>
      </w:r>
      <w:r>
        <w:t>方案风险综合得分低于</w:t>
      </w:r>
      <w:r>
        <w:t>A</w:t>
      </w:r>
      <w:r>
        <w:t>、</w:t>
      </w:r>
      <w:r>
        <w:t>B</w:t>
      </w:r>
      <w:r>
        <w:t>方案。结果说明，</w:t>
      </w:r>
      <w:r>
        <w:t>ODI</w:t>
      </w:r>
      <w:r>
        <w:t>前置约束可将</w:t>
      </w:r>
      <w:proofErr w:type="gramStart"/>
      <w:r>
        <w:t>风险图层转化</w:t>
      </w:r>
      <w:proofErr w:type="gramEnd"/>
      <w:r>
        <w:t>为可复核的</w:t>
      </w:r>
      <w:proofErr w:type="gramStart"/>
      <w:r>
        <w:t>方案级统计</w:t>
      </w:r>
      <w:proofErr w:type="gramEnd"/>
      <w:r>
        <w:t>指标，为采区规划多目标比选和后续对象传递提供支撑；真实矿井优选仍需结合现场约束和多案例验证。</w:t>
      </w:r>
    </w:p>
    <w:p w14:paraId="4C7CCF77" w14:textId="77777777" w:rsidR="007E22B6" w:rsidRDefault="00A249E2">
      <w:pPr>
        <w:pStyle w:val="05"/>
        <w:spacing w:after="60"/>
      </w:pPr>
      <w:r>
        <w:t>关键词：</w:t>
      </w:r>
      <w:proofErr w:type="gramStart"/>
      <w:r>
        <w:t>覆岩扰动</w:t>
      </w:r>
      <w:proofErr w:type="gramEnd"/>
      <w:r>
        <w:t>指数；采区规划；多目标比选；候选方案集合；风险前置约束；连续参数场</w:t>
      </w:r>
    </w:p>
    <w:p w14:paraId="6B2FE883" w14:textId="77777777" w:rsidR="007E22B6" w:rsidRDefault="00A249E2">
      <w:pPr>
        <w:pStyle w:val="05"/>
        <w:spacing w:after="60"/>
      </w:pPr>
      <w:r>
        <w:rPr>
          <w:rFonts w:ascii="宋体" w:eastAsia="宋体" w:hAnsi="宋体"/>
        </w:rPr>
        <w:t>中图分类号：TD822    文献标志码：A</w:t>
      </w:r>
    </w:p>
    <w:p w14:paraId="27F7EA18" w14:textId="77777777" w:rsidR="007E22B6" w:rsidRDefault="00A249E2">
      <w:pPr>
        <w:pStyle w:val="06"/>
        <w:spacing w:after="60"/>
      </w:pPr>
      <w:r>
        <w:rPr>
          <w:rFonts w:eastAsia="宋体"/>
        </w:rPr>
        <w:t>Collaborative planning method for mining districts constrained by overburden disturbance</w:t>
      </w:r>
    </w:p>
    <w:p w14:paraId="6CDC61F9"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5DA783B1"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7E740F6A" w14:textId="77777777" w:rsidR="007E22B6" w:rsidRDefault="00A249E2">
      <w:pPr>
        <w:pStyle w:val="09"/>
        <w:spacing w:after="40"/>
        <w:jc w:val="center"/>
      </w:pPr>
      <w:r>
        <w:t>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P90 of 0.7474 and ODI&gt;0.70 ratio of 15.89%. Under the same ODI field, schemes A, B and C have mean ODI values of 0.4463, 0.4552 and 0.4416, P90 values of 0.6407, 0.6462 and 0.6353, and ODI&gt;0.70 ratios of 0.44%, 0.56% and 1.22%, respectively. The low-disturbance candidate is identified by the joint criterion of mean ODI, P90 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w14:paraId="458047D9" w14:textId="77777777" w:rsidR="00DE4743" w:rsidRDefault="00A249E2">
      <w:pPr>
        <w:pStyle w:val="09"/>
        <w:spacing w:after="60"/>
      </w:pPr>
      <w:r>
        <w:t>Keywords: overburden disturbance index; mining district planning; multi-objective selection; candidate set; risk pre-constraint; continuous parameter field</w:t>
      </w:r>
    </w:p>
    <w:p w14:paraId="655130DD"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proofErr w:type="gramStart"/>
      <w:r>
        <w:t>修回日期</w:t>
      </w:r>
      <w:proofErr w:type="gramEnd"/>
      <w:r>
        <w:t>：</w:t>
      </w:r>
      <w:r>
        <w:t xml:space="preserve">    </w:t>
      </w:r>
      <w:r>
        <w:t>责任编辑：</w:t>
      </w:r>
      <w:r>
        <w:br/>
      </w:r>
      <w:r>
        <w:lastRenderedPageBreak/>
        <w:t>基金项目：无。</w:t>
      </w:r>
      <w:r>
        <w:br/>
      </w:r>
      <w:r>
        <w:t>作者简介：李杨（</w:t>
      </w:r>
      <w:r>
        <w:t>1982—</w:t>
      </w:r>
      <w:r>
        <w:t>），男，河北唐山人，教授，博士，研究方向为矿业工程。</w:t>
      </w:r>
      <w:r>
        <w:br/>
      </w:r>
      <w:r>
        <w:t>通信作者：刘</w:t>
      </w:r>
      <w:proofErr w:type="gramStart"/>
      <w:r>
        <w:t>浩</w:t>
      </w:r>
      <w:proofErr w:type="gramEnd"/>
      <w:r>
        <w:t>天（</w:t>
      </w:r>
      <w:r>
        <w:t>2001—</w:t>
      </w:r>
      <w:r>
        <w:t>），男，河北唐山人，博士研究生，研究方向为矿业工程。</w:t>
      </w:r>
      <w:r>
        <w:t>Tel</w:t>
      </w:r>
      <w:r>
        <w:t>：</w:t>
      </w:r>
      <w:r>
        <w:t>17692508100</w:t>
      </w:r>
      <w:r>
        <w:t>，</w:t>
      </w:r>
      <w:r>
        <w:t>E-mail</w:t>
      </w:r>
      <w:r>
        <w:t>：</w:t>
      </w:r>
      <w:r>
        <w:t>gqt2500103011@student.cumtb.edu.cn</w:t>
      </w:r>
      <w:r>
        <w:t>。</w:t>
      </w:r>
    </w:p>
    <w:p w14:paraId="76CC70BD" w14:textId="77777777" w:rsidR="007E22B6" w:rsidRDefault="007E22B6"/>
    <w:p w14:paraId="1C0DF66D" w14:textId="77777777" w:rsidR="007E22B6" w:rsidRPr="00A046E0" w:rsidRDefault="00A249E2" w:rsidP="00A046E0">
      <w:pPr>
        <w:pStyle w:val="11"/>
        <w:rPr>
          <w:rFonts w:ascii="宋体" w:hAnsi="宋体"/>
        </w:rPr>
      </w:pPr>
      <w:r>
        <w:rPr>
          <w:rFonts w:ascii="宋体" w:eastAsia="宋体" w:hAnsi="宋体"/>
          <w:sz w:val="21"/>
        </w:rPr>
        <w:t>0 引言</w:t>
      </w:r>
    </w:p>
    <w:p w14:paraId="5EB37F80" w14:textId="77777777" w:rsidR="00D76BC3" w:rsidRDefault="00D76BC3" w:rsidP="00D76BC3">
      <w:pPr>
        <w:pStyle w:val="10"/>
        <w:spacing w:after="40"/>
        <w:ind w:firstLine="420"/>
      </w:pPr>
      <w:r>
        <w:t>采区规划位于煤矿生产决策链前端，直接影响工作面布置、巷道工程量、资源回收、采掘接续和经济效益。随着煤矿智能化建设由单机装备升级转向多</w:t>
      </w:r>
      <w:proofErr w:type="gramStart"/>
      <w:r>
        <w:t>源数据</w:t>
      </w:r>
      <w:proofErr w:type="gramEnd"/>
      <w:r>
        <w:t>协同和平台化决策，采区规划已由单纯平面布置问题转变为涉及地质建模、风险约束、方案生成、生产组织与经济评价的复合决策问题</w:t>
      </w:r>
      <w:r>
        <w:t>[1-3,26-32]</w:t>
      </w:r>
      <w:r>
        <w:t>。工程实践中，采区边界、钻孔、分层、参数场、风险分析与方案评价常分散于不同软件和人工环节，导致基础数据反复整理、中间成果难以复用。</w:t>
      </w:r>
    </w:p>
    <w:p w14:paraId="272F2B6A" w14:textId="77777777" w:rsidR="00D76BC3" w:rsidRDefault="00D76BC3" w:rsidP="00D76BC3">
      <w:pPr>
        <w:pStyle w:val="10"/>
        <w:spacing w:after="40"/>
        <w:ind w:firstLine="420"/>
      </w:pPr>
      <w:r>
        <w:t>已有研究围绕</w:t>
      </w:r>
      <w:proofErr w:type="gramStart"/>
      <w:r>
        <w:t>采动覆岩</w:t>
      </w:r>
      <w:proofErr w:type="gramEnd"/>
      <w:r>
        <w:t>响应、地表沉陷、导水裂隙带发育、含水层受扰和上行开采可行性开展了大量探索，为采区规划风险识别提供了理论基础</w:t>
      </w:r>
      <w:r>
        <w:t>[4-10,22-25,33-37,39-41,45,48-50]</w:t>
      </w:r>
      <w:r>
        <w:t>。地下矿山布置优化、多目标规划和生产调度研究表明，候选方案生成、目标排序和多方案比较有助于提升规划决策质量</w:t>
      </w:r>
      <w:r>
        <w:t>[11-15,38]</w:t>
      </w:r>
      <w:r>
        <w:t>。数字孪生、透明工作面、矿山地质建模与过程管理技术的发展，也为采区边界、钻孔、分层和生产状态在统一数据空间中的组织提供了条件</w:t>
      </w:r>
      <w:r>
        <w:t>[16-18,27-32]</w:t>
      </w:r>
      <w:r>
        <w:t>；矿山经济评价则逐步由静态收益测算转向动态现金流、风险成本和多方案比较</w:t>
      </w:r>
      <w:r>
        <w:t>[19-21]</w:t>
      </w:r>
      <w:r>
        <w:t>。</w:t>
      </w:r>
    </w:p>
    <w:p w14:paraId="57A15A26" w14:textId="77777777" w:rsidR="00D76BC3" w:rsidRDefault="00D76BC3" w:rsidP="00D76BC3">
      <w:pPr>
        <w:pStyle w:val="10"/>
        <w:spacing w:after="40"/>
        <w:ind w:firstLine="420"/>
      </w:pPr>
      <w:r>
        <w:t>然而，现有研究在采区规划应用层面仍存在</w:t>
      </w:r>
      <w:r>
        <w:t>3</w:t>
      </w:r>
      <w:r>
        <w:t>点不足：一是钻孔和分层信息具有离散样本属性，如何转化为可参与空间布置和方案筛选的连续</w:t>
      </w:r>
      <w:proofErr w:type="gramStart"/>
      <w:r>
        <w:t>参数场</w:t>
      </w:r>
      <w:proofErr w:type="gramEnd"/>
      <w:r>
        <w:t>仍不充分</w:t>
      </w:r>
      <w:r>
        <w:t>[31-32]</w:t>
      </w:r>
      <w:r>
        <w:t>；二是地表沉陷、含水层扰动、导水裂隙带和上行开采等风险具有不同量纲、判据和尺度，多数研究仍偏向单一场景或单一判据，难以形成统一约束表达</w:t>
      </w:r>
      <w:r>
        <w:t>[33-37,45,49-50]</w:t>
      </w:r>
      <w:r>
        <w:t>；三是布局优化研究多强调几何求解或算法排序，对规划结果向采掘接续、参数调控和经济评价传递的讨论不足</w:t>
      </w:r>
      <w:r>
        <w:t>[28,46-47]</w:t>
      </w:r>
      <w:r>
        <w:t>。</w:t>
      </w:r>
    </w:p>
    <w:p w14:paraId="640C3912" w14:textId="77777777" w:rsidR="00D76BC3" w:rsidRDefault="00D76BC3" w:rsidP="00D76BC3">
      <w:pPr>
        <w:pStyle w:val="10"/>
        <w:spacing w:after="40"/>
        <w:ind w:firstLine="420"/>
      </w:pPr>
      <w:r>
        <w:rPr>
          <w:rFonts w:ascii="宋体" w:eastAsia="宋体" w:hAnsi="宋体"/>
        </w:rPr>
        <w:t>采区规划对象并非孤立几何图形，而是受地质条件、保护约束、资源价值和</w:t>
      </w:r>
      <w:proofErr w:type="gramStart"/>
      <w:r>
        <w:rPr>
          <w:rFonts w:ascii="宋体" w:eastAsia="宋体" w:hAnsi="宋体"/>
        </w:rPr>
        <w:t>覆岩</w:t>
      </w:r>
      <w:proofErr w:type="gramEnd"/>
      <w:r>
        <w:rPr>
          <w:rFonts w:ascii="宋体" w:eastAsia="宋体" w:hAnsi="宋体"/>
        </w:rPr>
        <w:t>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43F65C81" w14:textId="77777777" w:rsidR="00D76BC3" w:rsidRDefault="00D76BC3" w:rsidP="00D76BC3">
      <w:pPr>
        <w:pStyle w:val="10"/>
        <w:spacing w:after="40"/>
        <w:ind w:firstLine="420"/>
      </w:pPr>
      <w:r>
        <w:t>基于上述问题，本文提出一种</w:t>
      </w:r>
      <w:proofErr w:type="gramStart"/>
      <w:r>
        <w:t>基于覆岩扰动</w:t>
      </w:r>
      <w:proofErr w:type="gramEnd"/>
      <w:r>
        <w:t>指数（</w:t>
      </w:r>
      <w:r>
        <w:t>overburden disturbance index</w:t>
      </w:r>
      <w:r>
        <w:t>，</w:t>
      </w:r>
      <w:r>
        <w:t>ODI</w:t>
      </w:r>
      <w:r>
        <w:t>）约束的采区候选方案生成与多目标比选方法。与在布局完成后再进行风险校核的串行流程不同，本文将地表沉陷、含水层扰动和上行开采等异构风险前置转化为统一</w:t>
      </w:r>
      <w:r>
        <w:t>ODI</w:t>
      </w:r>
      <w:r>
        <w:t>约束，并在有效布置域、连续</w:t>
      </w:r>
      <w:proofErr w:type="gramStart"/>
      <w:r>
        <w:t>参数场</w:t>
      </w:r>
      <w:proofErr w:type="gramEnd"/>
      <w:r>
        <w:t>和工作面布置对象之间建立可计算映射关系，使风险控制能够参与候选方案生成、筛选和排序过程。本文侧重方法论验证与内部对照，不以输出矿井定案设计参数为直接目标。</w:t>
      </w:r>
    </w:p>
    <w:p w14:paraId="5D478918" w14:textId="77777777" w:rsidR="009330B5" w:rsidRDefault="00D76BC3" w:rsidP="00D76BC3">
      <w:pPr>
        <w:pStyle w:val="10"/>
        <w:spacing w:after="40"/>
        <w:ind w:firstLine="420"/>
      </w:pPr>
      <w:r>
        <w:t>本文的主要贡献为：</w:t>
      </w:r>
      <w:r>
        <w:t>1</w:t>
      </w:r>
      <w:r>
        <w:t>）构建面向采区规划的</w:t>
      </w:r>
      <w:r>
        <w:t>ODI</w:t>
      </w:r>
      <w:r>
        <w:t>统一风险表征方法，明确风险分量归一化、权重聚合、阈值统计和</w:t>
      </w:r>
      <w:proofErr w:type="gramStart"/>
      <w:r>
        <w:t>方案级指标</w:t>
      </w:r>
      <w:proofErr w:type="gramEnd"/>
      <w:r>
        <w:t>口径；</w:t>
      </w:r>
      <w:r>
        <w:t>2</w:t>
      </w:r>
      <w:r>
        <w:t>）建立离散钻孔、连续</w:t>
      </w:r>
      <w:proofErr w:type="gramStart"/>
      <w:r>
        <w:t>参数场</w:t>
      </w:r>
      <w:proofErr w:type="gramEnd"/>
      <w:r>
        <w:t>与工作面布局对象之间的规划映射机制，使地质参数由点状样本转化为空间变量；</w:t>
      </w:r>
      <w:r>
        <w:t>3</w:t>
      </w:r>
      <w:r>
        <w:t>）构建包含工程效率、资源回收与扰动控制目标的候选方案集合和排序流程，并通过</w:t>
      </w:r>
      <w:r>
        <w:t>A/B/C</w:t>
      </w:r>
      <w:r>
        <w:t>方案对比说明</w:t>
      </w:r>
      <w:r>
        <w:t>ODI</w:t>
      </w:r>
      <w:r>
        <w:t>前置约束在方案比选中的作用。本文仅验证方法链路和对象传递的可行性，不将</w:t>
      </w:r>
      <w:proofErr w:type="gramStart"/>
      <w:r>
        <w:t>单一样例</w:t>
      </w:r>
      <w:proofErr w:type="gramEnd"/>
      <w:r>
        <w:t>扩展为真实矿井条件下的普适最优结论。</w:t>
      </w:r>
    </w:p>
    <w:p w14:paraId="1C633B75" w14:textId="77777777" w:rsidR="009330B5" w:rsidRDefault="009330B5">
      <w:pPr>
        <w:spacing w:after="60"/>
        <w:rPr>
          <w:rFonts w:ascii="黑体" w:eastAsia="黑体" w:hAnsi="黑体" w:hint="eastAsia"/>
          <w:b/>
          <w:sz w:val="26"/>
        </w:rPr>
      </w:pPr>
    </w:p>
    <w:p w14:paraId="25ECB3E6" w14:textId="77777777" w:rsidR="007E22B6" w:rsidRDefault="00A249E2" w:rsidP="00A046E0">
      <w:pPr>
        <w:pStyle w:val="11"/>
      </w:pPr>
      <w:r>
        <w:rPr>
          <w:rFonts w:ascii="宋体" w:eastAsia="宋体" w:hAnsi="宋体"/>
          <w:sz w:val="21"/>
        </w:rPr>
        <w:t xml:space="preserve">1 </w:t>
      </w:r>
      <w:proofErr w:type="gramStart"/>
      <w:r>
        <w:rPr>
          <w:rFonts w:ascii="宋体" w:eastAsia="宋体" w:hAnsi="宋体"/>
          <w:sz w:val="21"/>
        </w:rPr>
        <w:t>基于覆岩扰动</w:t>
      </w:r>
      <w:proofErr w:type="gramEnd"/>
      <w:r>
        <w:rPr>
          <w:rFonts w:ascii="宋体" w:eastAsia="宋体" w:hAnsi="宋体"/>
          <w:sz w:val="21"/>
        </w:rPr>
        <w:t>指数约束的采区多目标协同规划方法</w:t>
      </w:r>
    </w:p>
    <w:p w14:paraId="04BE4178"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11E253F1" w14:textId="77777777" w:rsidR="00E05130" w:rsidRPr="00E05130" w:rsidRDefault="009330B5" w:rsidP="00E05130">
      <w:pPr>
        <w:pStyle w:val="10"/>
        <w:spacing w:after="40"/>
        <w:ind w:firstLine="420"/>
      </w:pPr>
      <w:r>
        <w:t>采区规划中</w:t>
      </w:r>
      <w:proofErr w:type="gramStart"/>
      <w:r>
        <w:t>的覆岩扰动</w:t>
      </w:r>
      <w:proofErr w:type="gramEnd"/>
      <w:r>
        <w:t>风险由地表沉陷、含水层扰动、上行开采安全性和局部地质采矿条件共同作</w:t>
      </w:r>
      <w:r>
        <w:lastRenderedPageBreak/>
        <w:t>用形成。导水裂隙带高度、关键层控制、</w:t>
      </w:r>
      <w:proofErr w:type="gramStart"/>
      <w:r>
        <w:t>覆岩破坏</w:t>
      </w:r>
      <w:proofErr w:type="gramEnd"/>
      <w:r>
        <w:t>充分采动程度、含水层富水性和保</w:t>
      </w:r>
      <w:proofErr w:type="gramStart"/>
      <w:r>
        <w:t>水采</w:t>
      </w:r>
      <w:proofErr w:type="gramEnd"/>
      <w:r>
        <w:t>煤等研究表明，相关判据与岩层结构、采高、工作面尺度、含水层位置和水文地质条件密切相关</w:t>
      </w:r>
      <w:r>
        <w:t>[33-37,41,45,49-50]</w:t>
      </w:r>
      <w:r>
        <w:t>。不同风险场景量纲、判据和尺度不一致，若分别进入规划过程，容易造成约束口径不统一。本文将</w:t>
      </w:r>
      <w:r>
        <w:t>ODI</w:t>
      </w:r>
      <w:r>
        <w:t>定义为面向采区规划的统一风险表征指标，而非新</w:t>
      </w:r>
      <w:proofErr w:type="gramStart"/>
      <w:r>
        <w:t>的覆岩力学</w:t>
      </w:r>
      <w:proofErr w:type="gramEnd"/>
      <w:r>
        <w:t>机理参数，用于将多场景风险转化为可参与候选方案筛选和排序的无量纲统计量。</w:t>
      </w:r>
    </w:p>
    <w:p w14:paraId="32BAF2A2"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48FAFF87" w14:textId="77777777" w:rsidR="00195275" w:rsidRDefault="00A249E2">
      <w:pPr>
        <w:pStyle w:val="14"/>
      </w:pPr>
      <w:r>
        <w:t>图</w:t>
      </w:r>
      <w:r>
        <w:t>1 ODI</w:t>
      </w:r>
      <w:r>
        <w:t>风险约束逻辑示意图</w:t>
      </w:r>
      <w:r>
        <w:br/>
        <w:t>Fig.1 Schematic diagram of the ODI risk-constraint logic</w:t>
      </w:r>
    </w:p>
    <w:p w14:paraId="6029AD3E" w14:textId="77777777" w:rsidR="00E05130" w:rsidRDefault="009330B5" w:rsidP="00E05130">
      <w:pPr>
        <w:pStyle w:val="10"/>
        <w:spacing w:after="40"/>
        <w:ind w:firstLine="420"/>
      </w:pPr>
      <w:proofErr w:type="gramStart"/>
      <w:r>
        <w:t>设规划域</w:t>
      </w:r>
      <w:proofErr w:type="gramEnd"/>
      <w:r>
        <w:t>为</w:t>
      </w:r>
      <w:r>
        <w:t>Ω</w:t>
      </w:r>
      <w:r>
        <w:t>，任意位置</w:t>
      </w:r>
      <w:r>
        <w:t>x</w:t>
      </w:r>
      <w:r>
        <w:t>处的风险分量包括地表沉陷扰动</w:t>
      </w:r>
      <w:r>
        <w:t>D_s(x)</w:t>
      </w:r>
      <w:r>
        <w:t>、含水层扰动</w:t>
      </w:r>
      <w:proofErr w:type="spellStart"/>
      <w:r>
        <w:t>D_a</w:t>
      </w:r>
      <w:proofErr w:type="spellEnd"/>
      <w:r>
        <w:t>(x)</w:t>
      </w:r>
      <w:r>
        <w:t>和上行开采扰动</w:t>
      </w:r>
      <w:proofErr w:type="spellStart"/>
      <w:r>
        <w:t>D_u</w:t>
      </w:r>
      <w:proofErr w:type="spellEnd"/>
      <w:r>
        <w:t>(x)</w:t>
      </w:r>
      <w:r>
        <w:t>。各分量均归一化到</w:t>
      </w:r>
      <w:r>
        <w:t>[0,1]</w:t>
      </w:r>
      <w:r>
        <w:t>区间，数值越大表示扰动风险越高，则</w:t>
      </w:r>
      <w:r>
        <w:t>ODI</w:t>
      </w:r>
      <w:r>
        <w:t>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5B67E5CF" w14:textId="77777777">
        <w:trPr>
          <w:jc w:val="center"/>
        </w:trPr>
        <w:tc>
          <w:tcPr>
            <w:tcW w:w="504" w:type="dxa"/>
            <w:vAlign w:val="center"/>
          </w:tcPr>
          <w:p w14:paraId="39E7FD23" w14:textId="77777777" w:rsidR="00390073" w:rsidRDefault="00390073">
            <w:pPr>
              <w:spacing w:before="0" w:after="0"/>
            </w:pPr>
          </w:p>
        </w:tc>
        <w:tc>
          <w:tcPr>
            <w:tcW w:w="7992" w:type="dxa"/>
            <w:vAlign w:val="center"/>
          </w:tcPr>
          <w:p w14:paraId="13E70AD9" w14:textId="77777777" w:rsidR="00390073" w:rsidRDefault="00000000">
            <w:pPr>
              <w:spacing w:before="0" w:after="0"/>
              <w:jc w:val="center"/>
            </w:pPr>
            <m:oMath>
              <m:r>
                <m:rPr>
                  <m:sty m:val="p"/>
                </m:rPr>
                <m:t>ODI</m:t>
              </m:r>
              <m:r>
                <m:t>(x)=</m:t>
              </m:r>
              <m:sSub>
                <m:e>
                  <m:r>
                    <m:t>w</m:t>
                  </m:r>
                </m:e>
                <m:sub>
                  <m:r>
                    <m:t>s</m:t>
                  </m:r>
                </m:sub>
              </m:sSub>
              <m:sSub>
                <m:e>
                  <m:r>
                    <m:t>D</m:t>
                  </m:r>
                </m:e>
                <m:sub>
                  <m:r>
                    <m:t>s</m:t>
                  </m:r>
                </m:sub>
              </m:sSub>
              <m:r>
                <m:t>(x)+</m:t>
              </m:r>
              <m:sSub>
                <m:e>
                  <m:r>
                    <m:t>w</m:t>
                  </m:r>
                </m:e>
                <m:sub>
                  <m:r>
                    <m:t>a</m:t>
                  </m:r>
                </m:sub>
              </m:sSub>
              <m:sSub>
                <m:e>
                  <m:r>
                    <m:t>D</m:t>
                  </m:r>
                </m:e>
                <m:sub>
                  <m:r>
                    <m:t>a</m:t>
                  </m:r>
                </m:sub>
              </m:sSub>
              <m:r>
                <m:t>(x)+</m:t>
              </m:r>
              <m:sSub>
                <m:e>
                  <m:r>
                    <m:t>w</m:t>
                  </m:r>
                </m:e>
                <m:sub>
                  <m:r>
                    <m:t>u</m:t>
                  </m:r>
                </m:sub>
              </m:sSub>
              <m:sSub>
                <m:e>
                  <m:r>
                    <m:t>D</m:t>
                  </m:r>
                </m:e>
                <m:sub>
                  <m:r>
                    <m:t>u</m:t>
                  </m:r>
                </m:sub>
              </m:sSub>
              <m:r>
                <m:t>(x)</m:t>
              </m:r>
            </m:oMath>
          </w:p>
        </w:tc>
        <w:tc>
          <w:tcPr>
            <w:tcW w:w="936" w:type="dxa"/>
            <w:vAlign w:val="center"/>
          </w:tcPr>
          <w:p w14:paraId="2197E639" w14:textId="77777777" w:rsidR="00390073" w:rsidRDefault="00000000">
            <w:pPr>
              <w:spacing w:before="0" w:after="0"/>
              <w:jc w:val="right"/>
            </w:pPr>
            <w:r>
              <w:rPr>
                <w:rFonts w:eastAsia="Times New Roman"/>
                <w:sz w:val="21"/>
              </w:rPr>
              <w:t>（1）</w:t>
            </w:r>
          </w:p>
        </w:tc>
      </w:tr>
    </w:tbl>
    <w:p w14:paraId="3BE80C84" w14:textId="77777777" w:rsidR="00E05130" w:rsidRDefault="00E05130" w:rsidP="009330B5">
      <w:pPr>
        <w:pStyle w:val="10"/>
        <w:spacing w:after="40"/>
        <w:ind w:firstLine="420"/>
      </w:pPr>
      <w:r>
        <w:t>其中权重满足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25F5E285" w14:textId="77777777">
        <w:trPr>
          <w:jc w:val="center"/>
        </w:trPr>
        <w:tc>
          <w:tcPr>
            <w:tcW w:w="504" w:type="dxa"/>
            <w:vAlign w:val="center"/>
          </w:tcPr>
          <w:p w14:paraId="50350762" w14:textId="77777777" w:rsidR="00390073" w:rsidRDefault="00390073">
            <w:pPr>
              <w:spacing w:before="0" w:after="0"/>
            </w:pPr>
          </w:p>
        </w:tc>
        <w:tc>
          <w:tcPr>
            <w:tcW w:w="7992" w:type="dxa"/>
            <w:vAlign w:val="center"/>
          </w:tcPr>
          <w:p w14:paraId="1D6915DE" w14:textId="77777777" w:rsidR="00390073" w:rsidRDefault="00000000">
            <w:pPr>
              <w:spacing w:before="0" w:after="0"/>
              <w:jc w:val="center"/>
            </w:pPr>
            <m:oMath>
              <m:sSub>
                <m:e>
                  <m:r>
                    <m:t>w</m:t>
                  </m:r>
                </m:e>
                <m:sub>
                  <m:r>
                    <m:t>s</m:t>
                  </m:r>
                </m:sub>
              </m:sSub>
              <m:r>
                <m:t>+</m:t>
              </m:r>
              <m:sSub>
                <m:e>
                  <m:r>
                    <m:t>w</m:t>
                  </m:r>
                </m:e>
                <m:sub>
                  <m:r>
                    <m:t>a</m:t>
                  </m:r>
                </m:sub>
              </m:sSub>
              <m:r>
                <m:t>+</m:t>
              </m:r>
              <m:sSub>
                <m:e>
                  <m:r>
                    <m:t>w</m:t>
                  </m:r>
                </m:e>
                <m:sub>
                  <m:r>
                    <m:t>u</m:t>
                  </m:r>
                </m:sub>
              </m:sSub>
              <m:r>
                <m:t>=1,</m:t>
              </m:r>
              <m:sSub>
                <m:e>
                  <m:r>
                    <m:t>w</m:t>
                  </m:r>
                </m:e>
                <m:sub>
                  <m:r>
                    <m:t>s</m:t>
                  </m:r>
                </m:sub>
              </m:sSub>
              <m:r>
                <m:t>≥0,</m:t>
              </m:r>
              <m:sSub>
                <m:e>
                  <m:r>
                    <m:t>w</m:t>
                  </m:r>
                </m:e>
                <m:sub>
                  <m:r>
                    <m:t>a</m:t>
                  </m:r>
                </m:sub>
              </m:sSub>
              <m:r>
                <m:t>≥0,</m:t>
              </m:r>
              <m:sSub>
                <m:e>
                  <m:r>
                    <m:t>w</m:t>
                  </m:r>
                </m:e>
                <m:sub>
                  <m:r>
                    <m:t>u</m:t>
                  </m:r>
                </m:sub>
              </m:sSub>
              <m:r>
                <m:t>≥0</m:t>
              </m:r>
            </m:oMath>
          </w:p>
        </w:tc>
        <w:tc>
          <w:tcPr>
            <w:tcW w:w="936" w:type="dxa"/>
            <w:vAlign w:val="center"/>
          </w:tcPr>
          <w:p w14:paraId="6378A243" w14:textId="77777777" w:rsidR="00390073" w:rsidRDefault="00000000">
            <w:pPr>
              <w:spacing w:before="0" w:after="0"/>
              <w:jc w:val="right"/>
            </w:pPr>
            <w:r>
              <w:rPr>
                <w:rFonts w:eastAsia="Times New Roman"/>
                <w:sz w:val="21"/>
              </w:rPr>
              <w:t>（2）</w:t>
            </w:r>
          </w:p>
        </w:tc>
      </w:tr>
    </w:tbl>
    <w:p w14:paraId="64FFDDA8" w14:textId="77777777" w:rsidR="009330B5" w:rsidRPr="009330B5" w:rsidRDefault="009330B5" w:rsidP="009330B5">
      <w:pPr>
        <w:pStyle w:val="10"/>
        <w:spacing w:after="40"/>
        <w:ind w:firstLine="420"/>
      </w:pPr>
      <w:r>
        <w:t>式中，</w:t>
      </w:r>
      <w:proofErr w:type="spellStart"/>
      <w:r>
        <w:t>w_s</w:t>
      </w:r>
      <w:proofErr w:type="spellEnd"/>
      <w:r>
        <w:t>、</w:t>
      </w:r>
      <w:proofErr w:type="spellStart"/>
      <w:r>
        <w:t>w_a</w:t>
      </w:r>
      <w:proofErr w:type="spellEnd"/>
      <w:r>
        <w:t>和</w:t>
      </w:r>
      <w:proofErr w:type="spellStart"/>
      <w:r>
        <w:t>w_u</w:t>
      </w:r>
      <w:proofErr w:type="spellEnd"/>
      <w:r>
        <w:t>分别为地表沉陷、含水层扰动和上行开采分量权重。本文采用</w:t>
      </w:r>
      <w:r>
        <w:t>“</w:t>
      </w:r>
      <w:r>
        <w:t>场景目标驱动的专家规则赋权</w:t>
      </w:r>
      <w:r>
        <w:t>+</w:t>
      </w:r>
      <w:r>
        <w:t>敏感性校核</w:t>
      </w:r>
      <w:r>
        <w:t>”</w:t>
      </w:r>
      <w:r>
        <w:t>确定权重，不将其解释为现场统计标定常数。综合规划基准权重取</w:t>
      </w:r>
      <w:r>
        <w:t>0.45/0.30/0.25</w:t>
      </w:r>
      <w:r>
        <w:t>；为检验上行开采约束强化时方案排序是否改变，上行开采专项权重取</w:t>
      </w:r>
      <w:r>
        <w:t>0.15/0.25/0.60</w:t>
      </w:r>
      <w:r>
        <w:t>。为避免总指标与子指标语义重叠，本文以具体风险场景命名各分量；后续工程应用仍需结合矿区历史沉陷、水文地质观测和保护对象等级重新标定权重。</w:t>
      </w:r>
    </w:p>
    <w:p w14:paraId="46E771F6" w14:textId="77777777" w:rsidR="009330B5" w:rsidRDefault="009330B5" w:rsidP="009330B5">
      <w:pPr>
        <w:pStyle w:val="10"/>
        <w:spacing w:after="40"/>
        <w:ind w:firstLine="420"/>
      </w:pPr>
      <w:r>
        <w:t>对原始指标</w:t>
      </w:r>
      <w:proofErr w:type="spellStart"/>
      <w:r>
        <w:t>X_i</w:t>
      </w:r>
      <w:proofErr w:type="spellEnd"/>
      <w:r>
        <w:t>(x)</w:t>
      </w:r>
      <w:r>
        <w:t>，正向风险指标按式（</w:t>
      </w:r>
      <w:r>
        <w:t>3</w:t>
      </w:r>
      <w:r>
        <w:t>）归一化，逆向风险指标按式（</w:t>
      </w:r>
      <w:r>
        <w:t>4</w:t>
      </w:r>
      <w:r>
        <w:t>）归一化；当工程经验或规范给出上下限时，优先采用工程阈值作为</w:t>
      </w:r>
      <w:proofErr w:type="spellStart"/>
      <w:r>
        <w:t>X_i,min</w:t>
      </w:r>
      <w:proofErr w:type="spellEnd"/>
      <w:r>
        <w:t>和</w:t>
      </w:r>
      <w:proofErr w:type="spellStart"/>
      <w:r>
        <w:t>X_i,max</w:t>
      </w:r>
      <w:proofErr w:type="spellEnd"/>
      <w:r>
        <w:t>，否则采用同一研究区同一场景下的样本范围。</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2F8E05A7" w14:textId="77777777">
        <w:trPr>
          <w:jc w:val="center"/>
        </w:trPr>
        <w:tc>
          <w:tcPr>
            <w:tcW w:w="504" w:type="dxa"/>
            <w:vAlign w:val="center"/>
          </w:tcPr>
          <w:p w14:paraId="380BD4D7" w14:textId="77777777" w:rsidR="00390073" w:rsidRDefault="00390073">
            <w:pPr>
              <w:spacing w:before="0" w:after="0"/>
            </w:pPr>
          </w:p>
        </w:tc>
        <w:tc>
          <w:tcPr>
            <w:tcW w:w="7992" w:type="dxa"/>
            <w:vAlign w:val="center"/>
          </w:tcPr>
          <w:p w14:paraId="38F11A37" w14:textId="77777777" w:rsidR="00390073" w:rsidRDefault="00000000">
            <w:pPr>
              <w:spacing w:before="0" w:after="0"/>
              <w:jc w:val="center"/>
            </w:pPr>
            <m:oMath>
              <m:sSubSup>
                <m:e>
                  <m:r>
                    <m:t>X</m:t>
                  </m:r>
                </m:e>
                <m:sub>
                  <m:r>
                    <m:t>i</m:t>
                  </m:r>
                </m:sub>
                <m:sup>
                  <m:r>
                    <m:t>′</m:t>
                  </m:r>
                </m:sup>
              </m:sSubSup>
              <m:r>
                <m:t>(x)=</m:t>
              </m:r>
              <m:f>
                <m:fPr>
                  <m:type m:val="bar"/>
                </m:fPr>
                <m:num>
                  <m:sSub>
                    <m:e>
                      <m:r>
                        <m:t>X</m:t>
                      </m:r>
                    </m:e>
                    <m:sub>
                      <m:r>
                        <m:t>i</m:t>
                      </m:r>
                    </m:sub>
                  </m:sSub>
                  <m:r>
                    <m:t>(x)−</m:t>
                  </m:r>
                  <m:sSub>
                    <m:e>
                      <m:r>
                        <m:t>X</m:t>
                      </m:r>
                    </m:e>
                    <m:sub>
                      <m:r>
                        <m:t>i,min</m:t>
                      </m:r>
                    </m:sub>
                  </m:sSub>
                </m:num>
                <m:den>
                  <m:sSub>
                    <m:e>
                      <m:r>
                        <m:t>X</m:t>
                      </m:r>
                    </m:e>
                    <m:sub>
                      <m:r>
                        <m:t>i,max</m:t>
                      </m:r>
                    </m:sub>
                  </m:sSub>
                  <m:r>
                    <m:t>−</m:t>
                  </m:r>
                  <m:sSub>
                    <m:e>
                      <m:r>
                        <m:t>X</m:t>
                      </m:r>
                    </m:e>
                    <m:sub>
                      <m:r>
                        <m:t>i,min</m:t>
                      </m:r>
                    </m:sub>
                  </m:sSub>
                </m:den>
              </m:f>
            </m:oMath>
          </w:p>
        </w:tc>
        <w:tc>
          <w:tcPr>
            <w:tcW w:w="936" w:type="dxa"/>
            <w:vAlign w:val="center"/>
          </w:tcPr>
          <w:p w14:paraId="14878F38" w14:textId="77777777" w:rsidR="00390073" w:rsidRDefault="00000000">
            <w:pPr>
              <w:spacing w:before="0" w:after="0"/>
              <w:jc w:val="right"/>
            </w:pPr>
            <w:r>
              <w:rPr>
                <w:rFonts w:eastAsia="Times New Roman"/>
                <w:sz w:val="21"/>
              </w:rPr>
              <w:t>（3）</w:t>
            </w:r>
          </w:p>
        </w:tc>
      </w:tr>
    </w:tbl>
    <w:p w14:paraId="767B94E2" w14:textId="77777777" w:rsidR="00390073" w:rsidRDefault="00000000">
      <w:pPr>
        <w:spacing w:before="0" w:after="0" w:line="1" w:lineRule="exact"/>
        <w:rPr>
          <w:sz w:val="1"/>
        </w:rPr>
      </w:pPr>
      <w: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5CFD08BE" w14:textId="77777777">
        <w:trPr>
          <w:jc w:val="center"/>
        </w:trPr>
        <w:tc>
          <w:tcPr>
            <w:tcW w:w="504" w:type="dxa"/>
            <w:vAlign w:val="center"/>
          </w:tcPr>
          <w:p w14:paraId="7E0B8B4C" w14:textId="77777777" w:rsidR="00390073" w:rsidRDefault="00390073">
            <w:pPr>
              <w:spacing w:before="0" w:after="0"/>
            </w:pPr>
          </w:p>
        </w:tc>
        <w:tc>
          <w:tcPr>
            <w:tcW w:w="7992" w:type="dxa"/>
            <w:vAlign w:val="center"/>
          </w:tcPr>
          <w:p w14:paraId="1BEBE3B7" w14:textId="77777777" w:rsidR="00390073" w:rsidRDefault="00000000">
            <w:pPr>
              <w:spacing w:before="0" w:after="0"/>
              <w:jc w:val="center"/>
            </w:pPr>
            <m:oMath>
              <m:sSubSup>
                <m:e>
                  <m:r>
                    <m:t>X</m:t>
                  </m:r>
                </m:e>
                <m:sub>
                  <m:r>
                    <m:t>i</m:t>
                  </m:r>
                </m:sub>
                <m:sup>
                  <m:r>
                    <m:t>′</m:t>
                  </m:r>
                </m:sup>
              </m:sSubSup>
              <m:r>
                <m:t>(x)=</m:t>
              </m:r>
              <m:f>
                <m:fPr>
                  <m:type m:val="bar"/>
                </m:fPr>
                <m:num>
                  <m:sSub>
                    <m:e>
                      <m:r>
                        <m:t>X</m:t>
                      </m:r>
                    </m:e>
                    <m:sub>
                      <m:r>
                        <m:t>i,max</m:t>
                      </m:r>
                    </m:sub>
                  </m:sSub>
                  <m:r>
                    <m:t>−</m:t>
                  </m:r>
                  <m:sSub>
                    <m:e>
                      <m:r>
                        <m:t>X</m:t>
                      </m:r>
                    </m:e>
                    <m:sub>
                      <m:r>
                        <m:t>i</m:t>
                      </m:r>
                    </m:sub>
                  </m:sSub>
                  <m:r>
                    <m:t>(x)</m:t>
                  </m:r>
                </m:num>
                <m:den>
                  <m:sSub>
                    <m:e>
                      <m:r>
                        <m:t>X</m:t>
                      </m:r>
                    </m:e>
                    <m:sub>
                      <m:r>
                        <m:t>i,max</m:t>
                      </m:r>
                    </m:sub>
                  </m:sSub>
                  <m:r>
                    <m:t>−</m:t>
                  </m:r>
                  <m:sSub>
                    <m:e>
                      <m:r>
                        <m:t>X</m:t>
                      </m:r>
                    </m:e>
                    <m:sub>
                      <m:r>
                        <m:t>i,min</m:t>
                      </m:r>
                    </m:sub>
                  </m:sSub>
                </m:den>
              </m:f>
            </m:oMath>
          </w:p>
        </w:tc>
        <w:tc>
          <w:tcPr>
            <w:tcW w:w="936" w:type="dxa"/>
            <w:vAlign w:val="center"/>
          </w:tcPr>
          <w:p w14:paraId="438B95C2" w14:textId="77777777" w:rsidR="00390073" w:rsidRDefault="00000000">
            <w:pPr>
              <w:spacing w:before="0" w:after="0"/>
              <w:jc w:val="right"/>
            </w:pPr>
            <w:r>
              <w:rPr>
                <w:rFonts w:eastAsia="Times New Roman"/>
                <w:sz w:val="21"/>
              </w:rPr>
              <w:t>（4）</w:t>
            </w:r>
          </w:p>
        </w:tc>
      </w:tr>
    </w:tbl>
    <w:p w14:paraId="724555FC" w14:textId="77777777" w:rsidR="009330B5" w:rsidRDefault="009330B5" w:rsidP="009330B5">
      <w:pPr>
        <w:spacing w:after="40"/>
        <w:ind w:firstLine="4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2718D3B4" w14:textId="77777777">
        <w:trPr>
          <w:jc w:val="center"/>
        </w:trPr>
        <w:tc>
          <w:tcPr>
            <w:tcW w:w="504" w:type="dxa"/>
            <w:vAlign w:val="center"/>
          </w:tcPr>
          <w:p w14:paraId="69009324" w14:textId="77777777" w:rsidR="00390073" w:rsidRDefault="00390073">
            <w:pPr>
              <w:spacing w:before="0" w:after="0"/>
            </w:pPr>
          </w:p>
        </w:tc>
        <w:tc>
          <w:tcPr>
            <w:tcW w:w="7992" w:type="dxa"/>
            <w:vAlign w:val="center"/>
          </w:tcPr>
          <w:p w14:paraId="5619A9D0" w14:textId="77777777" w:rsidR="00390073" w:rsidRDefault="00000000">
            <w:pPr>
              <w:spacing w:before="0" w:after="0"/>
              <w:jc w:val="center"/>
            </w:pPr>
            <m:oMath>
              <m:sSub>
                <m:e>
                  <m:r>
                    <m:t>E</m:t>
                  </m:r>
                </m:e>
                <m:sub>
                  <m:r>
                    <m:t>π</m:t>
                  </m:r>
                </m:sub>
              </m:sSub>
              <m:r>
                <m:t>(</m:t>
              </m:r>
              <m:sSub>
                <m:e>
                  <m:r>
                    <m:t>T</m:t>
                  </m:r>
                </m:e>
                <m:sub>
                  <m:r>
                    <m:t>ODI</m:t>
                  </m:r>
                </m:sub>
              </m:sSub>
              <m:r>
                <m:t>)=</m:t>
              </m:r>
              <m:f>
                <m:fPr>
                  <m:type m:val="bar"/>
                </m:fPr>
                <m:num>
                  <m:sSub>
                    <m:e>
                      <m:r>
                        <m:t>n</m:t>
                      </m:r>
                    </m:e>
                    <m:sub>
                      <m:r>
                        <m:t>π</m:t>
                      </m:r>
                    </m:sub>
                  </m:sSub>
                  <m:d>
                    <m:dPr>
                      <m:sepChr m:val=""/>
                    </m:dPr>
                    <m:e>
                      <m:r>
                        <m:rPr>
                          <m:sty m:val="p"/>
                        </m:rPr>
                        <m:t>ODI</m:t>
                      </m:r>
                      <m:r>
                        <m:t>(</m:t>
                      </m:r>
                      <m:r>
                        <m:t>x</m:t>
                      </m:r>
                      <m:r>
                        <m:t>)</m:t>
                      </m:r>
                      <m:r>
                        <m:t>&gt;</m:t>
                      </m:r>
                      <m:sSub>
                        <m:e>
                          <m:r>
                            <m:t>T</m:t>
                          </m:r>
                        </m:e>
                        <m:sub>
                          <m:r>
                            <m:t>ODI</m:t>
                          </m:r>
                        </m:sub>
                      </m:sSub>
                    </m:e>
                  </m:d>
                </m:num>
                <m:den>
                  <m:sSub>
                    <m:e>
                      <m:r>
                        <m:t>N</m:t>
                      </m:r>
                    </m:e>
                    <m:sub>
                      <m:r>
                        <m:t>π</m:t>
                      </m:r>
                    </m:sub>
                  </m:sSub>
                </m:den>
              </m:f>
              <m:r>
                <m:t>×100%</m:t>
              </m:r>
            </m:oMath>
          </w:p>
        </w:tc>
        <w:tc>
          <w:tcPr>
            <w:tcW w:w="936" w:type="dxa"/>
            <w:vAlign w:val="center"/>
          </w:tcPr>
          <w:p w14:paraId="31947352" w14:textId="77777777" w:rsidR="00390073" w:rsidRDefault="00000000">
            <w:pPr>
              <w:spacing w:before="0" w:after="0"/>
              <w:jc w:val="right"/>
            </w:pPr>
            <w:r>
              <w:rPr>
                <w:rFonts w:eastAsia="Times New Roman"/>
                <w:sz w:val="21"/>
              </w:rPr>
              <w:t>（5）</w:t>
            </w:r>
          </w:p>
        </w:tc>
      </w:tr>
    </w:tbl>
    <w:p w14:paraId="7E7E5BBB" w14:textId="77777777" w:rsidR="009330B5" w:rsidRDefault="009330B5" w:rsidP="009330B5">
      <w:pPr>
        <w:pStyle w:val="10"/>
        <w:spacing w:after="40"/>
        <w:ind w:firstLine="420"/>
      </w:pPr>
      <w:r>
        <w:t>式中，π为候选规划方案，A_π为方案π对应的布置区域，N_π为方案区域内参与统计的采样或栅格总数，n_π(ODI(x)&gt;T_ODI)为满足ODI超过统计阈值条件的采样或栅格数量，T_ODI为扰动控制阈值。本文以ODI均值、Q_0.90和超阈值暴露比例E_π共同描述方案级风险：均值反映总体扰动水平，Q_0.90反映高值尾部风险，E_π反映超过统计阈值的空间暴露比例。阈值0.70和0.80分别作为样例内部预警统计线和高扰动统计线，并非行业安全红线。为降低阈值设定对结论的影响，本文设置0.65、0.70、0.75和0.80四组阈值开展敏感性分析；真实矿井应用中仍需结合历史观测、含水层保护等级、地表建构筑物敏感性和安全制度重新标定。</w:t>
      </w:r>
    </w:p>
    <w:p w14:paraId="50920FBE" w14:textId="77777777" w:rsidR="009330B5" w:rsidRDefault="009330B5">
      <w:pPr>
        <w:spacing w:after="60"/>
        <w:rPr>
          <w:rFonts w:ascii="宋体" w:hAnsi="宋体"/>
          <w:b/>
          <w:sz w:val="22"/>
        </w:rPr>
      </w:pPr>
    </w:p>
    <w:p w14:paraId="0E72BAC7" w14:textId="77777777" w:rsidR="007E22B6" w:rsidRDefault="00A249E2" w:rsidP="00A046E0">
      <w:pPr>
        <w:pStyle w:val="12"/>
      </w:pPr>
      <w:r>
        <w:rPr>
          <w:rFonts w:ascii="宋体" w:eastAsia="宋体" w:hAnsi="宋体"/>
          <w:sz w:val="21"/>
        </w:rPr>
        <w:lastRenderedPageBreak/>
        <w:t>1.2 有效布置</w:t>
      </w:r>
      <w:proofErr w:type="gramStart"/>
      <w:r>
        <w:rPr>
          <w:rFonts w:ascii="宋体" w:eastAsia="宋体" w:hAnsi="宋体"/>
          <w:sz w:val="21"/>
        </w:rPr>
        <w:t>域与连续参数场</w:t>
      </w:r>
      <w:proofErr w:type="gramEnd"/>
      <w:r>
        <w:rPr>
          <w:rFonts w:ascii="宋体" w:eastAsia="宋体" w:hAnsi="宋体"/>
          <w:sz w:val="21"/>
        </w:rPr>
        <w:t>构建</w:t>
      </w:r>
    </w:p>
    <w:p w14:paraId="62741418" w14:textId="77777777" w:rsidR="009330B5" w:rsidRPr="009330B5" w:rsidRDefault="009330B5" w:rsidP="009330B5">
      <w:pPr>
        <w:pStyle w:val="10"/>
        <w:spacing w:after="40"/>
        <w:ind w:firstLine="420"/>
      </w:pPr>
      <w:r>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w:t>
      </w:r>
      <w:r>
        <w:t>[30-32]</w:t>
      </w:r>
      <w:r>
        <w:t>。本文以研究区边界、钻孔、分层和设计参数为基础，在统一空间参照下完成边界处理、参数映射和候选方案生成。表</w:t>
      </w:r>
      <w:r>
        <w:t>1</w:t>
      </w:r>
      <w:r>
        <w:t>汇总了</w:t>
      </w:r>
      <w:r>
        <w:t>“</w:t>
      </w:r>
      <w:r>
        <w:t>数据输入</w:t>
      </w:r>
      <w:r>
        <w:t>—</w:t>
      </w:r>
      <w:r>
        <w:t>参数体系构建</w:t>
      </w:r>
      <w:r>
        <w:t>—</w:t>
      </w:r>
      <w:r>
        <w:t>采区规划输出</w:t>
      </w:r>
      <w:r>
        <w:t>”</w:t>
      </w:r>
      <w:r>
        <w:t>的主要参数与约束条件。</w:t>
      </w:r>
    </w:p>
    <w:p w14:paraId="1A33D894" w14:textId="77777777" w:rsidR="009330B5" w:rsidRDefault="009330B5" w:rsidP="009330B5">
      <w:pPr>
        <w:pStyle w:val="10"/>
        <w:spacing w:after="40"/>
        <w:ind w:firstLine="420"/>
      </w:pPr>
      <w:r>
        <w:rPr>
          <w:rFonts w:ascii="宋体" w:eastAsia="宋体" w:hAnsi="宋体"/>
        </w:rPr>
        <w:t>设原始采区边界为Ω_0，边界煤柱约束、区段煤柱约束及保护对象约束对应的缓冲集合分别为</w:t>
      </w:r>
      <w:proofErr w:type="spellStart"/>
      <w:r>
        <w:rPr>
          <w:rFonts w:ascii="宋体" w:eastAsia="宋体" w:hAnsi="宋体"/>
        </w:rPr>
        <w:t>B_b</w:t>
      </w:r>
      <w:proofErr w:type="spellEnd"/>
      <w:r>
        <w:rPr>
          <w:rFonts w:ascii="宋体" w:eastAsia="宋体" w:hAnsi="宋体"/>
        </w:rPr>
        <w:t>、B_s和</w:t>
      </w:r>
      <w:proofErr w:type="spellStart"/>
      <w:r>
        <w:rPr>
          <w:rFonts w:ascii="宋体" w:eastAsia="宋体" w:hAnsi="宋体"/>
        </w:rPr>
        <w:t>D_p</w:t>
      </w:r>
      <w:proofErr w:type="spellEnd"/>
      <w:r>
        <w:rPr>
          <w:rFonts w:ascii="宋体" w:eastAsia="宋体" w:hAnsi="宋体"/>
        </w:rPr>
        <w:t>，则有效布置域可写为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159DD3F9" w14:textId="77777777">
        <w:trPr>
          <w:jc w:val="center"/>
        </w:trPr>
        <w:tc>
          <w:tcPr>
            <w:tcW w:w="504" w:type="dxa"/>
            <w:vAlign w:val="center"/>
          </w:tcPr>
          <w:p w14:paraId="520862E8" w14:textId="77777777" w:rsidR="00390073" w:rsidRDefault="00390073">
            <w:pPr>
              <w:spacing w:before="0" w:after="0"/>
            </w:pPr>
          </w:p>
        </w:tc>
        <w:tc>
          <w:tcPr>
            <w:tcW w:w="7992" w:type="dxa"/>
            <w:vAlign w:val="center"/>
          </w:tcPr>
          <w:p w14:paraId="26C74084" w14:textId="77777777" w:rsidR="00390073" w:rsidRDefault="00000000">
            <w:pPr>
              <w:spacing w:before="0" w:after="0"/>
              <w:jc w:val="center"/>
            </w:pPr>
            <m:oMath>
              <m:sSub>
                <m:e>
                  <m:r>
                    <m:t>Ω</m:t>
                  </m:r>
                </m:e>
                <m:sub>
                  <m:r>
                    <m:t>e</m:t>
                  </m:r>
                </m:sub>
              </m:sSub>
              <m:r>
                <m:t>=</m:t>
              </m:r>
              <m:sSub>
                <m:e>
                  <m:r>
                    <m:t>Ω</m:t>
                  </m:r>
                </m:e>
                <m:sub>
                  <m:r>
                    <m:t>0</m:t>
                  </m:r>
                </m:sub>
              </m:sSub>
              <m:r>
                <m:t>⧵</m:t>
              </m:r>
              <m:d>
                <m:dPr>
                  <m:sepChr m:val="∪"/>
                </m:dPr>
                <m:e>
                  <m:sSub>
                    <m:e>
                      <m:r>
                        <m:t>B</m:t>
                      </m:r>
                    </m:e>
                    <m:sub>
                      <m:r>
                        <m:t>b</m:t>
                      </m:r>
                    </m:sub>
                  </m:sSub>
                </m:e>
                <m:e>
                  <m:sSub>
                    <m:e>
                      <m:r>
                        <m:t>B</m:t>
                      </m:r>
                    </m:e>
                    <m:sub>
                      <m:r>
                        <m:t>s</m:t>
                      </m:r>
                    </m:sub>
                  </m:sSub>
                </m:e>
                <m:e>
                  <m:sSub>
                    <m:e>
                      <m:r>
                        <m:t>D</m:t>
                      </m:r>
                    </m:e>
                    <m:sub>
                      <m:r>
                        <m:t>p</m:t>
                      </m:r>
                    </m:sub>
                  </m:sSub>
                </m:e>
              </m:d>
            </m:oMath>
          </w:p>
        </w:tc>
        <w:tc>
          <w:tcPr>
            <w:tcW w:w="936" w:type="dxa"/>
            <w:vAlign w:val="center"/>
          </w:tcPr>
          <w:p w14:paraId="4502C073" w14:textId="77777777" w:rsidR="00390073" w:rsidRDefault="00000000">
            <w:pPr>
              <w:spacing w:before="0" w:after="0"/>
              <w:jc w:val="right"/>
            </w:pPr>
            <w:r>
              <w:rPr>
                <w:rFonts w:eastAsia="Times New Roman"/>
                <w:sz w:val="21"/>
              </w:rPr>
              <w:t>（6）</w:t>
            </w:r>
          </w:p>
        </w:tc>
      </w:tr>
    </w:tbl>
    <w:p w14:paraId="62D9A2EA" w14:textId="77777777" w:rsidR="009330B5" w:rsidRPr="009330B5" w:rsidRDefault="009330B5" w:rsidP="009330B5">
      <w:pPr>
        <w:pStyle w:val="10"/>
        <w:spacing w:after="40"/>
        <w:ind w:firstLine="420"/>
      </w:pPr>
      <w:r>
        <w:t>式中，</w:t>
      </w:r>
      <w:r>
        <w:t>Ω_0</w:t>
      </w:r>
      <w:r>
        <w:t>为原始采区边界，</w:t>
      </w:r>
      <w:proofErr w:type="spellStart"/>
      <w:r>
        <w:t>B_b</w:t>
      </w:r>
      <w:proofErr w:type="spellEnd"/>
      <w:r>
        <w:t>为边界煤柱宽度，</w:t>
      </w:r>
      <w:r>
        <w:t>B_s</w:t>
      </w:r>
      <w:r>
        <w:t>为区段煤柱宽度，</w:t>
      </w:r>
      <w:proofErr w:type="spellStart"/>
      <w:r>
        <w:t>D_p</w:t>
      </w:r>
      <w:proofErr w:type="spellEnd"/>
      <w:r>
        <w:t>为局部保护距离，</w:t>
      </w:r>
      <w:proofErr w:type="spellStart"/>
      <w:r>
        <w:t>Ω_e</w:t>
      </w:r>
      <w:proofErr w:type="spellEnd"/>
      <w:r>
        <w:t>为经约束内缩和几何合法性处理后的有效布置域。</w:t>
      </w:r>
      <w:proofErr w:type="gramStart"/>
      <w:r>
        <w:t>若内缩后</w:t>
      </w:r>
      <w:proofErr w:type="gramEnd"/>
      <w:r>
        <w:t>出现多连通域或局部狭长畸变，则保留主连通区域并采用降级内缩策略，以保证后续工作面布置具有几何可解性。</w:t>
      </w:r>
    </w:p>
    <w:p w14:paraId="524BD255" w14:textId="77777777" w:rsidR="009330B5" w:rsidRPr="009330B5" w:rsidRDefault="009330B5" w:rsidP="009330B5">
      <w:pPr>
        <w:pStyle w:val="10"/>
        <w:spacing w:after="40"/>
        <w:ind w:firstLine="420"/>
      </w:pPr>
      <w:r>
        <w:rPr>
          <w:rFonts w:ascii="宋体" w:eastAsia="宋体" w:hAnsi="宋体"/>
        </w:rPr>
        <w:t>对给定样点集合，煤层厚度等</w:t>
      </w:r>
      <w:proofErr w:type="gramStart"/>
      <w:r>
        <w:rPr>
          <w:rFonts w:ascii="宋体" w:eastAsia="宋体" w:hAnsi="宋体"/>
        </w:rPr>
        <w:t>参数场</w:t>
      </w:r>
      <w:proofErr w:type="gramEnd"/>
      <w:r>
        <w:rPr>
          <w:rFonts w:ascii="宋体" w:eastAsia="宋体" w:hAnsi="宋体"/>
        </w:rPr>
        <w:t>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551AC147" w14:textId="77777777">
        <w:trPr>
          <w:jc w:val="center"/>
        </w:trPr>
        <w:tc>
          <w:tcPr>
            <w:tcW w:w="504" w:type="dxa"/>
            <w:vAlign w:val="center"/>
          </w:tcPr>
          <w:p w14:paraId="41D0F33A" w14:textId="77777777" w:rsidR="00390073" w:rsidRDefault="00390073">
            <w:pPr>
              <w:spacing w:before="0" w:after="0"/>
            </w:pPr>
          </w:p>
        </w:tc>
        <w:tc>
          <w:tcPr>
            <w:tcW w:w="7992" w:type="dxa"/>
            <w:vAlign w:val="center"/>
          </w:tcPr>
          <w:p w14:paraId="080FC493" w14:textId="77777777" w:rsidR="00390073" w:rsidRDefault="00000000">
            <w:pPr>
              <w:spacing w:before="0" w:after="0"/>
              <w:jc w:val="center"/>
            </w:pPr>
            <m:oMath>
              <m:r>
                <m:t>z(x)=</m:t>
              </m:r>
              <m:f>
                <m:fPr>
                  <m:type m:val="bar"/>
                </m:fPr>
                <m:num>
                  <m:nary>
                    <m:naryPr>
                      <m:chr m:val="∑"/>
                      <m:limLoc m:val="subSup"/>
                      <m:grow m:val="1"/>
                      <m:subHide m:val="off"/>
                      <m:supHide m:val="off"/>
                    </m:naryPr>
                    <m:sub>
                      <m:r>
                        <m:t>i=1</m:t>
                      </m:r>
                    </m:sub>
                    <m:sup>
                      <m:r>
                        <m:t>n</m:t>
                      </m:r>
                    </m:sup>
                    <m:e>
                      <m:sSub>
                        <m:e>
                          <m:r>
                            <m:t>z</m:t>
                          </m:r>
                        </m:e>
                        <m:sub>
                          <m:r>
                            <m:t>i</m:t>
                          </m:r>
                        </m:sub>
                      </m:sSub>
                    </m:e>
                  </m:nary>
                  <m:sSub>
                    <m:e>
                      <m:r>
                        <m:t>d</m:t>
                      </m:r>
                    </m:e>
                    <m:sub>
                      <m:r>
                        <m:t>i</m:t>
                      </m:r>
                    </m:sub>
                  </m:sSub>
                  <m:r>
                    <m:t>(x</m:t>
                  </m:r>
                  <m:sSup>
                    <m:e>
                      <m:r>
                        <m:t>)</m:t>
                      </m:r>
                    </m:e>
                    <m:sup>
                      <m:r>
                        <m:t>−p</m:t>
                      </m:r>
                    </m:sup>
                  </m:sSup>
                </m:num>
                <m:den>
                  <m:nary>
                    <m:naryPr>
                      <m:chr m:val="∑"/>
                      <m:limLoc m:val="subSup"/>
                      <m:grow m:val="1"/>
                      <m:subHide m:val="off"/>
                      <m:supHide m:val="off"/>
                    </m:naryPr>
                    <m:sub>
                      <m:r>
                        <m:t>i=1</m:t>
                      </m:r>
                    </m:sub>
                    <m:sup>
                      <m:r>
                        <m:t>n</m:t>
                      </m:r>
                    </m:sup>
                    <m:e>
                      <m:sSub>
                        <m:e>
                          <m:r>
                            <m:t>d</m:t>
                          </m:r>
                        </m:e>
                        <m:sub>
                          <m:r>
                            <m:t>i</m:t>
                          </m:r>
                        </m:sub>
                      </m:sSub>
                    </m:e>
                  </m:nary>
                  <m:r>
                    <m:t>(x</m:t>
                  </m:r>
                  <m:sSup>
                    <m:e>
                      <m:r>
                        <m:t>)</m:t>
                      </m:r>
                    </m:e>
                    <m:sup>
                      <m:r>
                        <m:t>−p</m:t>
                      </m:r>
                    </m:sup>
                  </m:sSup>
                </m:den>
              </m:f>
            </m:oMath>
          </w:p>
        </w:tc>
        <w:tc>
          <w:tcPr>
            <w:tcW w:w="936" w:type="dxa"/>
            <w:vAlign w:val="center"/>
          </w:tcPr>
          <w:p w14:paraId="5FF50056" w14:textId="77777777" w:rsidR="00390073" w:rsidRDefault="00000000">
            <w:pPr>
              <w:spacing w:before="0" w:after="0"/>
              <w:jc w:val="right"/>
            </w:pPr>
            <w:r>
              <w:rPr>
                <w:rFonts w:eastAsia="Times New Roman"/>
                <w:sz w:val="21"/>
              </w:rPr>
              <w:t>（7）</w:t>
            </w:r>
          </w:p>
        </w:tc>
      </w:tr>
    </w:tbl>
    <w:p w14:paraId="7E75990E" w14:textId="77777777" w:rsidR="009330B5" w:rsidRPr="009330B5" w:rsidRDefault="009330B5" w:rsidP="009330B5">
      <w:pPr>
        <w:pStyle w:val="10"/>
        <w:spacing w:after="40"/>
        <w:ind w:firstLine="420"/>
      </w:pPr>
      <w:r>
        <w:t>式中，</w:t>
      </w:r>
      <w:r>
        <w:t>z(x)</w:t>
      </w:r>
      <w:r>
        <w:t>为规划位置</w:t>
      </w:r>
      <w:r>
        <w:t>x</w:t>
      </w:r>
      <w:r>
        <w:t>处的参数估计值，</w:t>
      </w:r>
      <w:proofErr w:type="spellStart"/>
      <w:r>
        <w:t>z_i</w:t>
      </w:r>
      <w:proofErr w:type="spellEnd"/>
      <w:r>
        <w:t>为第</w:t>
      </w:r>
      <w:proofErr w:type="spellStart"/>
      <w:r>
        <w:t>i</w:t>
      </w:r>
      <w:proofErr w:type="spellEnd"/>
      <w:proofErr w:type="gramStart"/>
      <w:r>
        <w:t>个</w:t>
      </w:r>
      <w:proofErr w:type="gramEnd"/>
      <w:r>
        <w:t>钻孔样点观测值，</w:t>
      </w:r>
      <w:proofErr w:type="spellStart"/>
      <w:r>
        <w:t>d_i</w:t>
      </w:r>
      <w:proofErr w:type="spellEnd"/>
      <w:r>
        <w:t>(x)</w:t>
      </w:r>
      <w:r>
        <w:t>为位置</w:t>
      </w:r>
      <w:r>
        <w:t>x</w:t>
      </w:r>
      <w:r>
        <w:t>与第</w:t>
      </w:r>
      <w:proofErr w:type="spellStart"/>
      <w:r>
        <w:t>i</w:t>
      </w:r>
      <w:proofErr w:type="spellEnd"/>
      <w:proofErr w:type="gramStart"/>
      <w:r>
        <w:t>个</w:t>
      </w:r>
      <w:proofErr w:type="gramEnd"/>
      <w:r>
        <w:t>钻孔的距离，</w:t>
      </w:r>
      <w:r>
        <w:t>p</w:t>
      </w:r>
      <w:r>
        <w:t>为距离衰减指数。本文采用</w:t>
      </w:r>
      <w:proofErr w:type="gramStart"/>
      <w:r>
        <w:t>反距离</w:t>
      </w:r>
      <w:proofErr w:type="gramEnd"/>
      <w:r>
        <w:t>加权插值，主要考虑</w:t>
      </w:r>
      <w:proofErr w:type="gramStart"/>
      <w:r>
        <w:t>当前样</w:t>
      </w:r>
      <w:proofErr w:type="gramEnd"/>
      <w:r>
        <w:t>例钻孔数量有限且目标是形成规划可用的连续约束场。插值前统一坐标、剔除明显异常值并限定边界；插值</w:t>
      </w:r>
      <w:proofErr w:type="gramStart"/>
      <w:r>
        <w:t>后记录</w:t>
      </w:r>
      <w:proofErr w:type="gramEnd"/>
      <w:r>
        <w:t>网格尺寸、样点范围和边界裁剪规则。</w:t>
      </w:r>
      <w:proofErr w:type="gramStart"/>
      <w:r>
        <w:t>进入实矿验证</w:t>
      </w:r>
      <w:proofErr w:type="gramEnd"/>
      <w:r>
        <w:t>阶段后，应补充留</w:t>
      </w:r>
      <w:proofErr w:type="gramStart"/>
      <w:r>
        <w:t>一</w:t>
      </w:r>
      <w:proofErr w:type="gramEnd"/>
      <w:r>
        <w:t>交叉验证或与克里</w:t>
      </w:r>
      <w:proofErr w:type="gramStart"/>
      <w:r>
        <w:t>金结果</w:t>
      </w:r>
      <w:proofErr w:type="gramEnd"/>
      <w:r>
        <w:t>对比，以量化</w:t>
      </w:r>
      <w:proofErr w:type="gramStart"/>
      <w:r>
        <w:t>参数场</w:t>
      </w:r>
      <w:proofErr w:type="gramEnd"/>
      <w:r>
        <w:t>误差对规划结果的影响。</w:t>
      </w:r>
    </w:p>
    <w:p w14:paraId="007DAD3E" w14:textId="77777777" w:rsidR="009330B5" w:rsidRPr="009330B5" w:rsidRDefault="009330B5" w:rsidP="009330B5">
      <w:pPr>
        <w:pStyle w:val="10"/>
        <w:spacing w:after="40"/>
        <w:ind w:firstLine="420"/>
      </w:pPr>
      <w:r>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轮复核的</w:t>
      </w:r>
      <w:r>
        <w:t>ODI</w:t>
      </w:r>
      <w:proofErr w:type="gramStart"/>
      <w:r>
        <w:t>风险场</w:t>
      </w:r>
      <w:proofErr w:type="gramEnd"/>
      <w:r>
        <w:t>采用</w:t>
      </w:r>
      <w:r>
        <w:t>80×56</w:t>
      </w:r>
      <w:r>
        <w:t>网格、共</w:t>
      </w:r>
      <w:r>
        <w:t>4480</w:t>
      </w:r>
      <w:r>
        <w:t>个栅格，该尺度仅用于样</w:t>
      </w:r>
      <w:proofErr w:type="gramStart"/>
      <w:r>
        <w:t>例内部</w:t>
      </w:r>
      <w:proofErr w:type="gramEnd"/>
      <w:r>
        <w:t>统计和方案叠加。</w:t>
      </w:r>
    </w:p>
    <w:p w14:paraId="706BE070" w14:textId="77777777" w:rsidR="009330B5" w:rsidRPr="009330B5" w:rsidRDefault="009330B5" w:rsidP="009330B5">
      <w:pPr>
        <w:pStyle w:val="10"/>
        <w:spacing w:after="40"/>
        <w:ind w:firstLine="420"/>
      </w:pPr>
      <w:r>
        <w:rPr>
          <w:rFonts w:ascii="宋体" w:eastAsia="宋体" w:hAnsi="宋体"/>
        </w:rPr>
        <w:t>由此，采区规划基础输入可归纳为4类：几何边界与有效布置域；钻孔、分层与</w:t>
      </w:r>
      <w:proofErr w:type="gramStart"/>
      <w:r>
        <w:rPr>
          <w:rFonts w:ascii="宋体" w:eastAsia="宋体" w:hAnsi="宋体"/>
        </w:rPr>
        <w:t>厚度场</w:t>
      </w:r>
      <w:proofErr w:type="gramEnd"/>
      <w:r>
        <w:rPr>
          <w:rFonts w:ascii="宋体" w:eastAsia="宋体" w:hAnsi="宋体"/>
        </w:rPr>
        <w:t>等连续参数；边界煤柱、区段煤柱、工作面宽度、推进长度和推进方向等设计参数；ODI约束、资源评价与工程效率评价等指标体系。4类输入在同一空间域、参数口径和评价框架下共同作用于候选方案生成。</w:t>
      </w:r>
    </w:p>
    <w:p w14:paraId="758E1C60" w14:textId="77777777" w:rsidR="007E22B6" w:rsidRDefault="00A249E2" w:rsidP="00A046E0">
      <w:pPr>
        <w:pStyle w:val="12"/>
      </w:pPr>
      <w:r>
        <w:rPr>
          <w:sz w:val="21"/>
        </w:rPr>
        <w:t xml:space="preserve">1.3 </w:t>
      </w:r>
      <w:r>
        <w:rPr>
          <w:sz w:val="21"/>
        </w:rPr>
        <w:t>候选方案生成与多目标比选模型</w:t>
      </w:r>
    </w:p>
    <w:p w14:paraId="67E385A2" w14:textId="77777777" w:rsidR="009330B5" w:rsidRPr="009330B5" w:rsidRDefault="009330B5" w:rsidP="009330B5">
      <w:pPr>
        <w:pStyle w:val="10"/>
        <w:spacing w:after="40"/>
        <w:ind w:firstLine="420"/>
        <w:rPr>
          <w:rFonts w:ascii="宋体" w:hAnsi="宋体"/>
        </w:rPr>
      </w:pPr>
      <w:r>
        <w:t>在满足几何可实施性和安全隔离要求的前提下，采区规划需要在工程效率、资源回收和</w:t>
      </w:r>
      <w:proofErr w:type="gramStart"/>
      <w:r>
        <w:t>覆岩</w:t>
      </w:r>
      <w:proofErr w:type="gramEnd"/>
      <w:r>
        <w:t>扰动控制之间进行权衡。本文将规划问题定义为</w:t>
      </w:r>
      <w:r>
        <w:t>“</w:t>
      </w:r>
      <w:r>
        <w:t>候选方案集合生成</w:t>
      </w:r>
      <w:r>
        <w:t>—</w:t>
      </w:r>
      <w:r>
        <w:t>底线约束过滤</w:t>
      </w:r>
      <w:r>
        <w:t>—</w:t>
      </w:r>
      <w:r>
        <w:t>多目标排序</w:t>
      </w:r>
      <w:r>
        <w:t>—</w:t>
      </w:r>
      <w:r>
        <w:t>工程复核</w:t>
      </w:r>
      <w:r>
        <w:t>”</w:t>
      </w:r>
      <w:r>
        <w:t>的组合优化过程，而不是单一程序输出结果。</w:t>
      </w:r>
    </w:p>
    <w:p w14:paraId="1E8A944F" w14:textId="77777777" w:rsidR="009330B5" w:rsidRPr="009330B5" w:rsidRDefault="009330B5" w:rsidP="009330B5">
      <w:pPr>
        <w:pStyle w:val="10"/>
        <w:spacing w:after="40"/>
        <w:ind w:firstLine="420"/>
        <w:rPr>
          <w:rFonts w:ascii="宋体" w:hAnsi="宋体"/>
        </w:rPr>
      </w:pPr>
      <w:r>
        <w:t>设候选方案集合为</w:t>
      </w:r>
      <w:r>
        <w:t>Π</w:t>
      </w:r>
      <w:r>
        <w:t>，候选方案</w:t>
      </w:r>
      <w:r>
        <w:t>π</w:t>
      </w:r>
      <w:r>
        <w:t>由工作面数量</w:t>
      </w:r>
      <w:r>
        <w:t>N</w:t>
      </w:r>
      <w:r>
        <w:t>、工作面宽度</w:t>
      </w:r>
      <w:proofErr w:type="spellStart"/>
      <w:r>
        <w:t>W_f</w:t>
      </w:r>
      <w:proofErr w:type="spellEnd"/>
      <w:r>
        <w:t>、推进方向</w:t>
      </w:r>
      <w:r>
        <w:t>θ</w:t>
      </w:r>
      <w:r>
        <w:t>、边界煤柱宽度</w:t>
      </w:r>
      <w:proofErr w:type="spellStart"/>
      <w:r>
        <w:t>B_b</w:t>
      </w:r>
      <w:proofErr w:type="spellEnd"/>
      <w:r>
        <w:t>、区段煤柱宽度</w:t>
      </w:r>
      <w:r>
        <w:t>B_s</w:t>
      </w:r>
      <w:r>
        <w:t>、工作面起止边界、巷道连接关系和方案选择变量</w:t>
      </w:r>
      <w:r>
        <w:t>y_π</w:t>
      </w:r>
      <w:r>
        <w:t>共同描述，可写为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5FFE03AD" w14:textId="77777777">
        <w:trPr>
          <w:jc w:val="center"/>
        </w:trPr>
        <w:tc>
          <w:tcPr>
            <w:tcW w:w="504" w:type="dxa"/>
            <w:vAlign w:val="center"/>
          </w:tcPr>
          <w:p w14:paraId="45686939" w14:textId="77777777" w:rsidR="00390073" w:rsidRDefault="00390073">
            <w:pPr>
              <w:spacing w:before="0" w:after="0"/>
            </w:pPr>
          </w:p>
        </w:tc>
        <w:tc>
          <w:tcPr>
            <w:tcW w:w="7992" w:type="dxa"/>
            <w:vAlign w:val="center"/>
          </w:tcPr>
          <w:p w14:paraId="51999755" w14:textId="77777777" w:rsidR="00390073" w:rsidRDefault="00000000">
            <w:pPr>
              <w:spacing w:before="0" w:after="0"/>
              <w:jc w:val="center"/>
            </w:pPr>
            <m:oMath>
              <m:r>
                <m:t>π={N,</m:t>
              </m:r>
              <m:sSub>
                <m:e>
                  <m:r>
                    <m:t>W</m:t>
                  </m:r>
                </m:e>
                <m:sub>
                  <m:r>
                    <m:t>f</m:t>
                  </m:r>
                </m:sub>
              </m:sSub>
              <m:r>
                <m:t>,θ,</m:t>
              </m:r>
              <m:sSub>
                <m:e>
                  <m:r>
                    <m:t>B</m:t>
                  </m:r>
                </m:e>
                <m:sub>
                  <m:r>
                    <m:t>b</m:t>
                  </m:r>
                </m:sub>
              </m:sSub>
              <m:r>
                <m:t>,</m:t>
              </m:r>
              <m:sSub>
                <m:e>
                  <m:r>
                    <m:t>B</m:t>
                  </m:r>
                </m:e>
                <m:sub>
                  <m:r>
                    <m:t>s</m:t>
                  </m:r>
                </m:sub>
              </m:sSub>
              <m:r>
                <m:t>,</m:t>
              </m:r>
              <m:sSub>
                <m:e>
                  <m:r>
                    <m:t>A</m:t>
                  </m:r>
                </m:e>
                <m:sub>
                  <m:r>
                    <m:t>π</m:t>
                  </m:r>
                </m:sub>
              </m:sSub>
              <m:r>
                <m:t>,</m:t>
              </m:r>
              <m:sSub>
                <m:e>
                  <m:r>
                    <m:t>L</m:t>
                  </m:r>
                </m:e>
                <m:sub>
                  <m:r>
                    <m:t>π</m:t>
                  </m:r>
                </m:sub>
              </m:sSub>
              <m:r>
                <m:t>,</m:t>
              </m:r>
              <m:sSub>
                <m:e>
                  <m:r>
                    <m:t>R</m:t>
                  </m:r>
                </m:e>
                <m:sub>
                  <m:r>
                    <m:t>π</m:t>
                  </m:r>
                </m:sub>
              </m:sSub>
              <m:r>
                <m:t>,</m:t>
              </m:r>
              <m:sSub>
                <m:e>
                  <m:r>
                    <m:t>y</m:t>
                  </m:r>
                </m:e>
                <m:sub>
                  <m:r>
                    <m:t>π</m:t>
                  </m:r>
                </m:sub>
              </m:sSub>
              <m:r>
                <m:t>},</m:t>
              </m:r>
              <m:sSub>
                <m:e>
                  <m:r>
                    <m:t>y</m:t>
                  </m:r>
                </m:e>
                <m:sub>
                  <m:r>
                    <m:t>π</m:t>
                  </m:r>
                </m:sub>
              </m:sSub>
              <m:r>
                <m:t>∈{0,1}</m:t>
              </m:r>
            </m:oMath>
          </w:p>
        </w:tc>
        <w:tc>
          <w:tcPr>
            <w:tcW w:w="936" w:type="dxa"/>
            <w:vAlign w:val="center"/>
          </w:tcPr>
          <w:p w14:paraId="0C4F79BD" w14:textId="77777777" w:rsidR="00390073" w:rsidRDefault="00000000">
            <w:pPr>
              <w:spacing w:before="0" w:after="0"/>
              <w:jc w:val="right"/>
            </w:pPr>
            <w:r>
              <w:rPr>
                <w:rFonts w:eastAsia="Times New Roman"/>
                <w:sz w:val="21"/>
              </w:rPr>
              <w:t>（8）</w:t>
            </w:r>
          </w:p>
        </w:tc>
      </w:tr>
    </w:tbl>
    <w:p w14:paraId="2EDFF0A5" w14:textId="77777777" w:rsidR="009330B5" w:rsidRPr="009330B5" w:rsidRDefault="00A249E2">
      <w:pPr>
        <w:pStyle w:val="16"/>
        <w:tabs>
          <w:tab w:val="right" w:pos="8504"/>
        </w:tabs>
        <w:spacing w:after="60" w:line="240" w:lineRule="auto"/>
        <w:jc w:val="center"/>
        <w:rPr>
          <w:rFonts w:ascii="宋体" w:hAnsi="宋体"/>
        </w:rPr>
      </w:pPr>
      <w:r>
        <w:t>式中，</w:t>
      </w:r>
      <w:r>
        <w:t>N</w:t>
      </w:r>
      <w:r>
        <w:t>为工作面数量，</w:t>
      </w:r>
      <w:proofErr w:type="spellStart"/>
      <w:r>
        <w:t>W_f</w:t>
      </w:r>
      <w:proofErr w:type="spellEnd"/>
      <w:r>
        <w:t>为工作面宽度，</w:t>
      </w:r>
      <w:r>
        <w:t>θ</w:t>
      </w:r>
      <w:r>
        <w:t>为推进方向，</w:t>
      </w:r>
      <w:proofErr w:type="spellStart"/>
      <w:r>
        <w:t>B_b</w:t>
      </w:r>
      <w:proofErr w:type="spellEnd"/>
      <w:r>
        <w:t>和</w:t>
      </w:r>
      <w:r>
        <w:t>B_s</w:t>
      </w:r>
      <w:r>
        <w:t>分别为边界煤柱与区段煤柱宽度，</w:t>
      </w:r>
      <w:r>
        <w:t>A_π</w:t>
      </w:r>
      <w:r>
        <w:t>为方案</w:t>
      </w:r>
      <w:r>
        <w:t>π</w:t>
      </w:r>
      <w:r>
        <w:t>中工作面占用区域集合，</w:t>
      </w:r>
      <w:r>
        <w:t>L_π</w:t>
      </w:r>
      <w:r>
        <w:t>为各工作面推进长度集合，</w:t>
      </w:r>
      <w:r>
        <w:t>R_π</w:t>
      </w:r>
      <w:r>
        <w:t>为巷道连接与服务关系，</w:t>
      </w:r>
      <w:r>
        <w:t>y_π</w:t>
      </w:r>
      <w:r>
        <w:t>为候选方案选择变量。该变量定义将规划对象由单一几何图形扩展为包含数量、尺度、方向、煤柱、工作面区域和巷道关系的组合对象，可同时承接几何约束、风险统计和后续接续评价。</w:t>
      </w:r>
    </w:p>
    <w:p w14:paraId="601FB9E3" w14:textId="77777777" w:rsidR="009330B5" w:rsidRDefault="009330B5">
      <w:pPr>
        <w:pStyle w:val="10"/>
        <w:spacing w:after="40"/>
        <w:ind w:firstLine="420"/>
        <w:rPr>
          <w:rFonts w:ascii="宋体" w:hAnsi="宋体"/>
        </w:rPr>
      </w:pPr>
      <w:r>
        <w:t>候选方案需满足以下约束：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14199046" w14:textId="77777777">
        <w:trPr>
          <w:jc w:val="center"/>
        </w:trPr>
        <w:tc>
          <w:tcPr>
            <w:tcW w:w="504" w:type="dxa"/>
            <w:vAlign w:val="center"/>
          </w:tcPr>
          <w:p w14:paraId="3C2B3266" w14:textId="77777777" w:rsidR="00390073" w:rsidRDefault="00390073">
            <w:pPr>
              <w:spacing w:before="0" w:after="0"/>
            </w:pPr>
          </w:p>
        </w:tc>
        <w:tc>
          <w:tcPr>
            <w:tcW w:w="7992" w:type="dxa"/>
            <w:vAlign w:val="center"/>
          </w:tcPr>
          <w:p w14:paraId="60395356" w14:textId="77777777" w:rsidR="00390073" w:rsidRDefault="00000000">
            <w:pPr>
              <w:spacing w:before="0" w:after="0"/>
              <w:jc w:val="center"/>
            </w:pPr>
            <m:oMath>
              <m:sSub>
                <m:e>
                  <m:r>
                    <m:t>A</m:t>
                  </m:r>
                </m:e>
                <m:sub>
                  <m:r>
                    <m:t>π</m:t>
                  </m:r>
                </m:sub>
              </m:sSub>
              <m:r>
                <m:t>⊂</m:t>
              </m:r>
              <m:sSub>
                <m:e>
                  <m:r>
                    <m:t>Ω</m:t>
                  </m:r>
                </m:e>
                <m:sub>
                  <m:r>
                    <m:t>e</m:t>
                  </m:r>
                </m:sub>
              </m:sSub>
              <m:r>
                <m:t>;</m:t>
              </m:r>
              <m:r>
                <m:rPr>
                  <m:nor/>
                </m:rPr>
                <m:t> </m:t>
              </m:r>
              <m:sSub>
                <m:e>
                  <m:r>
                    <m:t>B</m:t>
                  </m:r>
                </m:e>
                <m:sub>
                  <m:r>
                    <m:t>b</m:t>
                  </m:r>
                </m:sub>
              </m:sSub>
              <m:r>
                <m:t>∈[</m:t>
              </m:r>
              <m:sSub>
                <m:e>
                  <m:r>
                    <m:t>B</m:t>
                  </m:r>
                </m:e>
                <m:sub>
                  <m:r>
                    <m:t>b,min</m:t>
                  </m:r>
                </m:sub>
              </m:sSub>
              <m:r>
                <m:t>,</m:t>
              </m:r>
              <m:sSub>
                <m:e>
                  <m:r>
                    <m:t>B</m:t>
                  </m:r>
                </m:e>
                <m:sub>
                  <m:r>
                    <m:t>b,max</m:t>
                  </m:r>
                </m:sub>
              </m:sSub>
              <m:r>
                <m:t>];</m:t>
              </m:r>
              <m:r>
                <m:rPr>
                  <m:nor/>
                </m:rPr>
                <m:t> </m:t>
              </m:r>
              <m:sSub>
                <m:e>
                  <m:r>
                    <m:t>B</m:t>
                  </m:r>
                </m:e>
                <m:sub>
                  <m:r>
                    <m:t>s</m:t>
                  </m:r>
                </m:sub>
              </m:sSub>
              <m:r>
                <m:t>∈[</m:t>
              </m:r>
              <m:sSub>
                <m:e>
                  <m:r>
                    <m:t>B</m:t>
                  </m:r>
                </m:e>
                <m:sub>
                  <m:r>
                    <m:t>s,min</m:t>
                  </m:r>
                </m:sub>
              </m:sSub>
              <m:r>
                <m:t>,</m:t>
              </m:r>
              <m:sSub>
                <m:e>
                  <m:r>
                    <m:t>B</m:t>
                  </m:r>
                </m:e>
                <m:sub>
                  <m:r>
                    <m:t>s,max</m:t>
                  </m:r>
                </m:sub>
              </m:sSub>
              <m:r>
                <m:t>];</m:t>
              </m:r>
              <m:r>
                <m:rPr>
                  <m:nor/>
                </m:rPr>
                <m:t> </m:t>
              </m:r>
              <m:sSub>
                <m:e>
                  <m:r>
                    <m:t>W</m:t>
                  </m:r>
                </m:e>
                <m:sub>
                  <m:r>
                    <m:t>f</m:t>
                  </m:r>
                </m:sub>
              </m:sSub>
              <m:r>
                <m:t>∈[</m:t>
              </m:r>
              <m:sSub>
                <m:e>
                  <m:r>
                    <m:t>W</m:t>
                  </m:r>
                </m:e>
                <m:sub>
                  <m:r>
                    <m:t>min</m:t>
                  </m:r>
                </m:sub>
              </m:sSub>
              <m:r>
                <m:t>,</m:t>
              </m:r>
              <m:sSub>
                <m:e>
                  <m:r>
                    <m:t>W</m:t>
                  </m:r>
                </m:e>
                <m:sub>
                  <m:r>
                    <m:t>max</m:t>
                  </m:r>
                </m:sub>
              </m:sSub>
              <m:r>
                <m:t>];</m:t>
              </m:r>
              <m:r>
                <m:rPr>
                  <m:nor/>
                </m:rPr>
                <m:t> </m:t>
              </m:r>
              <m:sSub>
                <m:e>
                  <m:r>
                    <m:t>A</m:t>
                  </m:r>
                </m:e>
                <m:sub>
                  <m:r>
                    <m:t>i</m:t>
                  </m:r>
                </m:sub>
              </m:sSub>
              <m:r>
                <m:t>∩</m:t>
              </m:r>
              <m:sSub>
                <m:e>
                  <m:r>
                    <m:t>A</m:t>
                  </m:r>
                </m:e>
                <m:sub>
                  <m:r>
                    <m:t>j</m:t>
                  </m:r>
                </m:sub>
              </m:sSub>
              <m:r>
                <m:t>=∅;</m:t>
              </m:r>
              <m:r>
                <m:rPr>
                  <m:nor/>
                </m:rPr>
                <m:t> </m:t>
              </m:r>
              <m:sSub>
                <m:e>
                  <m:r>
                    <m:t>L</m:t>
                  </m:r>
                </m:e>
                <m:sub>
                  <m:r>
                    <m:t>f</m:t>
                  </m:r>
                </m:sub>
              </m:sSub>
              <m:r>
                <m:t>∈</m:t>
              </m:r>
              <m:sSub>
                <m:e>
                  <m:r>
                    <m:t>C</m:t>
                  </m:r>
                </m:e>
                <m:sub>
                  <m:r>
                    <m:t>L</m:t>
                  </m:r>
                </m:sub>
              </m:sSub>
              <m:r>
                <m:t>;</m:t>
              </m:r>
              <m:r>
                <m:rPr>
                  <m:nor/>
                </m:rPr>
                <m:t> </m:t>
              </m:r>
              <m:sSub>
                <m:e>
                  <m:r>
                    <m:t>E</m:t>
                  </m:r>
                </m:e>
                <m:sub>
                  <m:r>
                    <m:t>π</m:t>
                  </m:r>
                </m:sub>
              </m:sSub>
              <m:r>
                <m:t>∈</m:t>
              </m:r>
              <m:sSub>
                <m:e>
                  <m:r>
                    <m:t>I</m:t>
                  </m:r>
                </m:e>
                <m:sub>
                  <m:r>
                    <m:t>ODI</m:t>
                  </m:r>
                </m:sub>
              </m:sSub>
            </m:oMath>
          </w:p>
        </w:tc>
        <w:tc>
          <w:tcPr>
            <w:tcW w:w="936" w:type="dxa"/>
            <w:vAlign w:val="center"/>
          </w:tcPr>
          <w:p w14:paraId="123EF3BF" w14:textId="77777777" w:rsidR="00390073" w:rsidRDefault="00000000">
            <w:pPr>
              <w:spacing w:before="0" w:after="0"/>
              <w:jc w:val="right"/>
            </w:pPr>
            <w:r>
              <w:rPr>
                <w:rFonts w:eastAsia="Times New Roman"/>
                <w:sz w:val="21"/>
              </w:rPr>
              <w:lastRenderedPageBreak/>
              <w:t>（9）</w:t>
            </w:r>
          </w:p>
        </w:tc>
      </w:tr>
    </w:tbl>
    <w:p w14:paraId="33C09583" w14:textId="77777777" w:rsidR="009330B5" w:rsidRPr="009330B5" w:rsidRDefault="009330B5" w:rsidP="009330B5">
      <w:pPr>
        <w:pStyle w:val="10"/>
        <w:spacing w:after="40"/>
        <w:ind w:firstLine="420"/>
        <w:rPr>
          <w:rFonts w:ascii="宋体" w:hAnsi="宋体"/>
        </w:rPr>
      </w:pPr>
      <w:r>
        <w:t>式中，</w:t>
      </w:r>
      <w:r>
        <w:t>A_π⊂</w:t>
      </w:r>
      <w:proofErr w:type="spellStart"/>
      <w:r>
        <w:t>Ω_e</w:t>
      </w:r>
      <w:proofErr w:type="spellEnd"/>
      <w:r>
        <w:t>为边界约束，</w:t>
      </w:r>
      <w:proofErr w:type="spellStart"/>
      <w:r>
        <w:t>B_b</w:t>
      </w:r>
      <w:proofErr w:type="spellEnd"/>
      <w:r>
        <w:t>和</w:t>
      </w:r>
      <w:r>
        <w:t>B_s</w:t>
      </w:r>
      <w:r>
        <w:t>为煤柱约束，</w:t>
      </w:r>
      <w:proofErr w:type="spellStart"/>
      <w:r>
        <w:t>W_f</w:t>
      </w:r>
      <w:proofErr w:type="spellEnd"/>
      <w:r>
        <w:t>为工作面宽度约束，</w:t>
      </w:r>
      <w:proofErr w:type="spellStart"/>
      <w:r>
        <w:t>A_i∩A_j</w:t>
      </w:r>
      <w:proofErr w:type="spellEnd"/>
      <w:r>
        <w:t>=∅</w:t>
      </w:r>
      <w:r>
        <w:t>为工作面不重叠约束，</w:t>
      </w:r>
      <w:r>
        <w:t>C_L</w:t>
      </w:r>
      <w:r>
        <w:t>表示推进长度推荐区间或校核条件，</w:t>
      </w:r>
      <w:r>
        <w:t>I_ODI</w:t>
      </w:r>
      <w:r>
        <w:t>表示</w:t>
      </w:r>
      <w:r>
        <w:t>ODI</w:t>
      </w:r>
      <w:r>
        <w:t>暴露统计参与方案筛选与风险排序的指标口径。</w:t>
      </w:r>
      <w:proofErr w:type="gramStart"/>
      <w:r>
        <w:t>当前样</w:t>
      </w:r>
      <w:proofErr w:type="gramEnd"/>
      <w:r>
        <w:t>例将边界、煤柱、工作面宽度和不重叠作为硬约束，将推进长度校核阈值与</w:t>
      </w:r>
      <w:r>
        <w:t>ODI</w:t>
      </w:r>
      <w:r>
        <w:t>暴露阈值作为候选方案筛选和排序中的推荐性约束，以避免样例验证阶段因现场闭环约束不完整而过度收缩候选空间。</w:t>
      </w:r>
    </w:p>
    <w:p w14:paraId="7E349263" w14:textId="77777777" w:rsidR="009330B5" w:rsidRPr="009330B5" w:rsidRDefault="009330B5" w:rsidP="009330B5">
      <w:pPr>
        <w:pStyle w:val="10"/>
        <w:spacing w:after="40"/>
        <w:ind w:firstLine="420"/>
        <w:rPr>
          <w:rFonts w:ascii="宋体" w:hAnsi="宋体"/>
        </w:rPr>
      </w:pPr>
      <w:r>
        <w:t>本文首先在统一基础输入、统一几何底线约束和统一</w:t>
      </w:r>
      <w:r>
        <w:t>ODI</w:t>
      </w:r>
      <w:r>
        <w:t>场条件下形成可合并的总候选集合</w:t>
      </w:r>
      <w:proofErr w:type="spellStart"/>
      <w:r>
        <w:t>Π_all</w:t>
      </w:r>
      <w:proofErr w:type="spellEnd"/>
      <w:r>
        <w:t>=</w:t>
      </w:r>
      <w:proofErr w:type="spellStart"/>
      <w:r>
        <w:t>Π_e∪Π_r∪Π_m</w:t>
      </w:r>
      <w:proofErr w:type="spellEnd"/>
      <w:r>
        <w:t>，再在该集合上分别按工程效率、资源回收和扰动控制偏好进行排序与筛选，输出工程效率优先方案</w:t>
      </w:r>
      <w:r>
        <w:t>A</w:t>
      </w:r>
      <w:r>
        <w:t>、资源回收优先方案</w:t>
      </w:r>
      <w:r>
        <w:t>B</w:t>
      </w:r>
      <w:r>
        <w:t>和扰动控制优先方案</w:t>
      </w:r>
      <w:r>
        <w:t>C</w:t>
      </w:r>
      <w:r>
        <w:t>。推进方向不作黑箱</w:t>
      </w:r>
      <w:r>
        <w:t>“</w:t>
      </w:r>
      <w:r>
        <w:t>自动确定</w:t>
      </w:r>
      <w:r>
        <w:t>”</w:t>
      </w:r>
      <w:r>
        <w:t>，而是在工程允许方向集合</w:t>
      </w:r>
      <w:r>
        <w:t>Θ</w:t>
      </w:r>
      <w:r>
        <w:t>内与煤柱宽度、工作面宽度和边界内</w:t>
      </w:r>
      <w:proofErr w:type="gramStart"/>
      <w:r>
        <w:t>缩距离</w:t>
      </w:r>
      <w:proofErr w:type="gramEnd"/>
      <w:r>
        <w:t>共同枚举，并由约束过滤和多目标排序确定推荐结果。</w:t>
      </w:r>
    </w:p>
    <w:p w14:paraId="41E0CAF6" w14:textId="77777777" w:rsidR="009330B5" w:rsidRPr="009330B5" w:rsidRDefault="009330B5" w:rsidP="009330B5">
      <w:pPr>
        <w:pStyle w:val="10"/>
        <w:spacing w:after="40"/>
        <w:ind w:firstLine="420"/>
        <w:rPr>
          <w:rFonts w:ascii="宋体" w:hAnsi="宋体"/>
        </w:rPr>
      </w:pPr>
      <w:r>
        <w:t>候选集合生成包括参数取值、几何构造、底线约束过滤、指标计算和去重合并</w:t>
      </w:r>
      <w:r>
        <w:t>5</w:t>
      </w:r>
      <w:r>
        <w:t>步：读取边界、钻孔</w:t>
      </w:r>
      <w:proofErr w:type="gramStart"/>
      <w:r>
        <w:t>参数场</w:t>
      </w:r>
      <w:proofErr w:type="gramEnd"/>
      <w:r>
        <w:t>和规划控制参数，确定</w:t>
      </w:r>
      <w:r>
        <w:t>Θ</w:t>
      </w:r>
      <w:r>
        <w:t>、</w:t>
      </w:r>
      <w:proofErr w:type="spellStart"/>
      <w:r>
        <w:t>W_f</w:t>
      </w:r>
      <w:proofErr w:type="spellEnd"/>
      <w:r>
        <w:t>、</w:t>
      </w:r>
      <w:proofErr w:type="spellStart"/>
      <w:r>
        <w:t>B_b</w:t>
      </w:r>
      <w:proofErr w:type="spellEnd"/>
      <w:r>
        <w:t>、</w:t>
      </w:r>
      <w:r>
        <w:t>B_s</w:t>
      </w:r>
      <w:r>
        <w:t>及内</w:t>
      </w:r>
      <w:proofErr w:type="gramStart"/>
      <w:r>
        <w:t>缩距离</w:t>
      </w:r>
      <w:proofErr w:type="gramEnd"/>
      <w:r>
        <w:t>取值；切分有效布置域并生成工作面区域、推进长度和巷道连接对象；按式（</w:t>
      </w:r>
      <w:r>
        <w:t>9</w:t>
      </w:r>
      <w:r>
        <w:t>）剔除越界、煤柱不足、宽度不符和工作面重叠等几何不合格方案，并记录推进长度与</w:t>
      </w:r>
      <w:r>
        <w:t>ODI</w:t>
      </w:r>
      <w:r>
        <w:t>暴露校核状态；计算覆盖率、</w:t>
      </w:r>
      <w:proofErr w:type="gramStart"/>
      <w:r>
        <w:t>煤厚覆盖</w:t>
      </w:r>
      <w:proofErr w:type="gramEnd"/>
      <w:r>
        <w:t>、巷道组织、</w:t>
      </w:r>
      <w:r>
        <w:t>ODI</w:t>
      </w:r>
      <w:r>
        <w:t>均值、</w:t>
      </w:r>
      <w:r>
        <w:t>P90</w:t>
      </w:r>
      <w:r>
        <w:t>和超阈值暴露比例；最后依据方向、煤柱、工作面数量、边界和连接关系形成候选签名并合并重复方案。后续排序仅在该有限候选集合</w:t>
      </w:r>
      <w:proofErr w:type="spellStart"/>
      <w:r>
        <w:t>Π_all</w:t>
      </w:r>
      <w:proofErr w:type="spellEnd"/>
      <w:r>
        <w:t>内成立。</w:t>
      </w:r>
    </w:p>
    <w:p w14:paraId="67D727E4" w14:textId="77777777" w:rsidR="009330B5" w:rsidRPr="009330B5" w:rsidRDefault="009330B5" w:rsidP="009330B5">
      <w:pPr>
        <w:pStyle w:val="10"/>
        <w:spacing w:after="40"/>
        <w:ind w:firstLine="420"/>
        <w:rPr>
          <w:rFonts w:ascii="宋体" w:hAnsi="宋体"/>
        </w:rPr>
      </w:pPr>
      <w:r>
        <w:t>对候选方案</w:t>
      </w:r>
      <w:r>
        <w:t>π</w:t>
      </w:r>
      <w:r>
        <w:t>，本文把工程效率、资源回收和扰动控制分别写成可复核的分项评分。工程效率评分采用覆盖率基础分扣减组织复杂度惩罚的形式；资源回收和扰动控制中的正向指标按式（</w:t>
      </w:r>
      <w:r>
        <w:t>3</w:t>
      </w:r>
      <w:r>
        <w:t>）归一化，成本型或风险</w:t>
      </w:r>
      <w:proofErr w:type="gramStart"/>
      <w:r>
        <w:t>型指标</w:t>
      </w:r>
      <w:proofErr w:type="gramEnd"/>
      <w:r>
        <w:t>按式（</w:t>
      </w:r>
      <w:r>
        <w:t>4</w:t>
      </w:r>
      <w:r>
        <w:t>）转化为正向评分。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3E591A4A" w14:textId="77777777">
        <w:trPr>
          <w:jc w:val="center"/>
        </w:trPr>
        <w:tc>
          <w:tcPr>
            <w:tcW w:w="504" w:type="dxa"/>
            <w:vAlign w:val="center"/>
          </w:tcPr>
          <w:p w14:paraId="44223E94" w14:textId="77777777" w:rsidR="00390073" w:rsidRDefault="00390073">
            <w:pPr>
              <w:spacing w:before="0" w:after="0"/>
            </w:pPr>
          </w:p>
        </w:tc>
        <w:tc>
          <w:tcPr>
            <w:tcW w:w="7992" w:type="dxa"/>
            <w:vAlign w:val="center"/>
          </w:tcPr>
          <w:p w14:paraId="70C78B0E" w14:textId="77777777" w:rsidR="00390073" w:rsidRDefault="00000000">
            <w:pPr>
              <w:spacing w:before="0" w:after="0"/>
              <w:jc w:val="center"/>
            </w:pPr>
            <m:oMath>
              <m:sSub>
                <m:e>
                  <m:r>
                    <m:t>S</m:t>
                  </m:r>
                </m:e>
                <m:sub>
                  <m:r>
                    <m:t>e</m:t>
                  </m:r>
                </m:sub>
              </m:sSub>
              <m:r>
                <m:t>(π)=100</m:t>
              </m:r>
              <m:sSub>
                <m:e>
                  <m:r>
                    <m:t>C</m:t>
                  </m:r>
                </m:e>
                <m:sub>
                  <m:r>
                    <m:rPr>
                      <m:sty m:val="p"/>
                    </m:rPr>
                    <m:t>cov</m:t>
                  </m:r>
                </m:sub>
              </m:sSub>
              <m:r>
                <m:t>(π)−[</m:t>
              </m:r>
              <m:sSub>
                <m:e>
                  <m:r>
                    <m:t>P</m:t>
                  </m:r>
                </m:e>
                <m:sub>
                  <m:r>
                    <m:t>N</m:t>
                  </m:r>
                </m:sub>
              </m:sSub>
              <m:r>
                <m:t>(π)+10</m:t>
              </m:r>
              <m:sSub>
                <m:e>
                  <m:r>
                    <m:rPr>
                      <m:sty m:val="p"/>
                    </m:rPr>
                    <m:t>CV</m:t>
                  </m:r>
                </m:e>
                <m:sub>
                  <m:r>
                    <m:t>L</m:t>
                  </m:r>
                </m:sub>
              </m:sSub>
              <m:r>
                <m:t>(π)+5</m:t>
              </m:r>
              <m:sSub>
                <m:e>
                  <m:r>
                    <m:t>P</m:t>
                  </m:r>
                </m:e>
                <m:sub>
                  <m:r>
                    <m:rPr>
                      <m:sty m:val="p"/>
                    </m:rPr>
                    <m:t>short</m:t>
                  </m:r>
                </m:sub>
              </m:sSub>
              <m:r>
                <m:t>(π)]</m:t>
              </m:r>
            </m:oMath>
          </w:p>
        </w:tc>
        <w:tc>
          <w:tcPr>
            <w:tcW w:w="936" w:type="dxa"/>
            <w:vAlign w:val="center"/>
          </w:tcPr>
          <w:p w14:paraId="322E8961" w14:textId="77777777" w:rsidR="00390073" w:rsidRDefault="00000000">
            <w:pPr>
              <w:spacing w:before="0" w:after="0"/>
              <w:jc w:val="right"/>
            </w:pPr>
            <w:r>
              <w:rPr>
                <w:rFonts w:eastAsia="Times New Roman"/>
                <w:sz w:val="21"/>
              </w:rPr>
              <w:t>（10）</w:t>
            </w:r>
          </w:p>
        </w:tc>
      </w:tr>
    </w:tbl>
    <w:p w14:paraId="7B5270BB" w14:textId="77777777" w:rsidR="009330B5" w:rsidRPr="009330B5" w:rsidRDefault="009330B5" w:rsidP="009330B5">
      <w:pPr>
        <w:pStyle w:val="10"/>
        <w:spacing w:after="40"/>
        <w:ind w:firstLine="420"/>
        <w:rPr>
          <w:rFonts w:ascii="宋体" w:hAnsi="宋体"/>
        </w:rPr>
      </w:pPr>
      <w:r>
        <w:t>式中，</w:t>
      </w:r>
      <w:proofErr w:type="spellStart"/>
      <w:r>
        <w:t>C_cov</w:t>
      </w:r>
      <w:proofErr w:type="spellEnd"/>
      <w:r>
        <w:t>为有效覆盖率，</w:t>
      </w:r>
      <w:r>
        <w:t>P_N</w:t>
      </w:r>
      <w:r>
        <w:t>为工作面数量复杂度惩罚，</w:t>
      </w:r>
      <w:r>
        <w:t>CV_L</w:t>
      </w:r>
      <w:r>
        <w:t>为工作面推进长度变异系数，</w:t>
      </w:r>
      <w:proofErr w:type="spellStart"/>
      <w:r>
        <w:t>P_short</w:t>
      </w:r>
      <w:proofErr w:type="spellEnd"/>
      <w:r>
        <w:t>为</w:t>
      </w:r>
      <w:proofErr w:type="gramStart"/>
      <w:r>
        <w:t>短推进</w:t>
      </w:r>
      <w:proofErr w:type="gramEnd"/>
      <w:r>
        <w:t>惩罚项。</w:t>
      </w:r>
      <w:proofErr w:type="gramStart"/>
      <w:r>
        <w:t>当前样例工程</w:t>
      </w:r>
      <w:proofErr w:type="gramEnd"/>
      <w:r>
        <w:t>效率评分采用程序导出的覆盖率基础分扣减组织复杂度惩罚口径，其中</w:t>
      </w:r>
      <w:r>
        <w:t>P_N=0.20N</w:t>
      </w:r>
      <w:r>
        <w:t>，</w:t>
      </w:r>
      <w:r>
        <w:t>CV_L</w:t>
      </w:r>
      <w:r>
        <w:t>项系数取</w:t>
      </w:r>
      <w:r>
        <w:t>10</w:t>
      </w:r>
      <w:r>
        <w:t>，</w:t>
      </w:r>
      <w:proofErr w:type="gramStart"/>
      <w:r>
        <w:t>短推进</w:t>
      </w:r>
      <w:proofErr w:type="gramEnd"/>
      <w:r>
        <w:t>惩罚系数取</w:t>
      </w:r>
      <w:r>
        <w:t>5</w:t>
      </w:r>
      <w:r>
        <w:t>，</w:t>
      </w:r>
      <w:proofErr w:type="gramStart"/>
      <w:r>
        <w:t>短推进</w:t>
      </w:r>
      <w:proofErr w:type="gramEnd"/>
      <w:r>
        <w:t>参考值取</w:t>
      </w:r>
      <w:r>
        <w:t>100 m</w:t>
      </w:r>
      <w: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45B312A0" w14:textId="77777777">
        <w:trPr>
          <w:jc w:val="center"/>
        </w:trPr>
        <w:tc>
          <w:tcPr>
            <w:tcW w:w="504" w:type="dxa"/>
            <w:vAlign w:val="center"/>
          </w:tcPr>
          <w:p w14:paraId="24BBACB2" w14:textId="77777777" w:rsidR="00390073" w:rsidRDefault="00390073">
            <w:pPr>
              <w:spacing w:before="0" w:after="0"/>
            </w:pPr>
          </w:p>
        </w:tc>
        <w:tc>
          <w:tcPr>
            <w:tcW w:w="7992" w:type="dxa"/>
            <w:vAlign w:val="center"/>
          </w:tcPr>
          <w:p w14:paraId="4EDCFEC2" w14:textId="77777777" w:rsidR="00390073" w:rsidRDefault="00000000">
            <w:pPr>
              <w:spacing w:before="0" w:after="0"/>
              <w:jc w:val="center"/>
            </w:pPr>
            <m:oMath>
              <m:sSub>
                <m:e>
                  <m:r>
                    <m:t>S</m:t>
                  </m:r>
                </m:e>
                <m:sub>
                  <m:r>
                    <m:t>r</m:t>
                  </m:r>
                </m:sub>
              </m:sSub>
              <m:r>
                <m:t>(π)=100[0.45+0.55(0.55</m:t>
              </m:r>
              <m:sSub>
                <m:e>
                  <m:r>
                    <m:t>R</m:t>
                  </m:r>
                </m:e>
                <m:sub>
                  <m:r>
                    <m:rPr>
                      <m:sty m:val="p"/>
                    </m:rPr>
                    <m:t>ton</m:t>
                  </m:r>
                </m:sub>
              </m:sSub>
              <m:r>
                <m:t>(π)+0.30</m:t>
              </m:r>
              <m:sSub>
                <m:e>
                  <m:r>
                    <m:t>R</m:t>
                  </m:r>
                </m:e>
                <m:sub>
                  <m:r>
                    <m:rPr>
                      <m:sty m:val="p"/>
                    </m:rPr>
                    <m:t>area</m:t>
                  </m:r>
                </m:sub>
              </m:sSub>
              <m:r>
                <m:t>(π)+0.15</m:t>
              </m:r>
              <m:sSub>
                <m:e>
                  <m:r>
                    <m:t>S</m:t>
                  </m:r>
                </m:e>
                <m:sub>
                  <m:r>
                    <m:rPr>
                      <m:sty m:val="p"/>
                    </m:rPr>
                    <m:t>eng</m:t>
                  </m:r>
                </m:sub>
              </m:sSub>
              <m:r>
                <m:t>(π))]</m:t>
              </m:r>
            </m:oMath>
          </w:p>
        </w:tc>
        <w:tc>
          <w:tcPr>
            <w:tcW w:w="936" w:type="dxa"/>
            <w:vAlign w:val="center"/>
          </w:tcPr>
          <w:p w14:paraId="0F262701" w14:textId="77777777" w:rsidR="00390073" w:rsidRDefault="00000000">
            <w:pPr>
              <w:spacing w:before="0" w:after="0"/>
              <w:jc w:val="right"/>
            </w:pPr>
            <w:r>
              <w:rPr>
                <w:rFonts w:eastAsia="Times New Roman"/>
                <w:sz w:val="21"/>
              </w:rPr>
              <w:t>（11）</w:t>
            </w:r>
          </w:p>
        </w:tc>
      </w:tr>
    </w:tbl>
    <w:p w14:paraId="01DE65FC" w14:textId="77777777" w:rsidR="009330B5" w:rsidRPr="009330B5" w:rsidRDefault="009330B5" w:rsidP="009330B5">
      <w:pPr>
        <w:pStyle w:val="10"/>
        <w:spacing w:after="40"/>
        <w:ind w:firstLine="420"/>
        <w:rPr>
          <w:rFonts w:ascii="宋体" w:hAnsi="宋体"/>
        </w:rPr>
      </w:pPr>
      <w:r>
        <w:t>式中，</w:t>
      </w:r>
      <w:proofErr w:type="spellStart"/>
      <w:r>
        <w:t>R_ton</w:t>
      </w:r>
      <w:proofErr w:type="spellEnd"/>
      <w:r>
        <w:t>为吨煤量或</w:t>
      </w:r>
      <w:proofErr w:type="gramStart"/>
      <w:r>
        <w:t>煤厚场</w:t>
      </w:r>
      <w:proofErr w:type="gramEnd"/>
      <w:r>
        <w:t>覆盖贡献，</w:t>
      </w:r>
      <w:proofErr w:type="spellStart"/>
      <w:r>
        <w:t>R_area</w:t>
      </w:r>
      <w:proofErr w:type="spellEnd"/>
      <w:r>
        <w:t>为布置面积或有效覆盖面积得分，</w:t>
      </w:r>
      <w:proofErr w:type="spellStart"/>
      <w:r>
        <w:t>S_eng</w:t>
      </w:r>
      <w:proofErr w:type="spellEnd"/>
      <w:r>
        <w:t>为工程组织辅助得分。</w:t>
      </w:r>
      <w:proofErr w:type="gramStart"/>
      <w:r>
        <w:t>当前样例资源</w:t>
      </w:r>
      <w:proofErr w:type="gramEnd"/>
      <w:r>
        <w:t>回收评分采用</w:t>
      </w:r>
      <w:r>
        <w:t>0.55/0.30/0.15</w:t>
      </w:r>
      <w:r>
        <w:t>的吨煤量、覆盖率和工程组织权重，并进行显示标定；因此，</w:t>
      </w:r>
      <w:r>
        <w:t>89.76</w:t>
      </w:r>
      <w:r>
        <w:t>表示资源回收分项评分，而非综合排序总分。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49B9E347" w14:textId="77777777">
        <w:trPr>
          <w:jc w:val="center"/>
        </w:trPr>
        <w:tc>
          <w:tcPr>
            <w:tcW w:w="504" w:type="dxa"/>
            <w:vAlign w:val="center"/>
          </w:tcPr>
          <w:p w14:paraId="4BFB3090" w14:textId="77777777" w:rsidR="00390073" w:rsidRDefault="00390073">
            <w:pPr>
              <w:spacing w:before="0" w:after="0"/>
            </w:pPr>
          </w:p>
        </w:tc>
        <w:tc>
          <w:tcPr>
            <w:tcW w:w="7992" w:type="dxa"/>
            <w:vAlign w:val="center"/>
          </w:tcPr>
          <w:p w14:paraId="7E82F11B" w14:textId="77777777" w:rsidR="00390073" w:rsidRDefault="00000000">
            <w:pPr>
              <w:spacing w:before="0" w:after="0"/>
              <w:jc w:val="center"/>
            </w:pPr>
            <m:oMath>
              <m:sSub>
                <m:e>
                  <m:r>
                    <m:t>H</m:t>
                  </m:r>
                </m:e>
                <m:sub>
                  <m:r>
                    <m:t>m</m:t>
                  </m:r>
                </m:sub>
              </m:sSub>
              <m:r>
                <m:t>(π)=</m:t>
              </m:r>
              <m:sSub>
                <m:e>
                  <m:r>
                    <m:t>c</m:t>
                  </m:r>
                </m:e>
                <m:sub>
                  <m:r>
                    <m:t>1</m:t>
                  </m:r>
                </m:sub>
              </m:sSub>
              <m:sSub>
                <m:e>
                  <m:r>
                    <m:rPr>
                      <m:sty m:val="p"/>
                    </m:rPr>
                    <m:t>ODI</m:t>
                  </m:r>
                </m:e>
                <m:sub>
                  <m:r>
                    <m:rPr>
                      <m:sty m:val="p"/>
                    </m:rPr>
                    <m:t>mean</m:t>
                  </m:r>
                </m:sub>
              </m:sSub>
              <m:r>
                <m:t>(π)+</m:t>
              </m:r>
              <m:sSub>
                <m:e>
                  <m:r>
                    <m:t>c</m:t>
                  </m:r>
                </m:e>
                <m:sub>
                  <m:r>
                    <m:t>2</m:t>
                  </m:r>
                </m:sub>
              </m:sSub>
              <m:sSub>
                <m:e>
                  <m:r>
                    <m:t>Q</m:t>
                  </m:r>
                </m:e>
                <m:sub>
                  <m:r>
                    <m:t>0.90</m:t>
                  </m:r>
                </m:sub>
              </m:sSub>
              <m:r>
                <m:t>(π)+</m:t>
              </m:r>
              <m:sSub>
                <m:e>
                  <m:r>
                    <m:t>c</m:t>
                  </m:r>
                </m:e>
                <m:sub>
                  <m:r>
                    <m:t>3</m:t>
                  </m:r>
                </m:sub>
              </m:sSub>
              <m:sSub>
                <m:e>
                  <m:r>
                    <m:t>E</m:t>
                  </m:r>
                </m:e>
                <m:sub>
                  <m:r>
                    <m:t>π</m:t>
                  </m:r>
                </m:sub>
              </m:sSub>
              <m:r>
                <m:t>(</m:t>
              </m:r>
              <m:sSub>
                <m:e>
                  <m:r>
                    <m:t>T</m:t>
                  </m:r>
                </m:e>
                <m:sub>
                  <m:r>
                    <m:t>ODI</m:t>
                  </m:r>
                </m:sub>
              </m:sSub>
              <m:r>
                <m:t>),</m:t>
              </m:r>
              <m:sSub>
                <m:e>
                  <m:r>
                    <m:t>S</m:t>
                  </m:r>
                </m:e>
                <m:sub>
                  <m:r>
                    <m:t>m</m:t>
                  </m:r>
                </m:sub>
              </m:sSub>
              <m:r>
                <m:t>(π)=100[1−</m:t>
              </m:r>
              <m:sSub>
                <m:e>
                  <m:r>
                    <m:t>H</m:t>
                  </m:r>
                </m:e>
                <m:sub>
                  <m:r>
                    <m:t>m</m:t>
                  </m:r>
                </m:sub>
              </m:sSub>
              <m:r>
                <m:t>(π)]</m:t>
              </m:r>
            </m:oMath>
          </w:p>
        </w:tc>
        <w:tc>
          <w:tcPr>
            <w:tcW w:w="936" w:type="dxa"/>
            <w:vAlign w:val="center"/>
          </w:tcPr>
          <w:p w14:paraId="0068A621" w14:textId="77777777" w:rsidR="00390073" w:rsidRDefault="00000000">
            <w:pPr>
              <w:spacing w:before="0" w:after="0"/>
              <w:jc w:val="right"/>
            </w:pPr>
            <w:r>
              <w:rPr>
                <w:rFonts w:eastAsia="Times New Roman"/>
                <w:sz w:val="21"/>
              </w:rPr>
              <w:t>（12）</w:t>
            </w:r>
          </w:p>
        </w:tc>
      </w:tr>
    </w:tbl>
    <w:p w14:paraId="7B5109D6" w14:textId="77777777" w:rsidR="009330B5" w:rsidRPr="009330B5" w:rsidRDefault="009330B5" w:rsidP="009330B5">
      <w:pPr>
        <w:pStyle w:val="10"/>
        <w:spacing w:after="40"/>
        <w:ind w:firstLine="420"/>
        <w:rPr>
          <w:rFonts w:ascii="宋体" w:hAnsi="宋体"/>
        </w:rPr>
      </w:pPr>
      <w:r>
        <w:t>式中，</w:t>
      </w:r>
      <w:proofErr w:type="spellStart"/>
      <w:r>
        <w:t>H_m</w:t>
      </w:r>
      <w:proofErr w:type="spellEnd"/>
      <w:r>
        <w:t>为扰动风险综合量，数值越小表示风险暴露越低；</w:t>
      </w:r>
      <w:proofErr w:type="spellStart"/>
      <w:r>
        <w:t>S_m</w:t>
      </w:r>
      <w:proofErr w:type="spellEnd"/>
      <w:r>
        <w:t>为转化后的扰动控制评分，数值越大越优。本文敏感性分析中取</w:t>
      </w:r>
      <w:r>
        <w:t>c_1/c_2/c_3=0.50/0.35/0.15</w:t>
      </w:r>
      <w:r>
        <w:t>，并直接报告</w:t>
      </w:r>
      <w:proofErr w:type="spellStart"/>
      <w:r>
        <w:t>H_m</w:t>
      </w:r>
      <w:proofErr w:type="spellEnd"/>
      <w:r>
        <w:t>排序，以避免把风险分数解释为现场安全等级。</w:t>
      </w:r>
    </w:p>
    <w:p w14:paraId="6EF3464F" w14:textId="77777777" w:rsidR="009330B5" w:rsidRPr="009330B5" w:rsidRDefault="009330B5" w:rsidP="009330B5">
      <w:pPr>
        <w:pStyle w:val="10"/>
        <w:spacing w:after="40"/>
        <w:ind w:firstLine="420"/>
        <w:rPr>
          <w:rFonts w:ascii="宋体" w:hAnsi="宋体"/>
        </w:rPr>
      </w:pPr>
      <w:r>
        <w:t>上述评分给出了</w:t>
      </w:r>
      <w:r>
        <w:t>87.82</w:t>
      </w:r>
      <w:r>
        <w:t>、</w:t>
      </w:r>
      <w:r>
        <w:t>89.76</w:t>
      </w:r>
      <w:r>
        <w:t>等方案分数的计算口径：</w:t>
      </w:r>
      <w:r>
        <w:t>87.82</w:t>
      </w:r>
      <w:r>
        <w:t>为</w:t>
      </w:r>
      <w:r>
        <w:t>A</w:t>
      </w:r>
      <w:r>
        <w:t>方案工程效率分项评分，</w:t>
      </w:r>
      <w:r>
        <w:t>89.76</w:t>
      </w:r>
      <w:r>
        <w:t>为</w:t>
      </w:r>
      <w:r>
        <w:t>B</w:t>
      </w:r>
      <w:r>
        <w:t>方案资源回收分项评分；</w:t>
      </w:r>
      <w:r>
        <w:t>B</w:t>
      </w:r>
      <w:r>
        <w:t>方案导出的工程效率辅助值为</w:t>
      </w:r>
      <w:r>
        <w:t>98.52</w:t>
      </w:r>
      <w:r>
        <w:t>，与覆盖率</w:t>
      </w:r>
      <w:r>
        <w:t>98.52%</w:t>
      </w:r>
      <w:r>
        <w:t>数值相同，但</w:t>
      </w:r>
      <w:r>
        <w:t>B</w:t>
      </w:r>
      <w:r>
        <w:t>方案排序依据为资源回收评分。</w:t>
      </w:r>
      <w:r>
        <w:t>A</w:t>
      </w:r>
      <w:r>
        <w:t>、</w:t>
      </w:r>
      <w:r>
        <w:t>B</w:t>
      </w:r>
      <w:r>
        <w:t>、</w:t>
      </w:r>
      <w:r>
        <w:t>C</w:t>
      </w:r>
      <w:r>
        <w:t>推荐方案的最终比较还需结合非支配排序后的偏好加权结果，相关分数仅用于当前候选集合内部比较，不作为跨矿区通用评分标准。</w:t>
      </w:r>
    </w:p>
    <w:p w14:paraId="05DD3060" w14:textId="77777777" w:rsidR="009330B5" w:rsidRPr="009330B5" w:rsidRDefault="009330B5" w:rsidP="009330B5">
      <w:pPr>
        <w:pStyle w:val="10"/>
        <w:spacing w:after="40"/>
        <w:ind w:firstLine="420"/>
        <w:rPr>
          <w:rFonts w:ascii="宋体" w:hAnsi="宋体"/>
        </w:rPr>
      </w:pPr>
      <w:r>
        <w:lastRenderedPageBreak/>
        <w:t>对通过必要安全与几何校核的候选方案，综合得分可表示为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14384D63" w14:textId="77777777">
        <w:trPr>
          <w:jc w:val="center"/>
        </w:trPr>
        <w:tc>
          <w:tcPr>
            <w:tcW w:w="504" w:type="dxa"/>
            <w:vAlign w:val="center"/>
          </w:tcPr>
          <w:p w14:paraId="1195871A" w14:textId="77777777" w:rsidR="00390073" w:rsidRDefault="00390073">
            <w:pPr>
              <w:spacing w:before="0" w:after="0"/>
            </w:pPr>
          </w:p>
        </w:tc>
        <w:tc>
          <w:tcPr>
            <w:tcW w:w="7992" w:type="dxa"/>
            <w:vAlign w:val="center"/>
          </w:tcPr>
          <w:p w14:paraId="306CBB13" w14:textId="77777777" w:rsidR="00390073" w:rsidRDefault="00000000">
            <w:pPr>
              <w:spacing w:before="0" w:after="0"/>
              <w:jc w:val="center"/>
            </w:pPr>
            <m:oMath>
              <m:r>
                <m:t>F(π)=</m:t>
              </m:r>
              <m:sSub>
                <m:e>
                  <m:r>
                    <m:t>λ</m:t>
                  </m:r>
                </m:e>
                <m:sub>
                  <m:r>
                    <m:t>e</m:t>
                  </m:r>
                </m:sub>
              </m:sSub>
              <m:sSub>
                <m:e>
                  <m:r>
                    <m:t>S</m:t>
                  </m:r>
                </m:e>
                <m:sub>
                  <m:r>
                    <m:t>e</m:t>
                  </m:r>
                </m:sub>
              </m:sSub>
              <m:r>
                <m:t>(π)+</m:t>
              </m:r>
              <m:sSub>
                <m:e>
                  <m:r>
                    <m:t>λ</m:t>
                  </m:r>
                </m:e>
                <m:sub>
                  <m:r>
                    <m:t>r</m:t>
                  </m:r>
                </m:sub>
              </m:sSub>
              <m:sSub>
                <m:e>
                  <m:r>
                    <m:t>S</m:t>
                  </m:r>
                </m:e>
                <m:sub>
                  <m:r>
                    <m:t>r</m:t>
                  </m:r>
                </m:sub>
              </m:sSub>
              <m:r>
                <m:t>(π)+</m:t>
              </m:r>
              <m:sSub>
                <m:e>
                  <m:r>
                    <m:t>λ</m:t>
                  </m:r>
                </m:e>
                <m:sub>
                  <m:r>
                    <m:t>m</m:t>
                  </m:r>
                </m:sub>
              </m:sSub>
              <m:sSub>
                <m:e>
                  <m:r>
                    <m:t>S</m:t>
                  </m:r>
                </m:e>
                <m:sub>
                  <m:r>
                    <m:t>m</m:t>
                  </m:r>
                </m:sub>
              </m:sSub>
              <m:r>
                <m:t>(π),</m:t>
              </m:r>
              <m:sSub>
                <m:e>
                  <m:r>
                    <m:t>λ</m:t>
                  </m:r>
                </m:e>
                <m:sub>
                  <m:r>
                    <m:t>e</m:t>
                  </m:r>
                </m:sub>
              </m:sSub>
              <m:r>
                <m:t>+</m:t>
              </m:r>
              <m:sSub>
                <m:e>
                  <m:r>
                    <m:t>λ</m:t>
                  </m:r>
                </m:e>
                <m:sub>
                  <m:r>
                    <m:t>r</m:t>
                  </m:r>
                </m:sub>
              </m:sSub>
              <m:r>
                <m:t>+</m:t>
              </m:r>
              <m:sSub>
                <m:e>
                  <m:r>
                    <m:t>λ</m:t>
                  </m:r>
                </m:e>
                <m:sub>
                  <m:r>
                    <m:t>m</m:t>
                  </m:r>
                </m:sub>
              </m:sSub>
              <m:r>
                <m:t>=1</m:t>
              </m:r>
            </m:oMath>
          </w:p>
        </w:tc>
        <w:tc>
          <w:tcPr>
            <w:tcW w:w="936" w:type="dxa"/>
            <w:vAlign w:val="center"/>
          </w:tcPr>
          <w:p w14:paraId="56519E72" w14:textId="77777777" w:rsidR="00390073" w:rsidRDefault="00000000">
            <w:pPr>
              <w:spacing w:before="0" w:after="0"/>
              <w:jc w:val="right"/>
            </w:pPr>
            <w:r>
              <w:rPr>
                <w:rFonts w:eastAsia="Times New Roman"/>
                <w:sz w:val="21"/>
              </w:rPr>
              <w:t>（13）</w:t>
            </w:r>
          </w:p>
        </w:tc>
      </w:tr>
    </w:tbl>
    <w:p w14:paraId="4EFD9DDD" w14:textId="77777777" w:rsidR="00D007CE" w:rsidRDefault="00A249E2">
      <w:r>
        <w:rPr>
          <w:sz w:val="21"/>
        </w:rPr>
        <w:t>为降低单一加权排序对权重的依赖，本文在加权排序前引入非支配排序和拥挤距离选择形成</w:t>
      </w:r>
      <w:r>
        <w:rPr>
          <w:sz w:val="21"/>
        </w:rPr>
        <w:t>Top-K</w:t>
      </w:r>
      <w:r>
        <w:rPr>
          <w:sz w:val="21"/>
        </w:rPr>
        <w:t>候选方案，</w:t>
      </w:r>
      <w:proofErr w:type="gramStart"/>
      <w:r>
        <w:rPr>
          <w:sz w:val="21"/>
        </w:rPr>
        <w:t>当前样</w:t>
      </w:r>
      <w:proofErr w:type="gramEnd"/>
      <w:r>
        <w:rPr>
          <w:sz w:val="21"/>
        </w:rPr>
        <w:t>例</w:t>
      </w:r>
      <w:r>
        <w:rPr>
          <w:sz w:val="21"/>
        </w:rPr>
        <w:t>Top-K</w:t>
      </w:r>
      <w:r>
        <w:rPr>
          <w:sz w:val="21"/>
        </w:rPr>
        <w:t>取</w:t>
      </w:r>
      <w:r>
        <w:rPr>
          <w:sz w:val="21"/>
        </w:rPr>
        <w:t>10</w:t>
      </w:r>
      <w:r>
        <w:rPr>
          <w:sz w:val="21"/>
        </w:rPr>
        <w:t>。非支配排序以</w:t>
      </w:r>
      <w:proofErr w:type="spellStart"/>
      <w:r>
        <w:rPr>
          <w:sz w:val="21"/>
        </w:rPr>
        <w:t>S_e</w:t>
      </w:r>
      <w:proofErr w:type="spellEnd"/>
      <w:r>
        <w:rPr>
          <w:sz w:val="21"/>
        </w:rPr>
        <w:t>、</w:t>
      </w:r>
      <w:proofErr w:type="spellStart"/>
      <w:r>
        <w:rPr>
          <w:sz w:val="21"/>
        </w:rPr>
        <w:t>S_r</w:t>
      </w:r>
      <w:proofErr w:type="spellEnd"/>
      <w:r>
        <w:rPr>
          <w:sz w:val="21"/>
        </w:rPr>
        <w:t>和</w:t>
      </w:r>
      <w:proofErr w:type="spellStart"/>
      <w:r>
        <w:rPr>
          <w:sz w:val="21"/>
        </w:rPr>
        <w:t>S_m</w:t>
      </w:r>
      <w:proofErr w:type="spellEnd"/>
      <w:r>
        <w:rPr>
          <w:sz w:val="21"/>
        </w:rPr>
        <w:t>为目标向量，优先保留不存在其他方案同时优于它的候选；同一非支配层候选数量超过输出数量时，采用拥挤距离保持解集多样性，再依据</w:t>
      </w:r>
      <w:r>
        <w:rPr>
          <w:sz w:val="21"/>
        </w:rPr>
        <w:t>F(π)</w:t>
      </w:r>
      <w:r>
        <w:rPr>
          <w:sz w:val="21"/>
        </w:rPr>
        <w:t>推荐排序。</w:t>
      </w:r>
      <w:r>
        <w:rPr>
          <w:sz w:val="21"/>
        </w:rPr>
        <w:t>A</w:t>
      </w:r>
      <w:r>
        <w:rPr>
          <w:sz w:val="21"/>
        </w:rPr>
        <w:t>、</w:t>
      </w:r>
      <w:r>
        <w:rPr>
          <w:sz w:val="21"/>
        </w:rPr>
        <w:t>B</w:t>
      </w:r>
      <w:r>
        <w:rPr>
          <w:sz w:val="21"/>
        </w:rPr>
        <w:t>、</w:t>
      </w:r>
      <w:r>
        <w:rPr>
          <w:sz w:val="21"/>
        </w:rPr>
        <w:t>C</w:t>
      </w:r>
      <w:r>
        <w:rPr>
          <w:sz w:val="21"/>
        </w:rPr>
        <w:t>三种偏好模式中，</w:t>
      </w:r>
      <w:proofErr w:type="spellStart"/>
      <w:r>
        <w:rPr>
          <w:sz w:val="21"/>
        </w:rPr>
        <w:t>λ_e</w:t>
      </w:r>
      <w:proofErr w:type="spellEnd"/>
      <w:r>
        <w:rPr>
          <w:sz w:val="21"/>
        </w:rPr>
        <w:t>/</w:t>
      </w:r>
      <w:proofErr w:type="spellStart"/>
      <w:r>
        <w:rPr>
          <w:sz w:val="21"/>
        </w:rPr>
        <w:t>λ_r</w:t>
      </w:r>
      <w:proofErr w:type="spellEnd"/>
      <w:r>
        <w:rPr>
          <w:sz w:val="21"/>
        </w:rPr>
        <w:t>/</w:t>
      </w:r>
      <w:proofErr w:type="spellStart"/>
      <w:r>
        <w:rPr>
          <w:sz w:val="21"/>
        </w:rPr>
        <w:t>λ_m</w:t>
      </w:r>
      <w:proofErr w:type="spellEnd"/>
      <w:r>
        <w:rPr>
          <w:sz w:val="21"/>
        </w:rPr>
        <w:t>分别取</w:t>
      </w:r>
      <w:r>
        <w:rPr>
          <w:sz w:val="21"/>
        </w:rPr>
        <w:t>1/0/0</w:t>
      </w:r>
      <w:r>
        <w:rPr>
          <w:sz w:val="21"/>
        </w:rPr>
        <w:t>、</w:t>
      </w:r>
      <w:r>
        <w:rPr>
          <w:sz w:val="21"/>
        </w:rPr>
        <w:t>0/1/0</w:t>
      </w:r>
      <w:r>
        <w:rPr>
          <w:sz w:val="21"/>
        </w:rPr>
        <w:t>和</w:t>
      </w:r>
      <w:r>
        <w:rPr>
          <w:sz w:val="21"/>
        </w:rPr>
        <w:t>0/0/1</w:t>
      </w:r>
      <w:r>
        <w:rPr>
          <w:sz w:val="21"/>
        </w:rPr>
        <w:t>；综合权衡模式备用权重取</w:t>
      </w:r>
      <w:r>
        <w:rPr>
          <w:sz w:val="21"/>
        </w:rPr>
        <w:t>0.34/0.33/0.33</w:t>
      </w:r>
      <w:r>
        <w:rPr>
          <w:sz w:val="21"/>
        </w:rPr>
        <w:t>，本文不将其未达标回退结果作为最终推荐方案。</w:t>
      </w:r>
    </w:p>
    <w:p w14:paraId="729E0B63" w14:textId="77777777" w:rsidR="00D007CE" w:rsidRDefault="00A249E2" w:rsidP="001D7DFF">
      <w:pPr>
        <w:pStyle w:val="10"/>
        <w:spacing w:after="40"/>
        <w:ind w:firstLine="420"/>
      </w:pPr>
      <w:r>
        <w:t>非支配关系具体定义为：若候选方案</w:t>
      </w:r>
      <w:r>
        <w:t>π_</w:t>
      </w:r>
      <w:proofErr w:type="spellStart"/>
      <w:r>
        <w:t>i</w:t>
      </w:r>
      <w:proofErr w:type="spellEnd"/>
      <w:r>
        <w:t>在</w:t>
      </w:r>
      <w:proofErr w:type="spellStart"/>
      <w:r>
        <w:t>S_e</w:t>
      </w:r>
      <w:proofErr w:type="spellEnd"/>
      <w:r>
        <w:t>、</w:t>
      </w:r>
      <w:proofErr w:type="spellStart"/>
      <w:r>
        <w:t>S_r</w:t>
      </w:r>
      <w:proofErr w:type="spellEnd"/>
      <w:r>
        <w:t>和</w:t>
      </w:r>
      <w:proofErr w:type="spellStart"/>
      <w:r>
        <w:t>S_m</w:t>
      </w:r>
      <w:proofErr w:type="spellEnd"/>
      <w:r>
        <w:t>三个目标上均不劣于</w:t>
      </w:r>
      <w:r>
        <w:t>π_j</w:t>
      </w:r>
      <w:r>
        <w:t>，且至少一个目标严格优于</w:t>
      </w:r>
      <w:r>
        <w:t>π_j</w:t>
      </w:r>
      <w:r>
        <w:t>，则</w:t>
      </w:r>
      <w:r>
        <w:t>π_</w:t>
      </w:r>
      <w:proofErr w:type="spellStart"/>
      <w:r>
        <w:t>i</w:t>
      </w:r>
      <w:proofErr w:type="spellEnd"/>
      <w:r>
        <w:t>支配</w:t>
      </w:r>
      <w:r>
        <w:t>π_j</w:t>
      </w:r>
      <w:r>
        <w:t>。</w:t>
      </w:r>
      <w:proofErr w:type="gramStart"/>
      <w:r>
        <w:t>第一非</w:t>
      </w:r>
      <w:proofErr w:type="gramEnd"/>
      <w:r>
        <w:t>支配层由不被任何其他候选支配的方案组成，第二层由剔除第一层后新的非支配方案组成，依此类推。拥挤距离用于保留同一非支配层内目标空间分布较分散的候选，避免输出方案集中在单一偏好附近。</w:t>
      </w:r>
    </w:p>
    <w:p w14:paraId="3427C895" w14:textId="77777777" w:rsidR="00D007CE" w:rsidRDefault="00A249E2" w:rsidP="001D7DFF">
      <w:pPr>
        <w:pStyle w:val="10"/>
        <w:spacing w:after="40"/>
        <w:ind w:firstLine="420"/>
      </w:pPr>
      <w:r>
        <w:t>不同偏好模式通过</w:t>
      </w:r>
      <w:proofErr w:type="spellStart"/>
      <w:r>
        <w:t>λ_e</w:t>
      </w:r>
      <w:proofErr w:type="spellEnd"/>
      <w:r>
        <w:t>、</w:t>
      </w:r>
      <w:proofErr w:type="spellStart"/>
      <w:r>
        <w:t>λ_r</w:t>
      </w:r>
      <w:proofErr w:type="spellEnd"/>
      <w:r>
        <w:t>和</w:t>
      </w:r>
      <w:proofErr w:type="spellStart"/>
      <w:r>
        <w:t>λ_m</w:t>
      </w:r>
      <w:proofErr w:type="spellEnd"/>
      <w:r>
        <w:t>体现：工程效率优先模式提高</w:t>
      </w:r>
      <w:proofErr w:type="spellStart"/>
      <w:r>
        <w:t>λ_e</w:t>
      </w:r>
      <w:proofErr w:type="spellEnd"/>
      <w:r>
        <w:t>，资源回收优先模式提高</w:t>
      </w:r>
      <w:proofErr w:type="spellStart"/>
      <w:r>
        <w:t>λ_r</w:t>
      </w:r>
      <w:proofErr w:type="spellEnd"/>
      <w:r>
        <w:t>，扰动控制优先模式提高</w:t>
      </w:r>
      <w:proofErr w:type="spellStart"/>
      <w:r>
        <w:t>λ_m</w:t>
      </w:r>
      <w:proofErr w:type="spellEnd"/>
      <w:r>
        <w:t>，综合权衡模式则采用相对均衡的权重。本文把这些权重作为统一候选集合内的排序偏好参数，而非现场统计标定常数；因此，</w:t>
      </w:r>
      <w:r>
        <w:t>A</w:t>
      </w:r>
      <w:r>
        <w:t>、</w:t>
      </w:r>
      <w:r>
        <w:t>B</w:t>
      </w:r>
      <w:r>
        <w:t>、</w:t>
      </w:r>
      <w:r>
        <w:t>C</w:t>
      </w:r>
      <w:r>
        <w:t>方案分别代表不同偏好下的推荐候选，用于揭示覆盖率、资源回收和扰动暴露之间的权衡关系。</w:t>
      </w:r>
    </w:p>
    <w:p w14:paraId="7546BA17" w14:textId="77777777" w:rsidR="007E22B6" w:rsidRDefault="007E22B6"/>
    <w:p w14:paraId="355E0CE0" w14:textId="77777777" w:rsidR="00E05130" w:rsidRPr="00E05130" w:rsidRDefault="00E05130" w:rsidP="00A046E0">
      <w:pPr>
        <w:pStyle w:val="12"/>
      </w:pPr>
      <w:r>
        <w:rPr>
          <w:rFonts w:ascii="宋体" w:eastAsia="宋体" w:hAnsi="宋体"/>
          <w:sz w:val="21"/>
        </w:rPr>
        <w:t>1.4 方案传递与评价流程</w:t>
      </w:r>
    </w:p>
    <w:p w14:paraId="7420C56A" w14:textId="77777777" w:rsidR="009330B5" w:rsidRPr="009330B5" w:rsidRDefault="009330B5" w:rsidP="009330B5">
      <w:pPr>
        <w:pStyle w:val="10"/>
        <w:spacing w:after="40"/>
        <w:ind w:firstLine="420"/>
        <w:rPr>
          <w:rFonts w:ascii="宋体" w:hAnsi="宋体"/>
        </w:rPr>
      </w:pPr>
      <w:r>
        <w:t>本文不把几何布局视为终点，而强调规划结果向调控、接续和经济评价环节传递。已有智能化煤矿技术体系可基于三维地质模型辅助工作面接续设计和储量计算</w:t>
      </w:r>
      <w:r>
        <w:t>[28]</w:t>
      </w:r>
      <w:r>
        <w:t>；地下水库和矿井水调度研究也表明，</w:t>
      </w:r>
      <w:proofErr w:type="gramStart"/>
      <w:r>
        <w:t>采动空间</w:t>
      </w:r>
      <w:proofErr w:type="gramEnd"/>
      <w:r>
        <w:t>对象、储水空间和水量调控需在规划与运行阶段连续组织</w:t>
      </w:r>
      <w:r>
        <w:t>[42-47]</w:t>
      </w:r>
      <w:r>
        <w:t>。因此，采区规划形成的工作面边界、巷道结构、覆盖范围和扰动统计量，既是当前求解输出，也是后续生产组织与经济测算的上游输入。</w:t>
      </w:r>
    </w:p>
    <w:p w14:paraId="28425DC2" w14:textId="77777777" w:rsidR="009330B5" w:rsidRPr="009330B5" w:rsidRDefault="009330B5" w:rsidP="009330B5">
      <w:pPr>
        <w:pStyle w:val="10"/>
        <w:spacing w:after="40"/>
        <w:ind w:firstLine="420"/>
        <w:rPr>
          <w:rFonts w:ascii="宋体" w:hAnsi="宋体"/>
        </w:rPr>
      </w:pPr>
      <w:r>
        <w:rPr>
          <w:rFonts w:ascii="宋体" w:eastAsia="宋体" w:hAnsi="宋体"/>
        </w:rPr>
        <w:t>在调控层面，规划结果可转化为工作面级和生产级控制变量。例如，含水层扰动场景下，可将采高、工作面宽度、区段煤柱宽度和推进长度作为主要调控参数，通过比较不同参数条件下ODI均值、</w:t>
      </w:r>
      <w:proofErr w:type="gramStart"/>
      <w:r>
        <w:rPr>
          <w:rFonts w:ascii="宋体" w:eastAsia="宋体" w:hAnsi="宋体"/>
        </w:rPr>
        <w:t>高分位</w:t>
      </w:r>
      <w:proofErr w:type="gramEnd"/>
      <w:r>
        <w:rPr>
          <w:rFonts w:ascii="宋体" w:eastAsia="宋体" w:hAnsi="宋体"/>
        </w:rPr>
        <w:t>值和超限比例变化，识别扰动敏感控制量并开展局部调整。规划阶段因此先形成满足安全与几何底线、保留阈值校核状态的候选空间对象，再通过参数调控提高其扰动适应性。</w:t>
      </w:r>
    </w:p>
    <w:p w14:paraId="1513A4D6" w14:textId="77777777" w:rsidR="009330B5" w:rsidRPr="009330B5" w:rsidRDefault="009330B5" w:rsidP="009330B5">
      <w:pPr>
        <w:pStyle w:val="10"/>
        <w:spacing w:after="40"/>
        <w:ind w:firstLine="420"/>
        <w:rPr>
          <w:rFonts w:ascii="宋体" w:hAnsi="宋体"/>
        </w:rPr>
      </w:pPr>
      <w:r>
        <w:rPr>
          <w:rFonts w:ascii="宋体" w:eastAsia="宋体" w:hAnsi="宋体"/>
        </w:rPr>
        <w:t>设接续方案为s，其指标关系可表示为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7BC5D7A5" w14:textId="77777777">
        <w:trPr>
          <w:jc w:val="center"/>
        </w:trPr>
        <w:tc>
          <w:tcPr>
            <w:tcW w:w="504" w:type="dxa"/>
            <w:vAlign w:val="center"/>
          </w:tcPr>
          <w:p w14:paraId="2DA7528D" w14:textId="77777777" w:rsidR="00390073" w:rsidRDefault="00390073">
            <w:pPr>
              <w:spacing w:before="0" w:after="0"/>
            </w:pPr>
          </w:p>
        </w:tc>
        <w:tc>
          <w:tcPr>
            <w:tcW w:w="7992" w:type="dxa"/>
            <w:vAlign w:val="center"/>
          </w:tcPr>
          <w:p w14:paraId="0716B688" w14:textId="77777777" w:rsidR="00390073" w:rsidRDefault="00000000">
            <w:pPr>
              <w:spacing w:before="0" w:after="0"/>
              <w:jc w:val="center"/>
            </w:pPr>
            <m:oMath>
              <m:r>
                <m:t>G(s)=α</m:t>
              </m:r>
              <m:sSub>
                <m:e>
                  <m:r>
                    <m:t>P</m:t>
                  </m:r>
                </m:e>
                <m:sub>
                  <m:r>
                    <m:t>s</m:t>
                  </m:r>
                </m:sub>
              </m:sSub>
              <m:r>
                <m:t>+β</m:t>
              </m:r>
              <m:sSub>
                <m:e>
                  <m:r>
                    <m:t>R</m:t>
                  </m:r>
                </m:e>
                <m:sub>
                  <m:r>
                    <m:t>s</m:t>
                  </m:r>
                </m:sub>
              </m:sSub>
              <m:r>
                <m:t>+γ</m:t>
              </m:r>
              <m:sSub>
                <m:e>
                  <m:r>
                    <m:t>C</m:t>
                  </m:r>
                </m:e>
                <m:sub>
                  <m:r>
                    <m:t>s</m:t>
                  </m:r>
                </m:sub>
              </m:sSub>
              <m:r>
                <m:t>,</m:t>
              </m:r>
              <m:r>
                <m:t>α+β+γ=1</m:t>
              </m:r>
            </m:oMath>
          </w:p>
        </w:tc>
        <w:tc>
          <w:tcPr>
            <w:tcW w:w="936" w:type="dxa"/>
            <w:vAlign w:val="center"/>
          </w:tcPr>
          <w:p w14:paraId="0D652194" w14:textId="77777777" w:rsidR="00390073" w:rsidRDefault="00000000">
            <w:pPr>
              <w:spacing w:before="0" w:after="0"/>
              <w:jc w:val="right"/>
            </w:pPr>
            <w:r>
              <w:rPr>
                <w:rFonts w:eastAsia="Times New Roman"/>
                <w:sz w:val="21"/>
              </w:rPr>
              <w:t>（14）</w:t>
            </w:r>
          </w:p>
        </w:tc>
      </w:tr>
    </w:tbl>
    <w:p w14:paraId="6FEECD93" w14:textId="77777777" w:rsidR="004D2816" w:rsidRPr="004D2816" w:rsidRDefault="004D2816" w:rsidP="004D2816">
      <w:pPr>
        <w:pStyle w:val="10"/>
        <w:spacing w:after="40"/>
        <w:ind w:firstLine="420"/>
      </w:pPr>
      <w:r>
        <w:rPr>
          <w:rFonts w:ascii="宋体" w:eastAsia="宋体" w:hAnsi="宋体"/>
        </w:rPr>
        <w:t>式中，P_s为产量组织指标，R_s为风险可控性指标，C_s为工期与组织可控性指标；α、β和γ为对应权重，且满足α+β+γ=1。</w:t>
      </w:r>
    </w:p>
    <w:p w14:paraId="37516B53" w14:textId="77777777" w:rsidR="004D2816" w:rsidRPr="004D2816" w:rsidRDefault="004D2816" w:rsidP="004D2816">
      <w:pPr>
        <w:pStyle w:val="10"/>
        <w:spacing w:after="40"/>
        <w:ind w:firstLine="420"/>
      </w:pPr>
      <w:r>
        <w:rPr>
          <w:rFonts w:ascii="宋体" w:eastAsia="宋体" w:hAnsi="宋体"/>
        </w:rPr>
        <w:t>进一步地，工程经济评价可通过月度净现金流口径承接规划与接续结果。第t</w:t>
      </w:r>
      <w:proofErr w:type="gramStart"/>
      <w:r>
        <w:rPr>
          <w:rFonts w:ascii="宋体" w:eastAsia="宋体" w:hAnsi="宋体"/>
        </w:rPr>
        <w:t>月净现金</w:t>
      </w:r>
      <w:proofErr w:type="gramEnd"/>
      <w:r>
        <w:rPr>
          <w:rFonts w:ascii="宋体" w:eastAsia="宋体" w:hAnsi="宋体"/>
        </w:rPr>
        <w:t>流可表示为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265A0DA7" w14:textId="77777777">
        <w:trPr>
          <w:jc w:val="center"/>
        </w:trPr>
        <w:tc>
          <w:tcPr>
            <w:tcW w:w="504" w:type="dxa"/>
            <w:vAlign w:val="center"/>
          </w:tcPr>
          <w:p w14:paraId="498F30C9" w14:textId="77777777" w:rsidR="00390073" w:rsidRDefault="00390073">
            <w:pPr>
              <w:spacing w:before="0" w:after="0"/>
            </w:pPr>
          </w:p>
        </w:tc>
        <w:tc>
          <w:tcPr>
            <w:tcW w:w="7992" w:type="dxa"/>
            <w:vAlign w:val="center"/>
          </w:tcPr>
          <w:p w14:paraId="154F5C80" w14:textId="77777777" w:rsidR="00390073" w:rsidRDefault="00000000">
            <w:pPr>
              <w:spacing w:before="0" w:after="0"/>
              <w:jc w:val="center"/>
            </w:pPr>
            <m:oMath>
              <m:sSub>
                <m:e>
                  <m:r>
                    <m:rPr>
                      <m:sty m:val="p"/>
                    </m:rPr>
                    <m:t>NCF</m:t>
                  </m:r>
                </m:e>
                <m:sub>
                  <m:r>
                    <m:t>t</m:t>
                  </m:r>
                </m:sub>
              </m:sSub>
              <m:r>
                <m:t>=</m:t>
              </m:r>
              <m:sSub>
                <m:e>
                  <m:r>
                    <m:rPr>
                      <m:sty m:val="p"/>
                    </m:rPr>
                    <m:t>Rev</m:t>
                  </m:r>
                </m:e>
                <m:sub>
                  <m:r>
                    <m:t>t</m:t>
                  </m:r>
                </m:sub>
              </m:sSub>
              <m:r>
                <m:t>−</m:t>
              </m:r>
              <m:sSub>
                <m:e>
                  <m:r>
                    <m:rPr>
                      <m:sty m:val="p"/>
                    </m:rPr>
                    <m:t>Cost</m:t>
                  </m:r>
                </m:e>
                <m:sub>
                  <m:r>
                    <m:t>t</m:t>
                  </m:r>
                </m:sub>
              </m:sSub>
              <m:r>
                <m:t>−</m:t>
              </m:r>
              <m:sSub>
                <m:e>
                  <m:r>
                    <m:rPr>
                      <m:sty m:val="p"/>
                    </m:rPr>
                    <m:t>RiskCost</m:t>
                  </m:r>
                </m:e>
                <m:sub>
                  <m:r>
                    <m:t>t</m:t>
                  </m:r>
                </m:sub>
              </m:sSub>
            </m:oMath>
          </w:p>
        </w:tc>
        <w:tc>
          <w:tcPr>
            <w:tcW w:w="936" w:type="dxa"/>
            <w:vAlign w:val="center"/>
          </w:tcPr>
          <w:p w14:paraId="209C46EF" w14:textId="77777777" w:rsidR="00390073" w:rsidRDefault="00000000">
            <w:pPr>
              <w:spacing w:before="0" w:after="0"/>
              <w:jc w:val="right"/>
            </w:pPr>
            <w:r>
              <w:rPr>
                <w:rFonts w:eastAsia="Times New Roman"/>
                <w:sz w:val="21"/>
              </w:rPr>
              <w:t>（15）</w:t>
            </w:r>
          </w:p>
        </w:tc>
      </w:tr>
    </w:tbl>
    <w:p w14:paraId="67CA7670" w14:textId="77777777" w:rsidR="004D2816" w:rsidRPr="00E05130" w:rsidRDefault="004D2816" w:rsidP="00E05130">
      <w:pPr>
        <w:pStyle w:val="10"/>
        <w:spacing w:after="40"/>
        <w:ind w:firstLine="420"/>
      </w:pPr>
      <w:r>
        <w:rPr>
          <w:rFonts w:ascii="宋体" w:eastAsia="宋体" w:hAnsi="宋体"/>
        </w:rPr>
        <w:t>式中，</w:t>
      </w:r>
      <w:proofErr w:type="spellStart"/>
      <w:r>
        <w:rPr>
          <w:rFonts w:ascii="宋体" w:eastAsia="宋体" w:hAnsi="宋体"/>
        </w:rPr>
        <w:t>Rev_t</w:t>
      </w:r>
      <w:proofErr w:type="spellEnd"/>
      <w:r>
        <w:rPr>
          <w:rFonts w:ascii="宋体" w:eastAsia="宋体" w:hAnsi="宋体"/>
        </w:rPr>
        <w:t>为第t月收入，</w:t>
      </w:r>
      <w:proofErr w:type="spellStart"/>
      <w:r>
        <w:rPr>
          <w:rFonts w:ascii="宋体" w:eastAsia="宋体" w:hAnsi="宋体"/>
        </w:rPr>
        <w:t>Cost_t</w:t>
      </w:r>
      <w:proofErr w:type="spellEnd"/>
      <w:r>
        <w:rPr>
          <w:rFonts w:ascii="宋体" w:eastAsia="宋体" w:hAnsi="宋体"/>
        </w:rPr>
        <w:t>为常规成本，</w:t>
      </w:r>
      <w:proofErr w:type="spellStart"/>
      <w:r>
        <w:rPr>
          <w:rFonts w:ascii="宋体" w:eastAsia="宋体" w:hAnsi="宋体"/>
        </w:rPr>
        <w:t>RiskCost_t</w:t>
      </w:r>
      <w:proofErr w:type="spellEnd"/>
      <w:r>
        <w:rPr>
          <w:rFonts w:ascii="宋体" w:eastAsia="宋体" w:hAnsi="宋体"/>
        </w:rPr>
        <w:t>为风险联动成本，</w:t>
      </w:r>
      <w:proofErr w:type="spellStart"/>
      <w:r>
        <w:rPr>
          <w:rFonts w:ascii="宋体" w:eastAsia="宋体" w:hAnsi="宋体"/>
        </w:rPr>
        <w:t>NCF_t</w:t>
      </w:r>
      <w:proofErr w:type="spellEnd"/>
      <w:r>
        <w:rPr>
          <w:rFonts w:ascii="宋体" w:eastAsia="宋体" w:hAnsi="宋体"/>
        </w:rPr>
        <w:t>为第t</w:t>
      </w:r>
      <w:proofErr w:type="gramStart"/>
      <w:r>
        <w:rPr>
          <w:rFonts w:ascii="宋体" w:eastAsia="宋体" w:hAnsi="宋体"/>
        </w:rPr>
        <w:t>月净现金</w:t>
      </w:r>
      <w:proofErr w:type="gramEnd"/>
      <w:r>
        <w:rPr>
          <w:rFonts w:ascii="宋体" w:eastAsia="宋体" w:hAnsi="宋体"/>
        </w:rPr>
        <w:t>流。该</w:t>
      </w:r>
      <w:proofErr w:type="gramStart"/>
      <w:r>
        <w:rPr>
          <w:rFonts w:ascii="宋体" w:eastAsia="宋体" w:hAnsi="宋体"/>
        </w:rPr>
        <w:t>式用于</w:t>
      </w:r>
      <w:proofErr w:type="gramEnd"/>
      <w:r>
        <w:rPr>
          <w:rFonts w:ascii="宋体" w:eastAsia="宋体" w:hAnsi="宋体"/>
        </w:rPr>
        <w:t>说明经济评价可接收规划与接续结果形成的月度输入。</w:t>
      </w:r>
    </w:p>
    <w:p w14:paraId="5D2E9E6C" w14:textId="77777777" w:rsidR="00E05130" w:rsidRDefault="00E05130" w:rsidP="00E05130">
      <w:pPr>
        <w:pStyle w:val="10"/>
        <w:spacing w:after="40"/>
        <w:ind w:firstLine="420"/>
      </w:pPr>
      <w:r>
        <w:rPr>
          <w:rFonts w:ascii="宋体" w:eastAsia="宋体" w:hAnsi="宋体"/>
        </w:rPr>
        <w:t>本文保留工程经济评价的理论传递关系，但不在样例结果中给出未经独立导出的经济评价结论。</w:t>
      </w:r>
    </w:p>
    <w:p w14:paraId="6080791D" w14:textId="77777777" w:rsidR="00E05130" w:rsidRPr="00E05130" w:rsidRDefault="00E05130" w:rsidP="00E05130">
      <w:pPr>
        <w:pStyle w:val="10"/>
        <w:spacing w:after="40"/>
        <w:ind w:firstLine="420"/>
      </w:pPr>
      <w:r>
        <w:rPr>
          <w:rFonts w:ascii="宋体" w:eastAsia="宋体" w:hAnsi="宋体"/>
        </w:rPr>
        <w:t>因此，本文方法可概括为：以有效布置域和连续</w:t>
      </w:r>
      <w:proofErr w:type="gramStart"/>
      <w:r>
        <w:rPr>
          <w:rFonts w:ascii="宋体" w:eastAsia="宋体" w:hAnsi="宋体"/>
        </w:rPr>
        <w:t>参数场</w:t>
      </w:r>
      <w:proofErr w:type="gramEnd"/>
      <w:r>
        <w:rPr>
          <w:rFonts w:ascii="宋体" w:eastAsia="宋体" w:hAnsi="宋体"/>
        </w:rPr>
        <w:t>为基础，以ODI为统一风险约束指标，以多目标综合评价为方案筛选口径，以采掘接续和经济评价为后续传递方向，形成从“风险前置约束—规划对象生成—方案级统计—后续评价输入”的连续决策流程。</w:t>
      </w:r>
    </w:p>
    <w:p w14:paraId="3BB32C3F" w14:textId="77777777" w:rsidR="007E22B6" w:rsidRDefault="00A249E2" w:rsidP="00A046E0">
      <w:pPr>
        <w:pStyle w:val="11"/>
      </w:pPr>
      <w:r>
        <w:rPr>
          <w:rFonts w:ascii="宋体" w:eastAsia="宋体" w:hAnsi="宋体"/>
          <w:sz w:val="21"/>
        </w:rPr>
        <w:lastRenderedPageBreak/>
        <w:t>2 工程案例与结果分析</w:t>
      </w:r>
    </w:p>
    <w:p w14:paraId="63B53724" w14:textId="77777777" w:rsidR="007E22B6" w:rsidRDefault="00A249E2" w:rsidP="00A046E0">
      <w:pPr>
        <w:pStyle w:val="12"/>
      </w:pPr>
      <w:r>
        <w:rPr>
          <w:rFonts w:ascii="宋体" w:eastAsia="宋体" w:hAnsi="宋体"/>
          <w:sz w:val="21"/>
        </w:rPr>
        <w:t>2.1 研究区概况与输入数据</w:t>
      </w:r>
    </w:p>
    <w:p w14:paraId="3A113A25" w14:textId="77777777" w:rsidR="007E22B6" w:rsidRDefault="00801D65">
      <w:pPr>
        <w:pStyle w:val="10"/>
        <w:spacing w:after="40"/>
        <w:ind w:firstLine="420"/>
        <w:rPr>
          <w:rFonts w:ascii="宋体" w:hAnsi="宋体"/>
        </w:rPr>
      </w:pPr>
      <w:r>
        <w:t>为验证所提方法在采区规划场景中的适用性，选取敏东研究区样</w:t>
      </w:r>
      <w:proofErr w:type="gramStart"/>
      <w:r>
        <w:t>例开展</w:t>
      </w:r>
      <w:proofErr w:type="gramEnd"/>
      <w:r>
        <w:t>分析。研究区以内蒙古呼伦贝尔敏东一矿相关工程背景资料为参照，顶底板岩性主要包括泥岩、砂质泥岩、炭质泥岩、煤和细粒砂岩，代表性埋深约</w:t>
      </w:r>
      <w:r>
        <w:t>300 m</w:t>
      </w:r>
      <w:r>
        <w:t>，具有厚煤层、软弱围岩和多源扰动约束并存的工程特征。当前计算采用样</w:t>
      </w:r>
      <w:proofErr w:type="gramStart"/>
      <w:r>
        <w:t>例化规划</w:t>
      </w:r>
      <w:proofErr w:type="gramEnd"/>
      <w:r>
        <w:t>域，以</w:t>
      </w:r>
      <w:r>
        <w:t>6</w:t>
      </w:r>
      <w:r>
        <w:t>个边界点、</w:t>
      </w:r>
      <w:r>
        <w:t>15</w:t>
      </w:r>
      <w:r>
        <w:t>个钻孔样点和规划控制参数为输入，原始边界面积为</w:t>
      </w:r>
      <w:r>
        <w:t>255250.00 m²</w:t>
      </w:r>
      <w:r>
        <w:t>。验证目标限定为样</w:t>
      </w:r>
      <w:proofErr w:type="gramStart"/>
      <w:r>
        <w:t>例条件</w:t>
      </w:r>
      <w:proofErr w:type="gramEnd"/>
      <w:r>
        <w:t>下的数据组织、风险表征与规划对象生成，不解释为真实矿井工业级优选结论。</w:t>
      </w:r>
    </w:p>
    <w:p w14:paraId="41F05DA8" w14:textId="77777777" w:rsidR="007E22B6" w:rsidRDefault="00801D65">
      <w:pPr>
        <w:pStyle w:val="10"/>
        <w:spacing w:after="40"/>
        <w:ind w:firstLine="420"/>
        <w:rPr>
          <w:rFonts w:ascii="宋体" w:hAnsi="宋体"/>
        </w:rPr>
      </w:pPr>
      <w:r>
        <w:t>工程约束方面，样例已纳入边界煤柱、区段煤柱、工作面宽度、推进长度校核阈值、</w:t>
      </w:r>
      <w:proofErr w:type="gramStart"/>
      <w:r>
        <w:t>走向长壁后退式开采</w:t>
      </w:r>
      <w:proofErr w:type="gramEnd"/>
      <w:r>
        <w:t>方向和</w:t>
      </w:r>
      <w:r>
        <w:t>ODI</w:t>
      </w:r>
      <w:r>
        <w:t>统计阈值等规划参数；但尚未完整纳入断层展布、既有巷道系统、通风运输能力、设备能力和生产制度等现场闭环约束。因此，案例定位为方法验证型工程样例，而非矿井定案设计文件。</w:t>
      </w:r>
    </w:p>
    <w:p w14:paraId="3D45C30F" w14:textId="77777777" w:rsidR="00390073" w:rsidRDefault="00000000">
      <w:pPr>
        <w:pStyle w:val="10"/>
        <w:spacing w:after="40"/>
        <w:ind w:firstLine="420"/>
      </w:pPr>
      <w:r>
        <w:t>为避免验证目标泛化，</w:t>
      </w:r>
      <w:proofErr w:type="gramStart"/>
      <w:r>
        <w:t>本文将样例</w:t>
      </w:r>
      <w:proofErr w:type="gramEnd"/>
      <w:r>
        <w:t>验证限定为</w:t>
      </w:r>
      <w:r>
        <w:t>3</w:t>
      </w:r>
      <w:r>
        <w:t>个可复核问题：离散钻孔和边界约束能否转化为统一坐标下的连续</w:t>
      </w:r>
      <w:proofErr w:type="gramStart"/>
      <w:r>
        <w:t>参数场</w:t>
      </w:r>
      <w:proofErr w:type="gramEnd"/>
      <w:r>
        <w:t>和有效布置域；多场景扰动风险能否转化为同一</w:t>
      </w:r>
      <w:r>
        <w:t>ODI</w:t>
      </w:r>
      <w:r>
        <w:t>统计口径，并在全域栅格和候选方案区域内复算；不同目标偏好下的候选方案能否在同</w:t>
      </w:r>
      <w:proofErr w:type="gramStart"/>
      <w:r>
        <w:t>一基础</w:t>
      </w:r>
      <w:proofErr w:type="gramEnd"/>
      <w:r>
        <w:t>输入、同一几何底线约束、同一</w:t>
      </w:r>
      <w:r>
        <w:t>ODI</w:t>
      </w:r>
      <w:proofErr w:type="gramStart"/>
      <w:r>
        <w:t>风险场</w:t>
      </w:r>
      <w:proofErr w:type="gramEnd"/>
      <w:r>
        <w:t>和同一评分口径下比较。后文</w:t>
      </w:r>
      <w:r>
        <w:t>A</w:t>
      </w:r>
      <w:r>
        <w:t>、</w:t>
      </w:r>
      <w:r>
        <w:t>B</w:t>
      </w:r>
      <w:r>
        <w:t>、</w:t>
      </w:r>
      <w:r>
        <w:t>C</w:t>
      </w:r>
      <w:r>
        <w:t>方案对比、阈值敏感性和权重敏感性均围绕上述问题展开。</w:t>
      </w:r>
    </w:p>
    <w:p w14:paraId="3858E5CD" w14:textId="77777777" w:rsidR="00801D65" w:rsidRDefault="00801D65">
      <w:pPr>
        <w:pStyle w:val="10"/>
        <w:spacing w:after="40"/>
        <w:ind w:firstLine="420"/>
      </w:pPr>
      <w:r>
        <w:t>研究区输入对象包括采区边界、钻孔样点、岩性力学背景资料和规划控制参数</w:t>
      </w:r>
      <w:r>
        <w:t>4</w:t>
      </w:r>
      <w:r>
        <w:t>类。钻孔样点用于构建煤层厚度等连续参数场；边界对象用于界定有效布置域；岩性力学背景资料用于限定案例的工程语境；边界煤柱、区段煤柱、工作面宽度、推进长度校核阈值和</w:t>
      </w:r>
      <w:r>
        <w:t>ODI</w:t>
      </w:r>
      <w:r>
        <w:t>统计阈值则共同构成后续规划求解的约束与校核条件。</w:t>
      </w:r>
    </w:p>
    <w:p w14:paraId="4574AAA9"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27C3F049" w14:textId="77777777" w:rsidR="00195275" w:rsidRDefault="00A249E2">
      <w:pPr>
        <w:pStyle w:val="14"/>
      </w:pPr>
      <w:r>
        <w:t>图</w:t>
      </w:r>
      <w:r>
        <w:t xml:space="preserve">2 </w:t>
      </w:r>
      <w:r>
        <w:t>研究区钻孔空间分布图</w:t>
      </w:r>
      <w:r>
        <w:br/>
        <w:t xml:space="preserve">Fig.2 Spatial </w:t>
      </w:r>
      <w:proofErr w:type="gramStart"/>
      <w:r>
        <w:t>distribution</w:t>
      </w:r>
      <w:proofErr w:type="gramEnd"/>
      <w:r>
        <w:t xml:space="preserve"> of boreholes in the study area</w:t>
      </w:r>
    </w:p>
    <w:p w14:paraId="22E5E0A9" w14:textId="77777777" w:rsidR="00801D65" w:rsidRDefault="00801D65">
      <w:pPr>
        <w:pStyle w:val="10"/>
        <w:spacing w:after="40"/>
        <w:ind w:firstLine="360"/>
      </w:pPr>
      <w:r>
        <w:rPr>
          <w:rFonts w:ascii="宋体" w:eastAsia="宋体" w:hAnsi="宋体"/>
          <w:sz w:val="18"/>
        </w:rPr>
        <w:t>图2显示，15个钻孔样点在研究区内形成了基本可用的空间采样网络。</w:t>
      </w:r>
      <w:proofErr w:type="gramStart"/>
      <w:r>
        <w:rPr>
          <w:rFonts w:ascii="宋体" w:eastAsia="宋体" w:hAnsi="宋体"/>
          <w:sz w:val="18"/>
        </w:rPr>
        <w:t>样点煤厚最小值</w:t>
      </w:r>
      <w:proofErr w:type="gramEnd"/>
      <w:r>
        <w:rPr>
          <w:rFonts w:ascii="宋体" w:eastAsia="宋体" w:hAnsi="宋体"/>
          <w:sz w:val="18"/>
        </w:rPr>
        <w:t>出现在ZK-107，为2.8 m；最大值出现在ZK-106，为4.8 m，样点</w:t>
      </w:r>
      <w:proofErr w:type="gramStart"/>
      <w:r>
        <w:rPr>
          <w:rFonts w:ascii="宋体" w:eastAsia="宋体" w:hAnsi="宋体"/>
          <w:sz w:val="18"/>
        </w:rPr>
        <w:t>平均煤厚为</w:t>
      </w:r>
      <w:proofErr w:type="gramEnd"/>
      <w:r>
        <w:rPr>
          <w:rFonts w:ascii="宋体" w:eastAsia="宋体" w:hAnsi="宋体"/>
          <w:sz w:val="18"/>
        </w:rPr>
        <w:t>3.7933 m。这些离散样点为后续</w:t>
      </w:r>
      <w:proofErr w:type="gramStart"/>
      <w:r>
        <w:rPr>
          <w:rFonts w:ascii="宋体" w:eastAsia="宋体" w:hAnsi="宋体"/>
          <w:sz w:val="18"/>
        </w:rPr>
        <w:t>厚度场</w:t>
      </w:r>
      <w:proofErr w:type="gramEnd"/>
      <w:r>
        <w:rPr>
          <w:rFonts w:ascii="宋体" w:eastAsia="宋体" w:hAnsi="宋体"/>
          <w:sz w:val="18"/>
        </w:rPr>
        <w:t>插值、资源覆盖判断和ODI</w:t>
      </w:r>
      <w:proofErr w:type="gramStart"/>
      <w:r>
        <w:rPr>
          <w:rFonts w:ascii="宋体" w:eastAsia="宋体" w:hAnsi="宋体"/>
          <w:sz w:val="18"/>
        </w:rPr>
        <w:t>风险场</w:t>
      </w:r>
      <w:proofErr w:type="gramEnd"/>
      <w:r>
        <w:rPr>
          <w:rFonts w:ascii="宋体" w:eastAsia="宋体" w:hAnsi="宋体"/>
          <w:sz w:val="18"/>
        </w:rPr>
        <w:t>叠加提供了统一输入口径。</w:t>
      </w:r>
    </w:p>
    <w:p w14:paraId="67E87973" w14:textId="77777777" w:rsidR="00801D65" w:rsidRDefault="00801D65">
      <w:pPr>
        <w:pStyle w:val="10"/>
        <w:spacing w:after="40"/>
        <w:ind w:firstLine="420"/>
      </w:pPr>
      <w:r>
        <w:rPr>
          <w:rFonts w:ascii="宋体" w:eastAsia="宋体" w:hAnsi="宋体"/>
        </w:rPr>
        <w:t>在研究区进入规划求解前，原始边界并不直接作为工作面布置边界使用，而是结合边界煤柱、区段煤柱及局部保护距离进行约束处理。本样</w:t>
      </w:r>
      <w:proofErr w:type="gramStart"/>
      <w:r>
        <w:rPr>
          <w:rFonts w:ascii="宋体" w:eastAsia="宋体" w:hAnsi="宋体"/>
        </w:rPr>
        <w:t>例采用</w:t>
      </w:r>
      <w:proofErr w:type="gramEnd"/>
      <w:r>
        <w:rPr>
          <w:rFonts w:ascii="宋体" w:eastAsia="宋体" w:hAnsi="宋体"/>
        </w:rPr>
        <w:t>30.0 m边界煤柱、20.0 m区段煤柱和120.0 m工作面宽度，并以</w:t>
      </w:r>
      <w:proofErr w:type="gramStart"/>
      <w:r>
        <w:rPr>
          <w:rFonts w:ascii="宋体" w:eastAsia="宋体" w:hAnsi="宋体"/>
        </w:rPr>
        <w:t>走向长壁后退式开采</w:t>
      </w:r>
      <w:proofErr w:type="gramEnd"/>
      <w:r>
        <w:rPr>
          <w:rFonts w:ascii="宋体" w:eastAsia="宋体" w:hAnsi="宋体"/>
        </w:rPr>
        <w:t>作为布置方式。</w:t>
      </w:r>
    </w:p>
    <w:p w14:paraId="5C882A9C" w14:textId="77777777" w:rsidR="00801D65" w:rsidRDefault="00801D65">
      <w:pPr>
        <w:pStyle w:val="10"/>
        <w:spacing w:after="40"/>
        <w:ind w:firstLine="420"/>
      </w:pPr>
      <w:r>
        <w:t>因此，本节的作用是把研究区输入压实为可复核的参数体系：边界提供空间范围，钻孔提供连续</w:t>
      </w:r>
      <w:proofErr w:type="gramStart"/>
      <w:r>
        <w:t>参数场</w:t>
      </w:r>
      <w:proofErr w:type="gramEnd"/>
      <w:r>
        <w:t>样本，岩性与埋深资料提供工程背景，设计参数提供几何与安全约束，</w:t>
      </w:r>
      <w:r>
        <w:t>ODI</w:t>
      </w:r>
      <w:r>
        <w:t>阈值提供风险统计口径。后续结果分析均以</w:t>
      </w:r>
      <w:proofErr w:type="gramStart"/>
      <w:r>
        <w:t>该统一</w:t>
      </w:r>
      <w:proofErr w:type="gramEnd"/>
      <w:r>
        <w:t>输入口径为基础。</w:t>
      </w:r>
    </w:p>
    <w:p w14:paraId="6ED789D8" w14:textId="77777777" w:rsidR="00A046E0" w:rsidRPr="00A046E0" w:rsidRDefault="00A046E0" w:rsidP="00A046E0">
      <w:pPr>
        <w:pStyle w:val="15"/>
        <w:spacing w:after="40"/>
        <w:ind w:firstLine="420"/>
      </w:pPr>
      <w:r>
        <w:t>表</w:t>
      </w:r>
      <w:r>
        <w:t xml:space="preserve">1 </w:t>
      </w:r>
      <w:r>
        <w:t>研究区输入参数与约束条件</w:t>
      </w:r>
      <w: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460"/>
        <w:gridCol w:w="460"/>
        <w:gridCol w:w="1322"/>
        <w:gridCol w:w="2917"/>
        <w:gridCol w:w="460"/>
        <w:gridCol w:w="900"/>
        <w:gridCol w:w="3139"/>
      </w:tblGrid>
      <w:tr w:rsidR="00D007CE" w:rsidRPr="006A6807" w14:paraId="0BC442B3" w14:textId="77777777" w:rsidTr="006A6807">
        <w:trPr>
          <w:jc w:val="center"/>
        </w:trPr>
        <w:tc>
          <w:tcPr>
            <w:tcW w:w="273" w:type="pct"/>
            <w:tcBorders>
              <w:top w:val="single" w:sz="8" w:space="0" w:color="000000"/>
              <w:bottom w:val="single" w:sz="6" w:space="0" w:color="000000"/>
            </w:tcBorders>
            <w:vAlign w:val="center"/>
          </w:tcPr>
          <w:p w14:paraId="5DD0283D" w14:textId="77777777" w:rsidR="00D007CE" w:rsidRPr="006A6807" w:rsidRDefault="00A249E2">
            <w:pPr>
              <w:spacing w:before="0" w:after="0"/>
              <w:jc w:val="center"/>
              <w:rPr>
                <w:sz w:val="14"/>
              </w:rPr>
            </w:pPr>
            <w:r w:rsidRPr="006A6807">
              <w:rPr>
                <w:rFonts w:ascii="宋体" w:eastAsia="宋体" w:hAnsi="宋体"/>
                <w:sz w:val="14"/>
              </w:rPr>
              <w:t>类别</w:t>
            </w:r>
          </w:p>
        </w:tc>
        <w:tc>
          <w:tcPr>
            <w:tcW w:w="344" w:type="pct"/>
            <w:tcBorders>
              <w:top w:val="single" w:sz="8" w:space="0" w:color="000000"/>
              <w:bottom w:val="single" w:sz="6" w:space="0" w:color="000000"/>
            </w:tcBorders>
            <w:vAlign w:val="center"/>
          </w:tcPr>
          <w:p w14:paraId="15A4A745" w14:textId="77777777" w:rsidR="00D007CE" w:rsidRPr="006A6807" w:rsidRDefault="00A249E2">
            <w:pPr>
              <w:spacing w:before="0" w:after="0"/>
              <w:jc w:val="center"/>
              <w:rPr>
                <w:sz w:val="14"/>
              </w:rPr>
            </w:pPr>
            <w:r w:rsidRPr="006A6807">
              <w:rPr>
                <w:rFonts w:ascii="宋体" w:eastAsia="宋体" w:hAnsi="宋体"/>
                <w:sz w:val="14"/>
              </w:rPr>
              <w:t>参数名称</w:t>
            </w:r>
          </w:p>
        </w:tc>
        <w:tc>
          <w:tcPr>
            <w:tcW w:w="912" w:type="pct"/>
            <w:tcBorders>
              <w:top w:val="single" w:sz="8" w:space="0" w:color="000000"/>
              <w:bottom w:val="single" w:sz="6" w:space="0" w:color="000000"/>
            </w:tcBorders>
            <w:vAlign w:val="center"/>
          </w:tcPr>
          <w:p w14:paraId="68B1C640" w14:textId="77777777" w:rsidR="00D007CE" w:rsidRPr="006A6807" w:rsidRDefault="00A249E2">
            <w:pPr>
              <w:spacing w:before="0" w:after="0"/>
              <w:jc w:val="center"/>
              <w:rPr>
                <w:sz w:val="14"/>
              </w:rPr>
            </w:pPr>
            <w:r w:rsidRPr="006A6807">
              <w:rPr>
                <w:rFonts w:ascii="宋体" w:eastAsia="宋体" w:hAnsi="宋体"/>
                <w:sz w:val="14"/>
              </w:rPr>
              <w:t>符号</w:t>
            </w:r>
          </w:p>
        </w:tc>
        <w:tc>
          <w:tcPr>
            <w:tcW w:w="948" w:type="pct"/>
            <w:tcBorders>
              <w:top w:val="single" w:sz="8" w:space="0" w:color="000000"/>
              <w:bottom w:val="single" w:sz="6" w:space="0" w:color="000000"/>
            </w:tcBorders>
            <w:vAlign w:val="center"/>
          </w:tcPr>
          <w:p w14:paraId="070F6A55" w14:textId="77777777" w:rsidR="00D007CE" w:rsidRPr="006A6807" w:rsidRDefault="00A249E2">
            <w:pPr>
              <w:spacing w:before="0" w:after="0"/>
              <w:jc w:val="center"/>
              <w:rPr>
                <w:sz w:val="14"/>
              </w:rPr>
            </w:pPr>
            <w:r w:rsidRPr="006A6807">
              <w:rPr>
                <w:rFonts w:ascii="宋体" w:eastAsia="宋体" w:hAnsi="宋体"/>
                <w:sz w:val="14"/>
              </w:rPr>
              <w:t>数值或范围</w:t>
            </w:r>
          </w:p>
        </w:tc>
        <w:tc>
          <w:tcPr>
            <w:tcW w:w="272" w:type="pct"/>
            <w:tcBorders>
              <w:top w:val="single" w:sz="8" w:space="0" w:color="000000"/>
              <w:bottom w:val="single" w:sz="6" w:space="0" w:color="000000"/>
            </w:tcBorders>
            <w:vAlign w:val="center"/>
          </w:tcPr>
          <w:p w14:paraId="756EF3A0" w14:textId="77777777" w:rsidR="00D007CE" w:rsidRPr="006A6807" w:rsidRDefault="00A249E2">
            <w:pPr>
              <w:spacing w:before="0" w:after="0"/>
              <w:jc w:val="center"/>
              <w:rPr>
                <w:sz w:val="14"/>
              </w:rPr>
            </w:pPr>
            <w:r w:rsidRPr="006A6807">
              <w:rPr>
                <w:rFonts w:ascii="宋体" w:eastAsia="宋体" w:hAnsi="宋体"/>
                <w:sz w:val="14"/>
              </w:rPr>
              <w:t>单位</w:t>
            </w:r>
          </w:p>
        </w:tc>
        <w:tc>
          <w:tcPr>
            <w:tcW w:w="413" w:type="pct"/>
            <w:tcBorders>
              <w:top w:val="single" w:sz="8" w:space="0" w:color="000000"/>
              <w:bottom w:val="single" w:sz="6" w:space="0" w:color="000000"/>
            </w:tcBorders>
            <w:vAlign w:val="center"/>
          </w:tcPr>
          <w:p w14:paraId="3C853C88" w14:textId="77777777" w:rsidR="00D007CE" w:rsidRPr="006A6807" w:rsidRDefault="00A249E2">
            <w:pPr>
              <w:spacing w:before="0" w:after="0"/>
              <w:jc w:val="center"/>
              <w:rPr>
                <w:sz w:val="14"/>
              </w:rPr>
            </w:pPr>
            <w:r w:rsidRPr="006A6807">
              <w:rPr>
                <w:rFonts w:ascii="宋体" w:eastAsia="宋体" w:hAnsi="宋体"/>
                <w:sz w:val="14"/>
              </w:rPr>
              <w:t>说明</w:t>
            </w:r>
          </w:p>
        </w:tc>
        <w:tc>
          <w:tcPr>
            <w:tcW w:w="1837" w:type="pct"/>
            <w:tcBorders>
              <w:top w:val="single" w:sz="8" w:space="0" w:color="000000"/>
              <w:bottom w:val="single" w:sz="6" w:space="0" w:color="000000"/>
            </w:tcBorders>
            <w:vAlign w:val="center"/>
          </w:tcPr>
          <w:p w14:paraId="5E700D8A" w14:textId="77777777" w:rsidR="00D007CE" w:rsidRPr="006A6807" w:rsidRDefault="00A249E2">
            <w:pPr>
              <w:spacing w:before="0" w:after="0"/>
              <w:jc w:val="center"/>
              <w:rPr>
                <w:sz w:val="14"/>
              </w:rPr>
            </w:pPr>
            <w:r w:rsidRPr="006A6807">
              <w:rPr>
                <w:rFonts w:ascii="宋体" w:eastAsia="宋体" w:hAnsi="宋体"/>
                <w:sz w:val="14"/>
              </w:rPr>
              <w:t>数据来源</w:t>
            </w:r>
          </w:p>
        </w:tc>
      </w:tr>
      <w:tr w:rsidR="00D007CE" w:rsidRPr="006A6807" w14:paraId="4C15A4A7" w14:textId="77777777" w:rsidTr="006A6807">
        <w:trPr>
          <w:jc w:val="center"/>
        </w:trPr>
        <w:tc>
          <w:tcPr>
            <w:tcW w:w="273" w:type="pct"/>
            <w:vAlign w:val="center"/>
          </w:tcPr>
          <w:p w14:paraId="033F7F29"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35FDE8DD" w14:textId="77777777" w:rsidR="00D007CE" w:rsidRPr="006A6807" w:rsidRDefault="00A249E2">
            <w:pPr>
              <w:spacing w:before="0" w:after="0"/>
              <w:jc w:val="center"/>
              <w:rPr>
                <w:sz w:val="14"/>
              </w:rPr>
            </w:pPr>
            <w:r w:rsidRPr="006A6807">
              <w:rPr>
                <w:rFonts w:ascii="宋体" w:eastAsia="宋体" w:hAnsi="宋体"/>
                <w:sz w:val="14"/>
              </w:rPr>
              <w:t>钻孔数量</w:t>
            </w:r>
          </w:p>
        </w:tc>
        <w:tc>
          <w:tcPr>
            <w:tcW w:w="912" w:type="pct"/>
            <w:vAlign w:val="center"/>
          </w:tcPr>
          <w:p w14:paraId="68DB3D21" w14:textId="77777777" w:rsidR="00D007CE" w:rsidRPr="006A6807" w:rsidRDefault="00A249E2">
            <w:pPr>
              <w:spacing w:before="0" w:after="0"/>
              <w:jc w:val="center"/>
              <w:rPr>
                <w:sz w:val="14"/>
              </w:rPr>
            </w:pPr>
            <w:r w:rsidRPr="006A6807">
              <w:rPr>
                <w:rFonts w:ascii="宋体" w:eastAsia="宋体" w:hAnsi="宋体"/>
                <w:sz w:val="14"/>
              </w:rPr>
              <w:t>n</w:t>
            </w:r>
          </w:p>
        </w:tc>
        <w:tc>
          <w:tcPr>
            <w:tcW w:w="948" w:type="pct"/>
            <w:vAlign w:val="center"/>
          </w:tcPr>
          <w:p w14:paraId="3DC4F979" w14:textId="77777777" w:rsidR="00D007CE" w:rsidRPr="006A6807" w:rsidRDefault="00A249E2">
            <w:pPr>
              <w:spacing w:before="0" w:after="0"/>
              <w:jc w:val="center"/>
              <w:rPr>
                <w:sz w:val="14"/>
              </w:rPr>
            </w:pPr>
            <w:r w:rsidRPr="006A6807">
              <w:rPr>
                <w:rFonts w:ascii="宋体" w:eastAsia="宋体" w:hAnsi="宋体"/>
                <w:sz w:val="14"/>
              </w:rPr>
              <w:t>15</w:t>
            </w:r>
          </w:p>
        </w:tc>
        <w:tc>
          <w:tcPr>
            <w:tcW w:w="272" w:type="pct"/>
            <w:vAlign w:val="center"/>
          </w:tcPr>
          <w:p w14:paraId="48A372AB" w14:textId="77777777" w:rsidR="00D007CE" w:rsidRPr="006A6807" w:rsidRDefault="00A249E2">
            <w:pPr>
              <w:spacing w:before="0" w:after="0"/>
              <w:jc w:val="center"/>
              <w:rPr>
                <w:sz w:val="14"/>
              </w:rPr>
            </w:pPr>
            <w:proofErr w:type="gramStart"/>
            <w:r w:rsidRPr="006A6807">
              <w:rPr>
                <w:rFonts w:ascii="宋体" w:eastAsia="宋体" w:hAnsi="宋体"/>
                <w:sz w:val="14"/>
              </w:rPr>
              <w:t>个</w:t>
            </w:r>
            <w:proofErr w:type="gramEnd"/>
          </w:p>
        </w:tc>
        <w:tc>
          <w:tcPr>
            <w:tcW w:w="413" w:type="pct"/>
            <w:vAlign w:val="center"/>
          </w:tcPr>
          <w:p w14:paraId="4172F08C" w14:textId="77777777" w:rsidR="00D007CE" w:rsidRPr="006A6807" w:rsidRDefault="00A249E2">
            <w:pPr>
              <w:spacing w:before="0" w:after="0"/>
              <w:jc w:val="center"/>
              <w:rPr>
                <w:sz w:val="14"/>
              </w:rPr>
            </w:pPr>
            <w:r w:rsidRPr="006A6807">
              <w:rPr>
                <w:rFonts w:ascii="宋体" w:eastAsia="宋体" w:hAnsi="宋体"/>
                <w:sz w:val="14"/>
              </w:rPr>
              <w:t>钻孔样点总数</w:t>
            </w:r>
          </w:p>
        </w:tc>
        <w:tc>
          <w:tcPr>
            <w:tcW w:w="1837" w:type="pct"/>
            <w:vAlign w:val="center"/>
          </w:tcPr>
          <w:p w14:paraId="7183104F" w14:textId="77777777" w:rsidR="00D007CE" w:rsidRPr="006A6807" w:rsidRDefault="00A249E2">
            <w:pPr>
              <w:spacing w:before="0" w:after="0"/>
              <w:jc w:val="center"/>
              <w:rPr>
                <w:sz w:val="14"/>
              </w:rPr>
            </w:pPr>
            <w:r w:rsidRPr="006A6807">
              <w:rPr>
                <w:rFonts w:ascii="宋体" w:eastAsia="宋体" w:hAnsi="宋体"/>
                <w:sz w:val="14"/>
              </w:rPr>
              <w:t>钻孔/设计结果</w:t>
            </w:r>
          </w:p>
        </w:tc>
      </w:tr>
      <w:tr w:rsidR="00D007CE" w:rsidRPr="006A6807" w14:paraId="7BF762B0" w14:textId="77777777" w:rsidTr="006A6807">
        <w:trPr>
          <w:jc w:val="center"/>
        </w:trPr>
        <w:tc>
          <w:tcPr>
            <w:tcW w:w="273" w:type="pct"/>
            <w:vAlign w:val="center"/>
          </w:tcPr>
          <w:p w14:paraId="755A818B" w14:textId="77777777" w:rsidR="00D007CE" w:rsidRPr="006A6807" w:rsidRDefault="00A249E2">
            <w:pPr>
              <w:spacing w:before="0" w:after="0"/>
              <w:jc w:val="center"/>
              <w:rPr>
                <w:sz w:val="14"/>
              </w:rPr>
            </w:pPr>
            <w:r w:rsidRPr="006A6807">
              <w:rPr>
                <w:rFonts w:ascii="宋体" w:eastAsia="宋体" w:hAnsi="宋体"/>
                <w:sz w:val="14"/>
              </w:rPr>
              <w:t>研究区</w:t>
            </w:r>
            <w:r w:rsidRPr="006A6807">
              <w:rPr>
                <w:rFonts w:ascii="宋体" w:eastAsia="宋体" w:hAnsi="宋体"/>
                <w:sz w:val="14"/>
              </w:rPr>
              <w:lastRenderedPageBreak/>
              <w:t>基础</w:t>
            </w:r>
          </w:p>
        </w:tc>
        <w:tc>
          <w:tcPr>
            <w:tcW w:w="344" w:type="pct"/>
            <w:vAlign w:val="center"/>
          </w:tcPr>
          <w:p w14:paraId="2C289A66" w14:textId="77777777" w:rsidR="00D007CE" w:rsidRPr="006A6807" w:rsidRDefault="00A249E2">
            <w:pPr>
              <w:spacing w:before="0" w:after="0"/>
              <w:jc w:val="center"/>
              <w:rPr>
                <w:sz w:val="14"/>
              </w:rPr>
            </w:pPr>
            <w:r w:rsidRPr="006A6807">
              <w:rPr>
                <w:rFonts w:ascii="宋体" w:eastAsia="宋体" w:hAnsi="宋体"/>
                <w:sz w:val="14"/>
              </w:rPr>
              <w:lastRenderedPageBreak/>
              <w:t>煤层厚</w:t>
            </w:r>
            <w:r w:rsidRPr="006A6807">
              <w:rPr>
                <w:rFonts w:ascii="宋体" w:eastAsia="宋体" w:hAnsi="宋体"/>
                <w:sz w:val="14"/>
              </w:rPr>
              <w:lastRenderedPageBreak/>
              <w:t>度最小值</w:t>
            </w:r>
          </w:p>
        </w:tc>
        <w:tc>
          <w:tcPr>
            <w:tcW w:w="912" w:type="pct"/>
            <w:vAlign w:val="center"/>
          </w:tcPr>
          <w:p w14:paraId="2CB7F9EC" w14:textId="77777777" w:rsidR="00D007CE" w:rsidRPr="006A6807" w:rsidRDefault="00A249E2">
            <w:pPr>
              <w:spacing w:before="0" w:after="0"/>
              <w:jc w:val="center"/>
              <w:rPr>
                <w:sz w:val="14"/>
              </w:rPr>
            </w:pPr>
            <w:proofErr w:type="spellStart"/>
            <w:r w:rsidRPr="006A6807">
              <w:rPr>
                <w:rFonts w:ascii="宋体" w:eastAsia="宋体" w:hAnsi="宋体"/>
                <w:sz w:val="14"/>
              </w:rPr>
              <w:lastRenderedPageBreak/>
              <w:t>h_min</w:t>
            </w:r>
            <w:proofErr w:type="spellEnd"/>
          </w:p>
        </w:tc>
        <w:tc>
          <w:tcPr>
            <w:tcW w:w="948" w:type="pct"/>
            <w:vAlign w:val="center"/>
          </w:tcPr>
          <w:p w14:paraId="28FB956C" w14:textId="77777777" w:rsidR="00D007CE" w:rsidRPr="006A6807" w:rsidRDefault="00A249E2">
            <w:pPr>
              <w:spacing w:before="0" w:after="0"/>
              <w:jc w:val="center"/>
              <w:rPr>
                <w:sz w:val="14"/>
              </w:rPr>
            </w:pPr>
            <w:r w:rsidRPr="006A6807">
              <w:rPr>
                <w:rFonts w:ascii="宋体" w:eastAsia="宋体" w:hAnsi="宋体"/>
                <w:sz w:val="14"/>
              </w:rPr>
              <w:t>2.8</w:t>
            </w:r>
          </w:p>
        </w:tc>
        <w:tc>
          <w:tcPr>
            <w:tcW w:w="272" w:type="pct"/>
            <w:vAlign w:val="center"/>
          </w:tcPr>
          <w:p w14:paraId="56A01D09"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786C313"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67F6A3D0"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14D3FBEC" w14:textId="77777777" w:rsidTr="006A6807">
        <w:trPr>
          <w:jc w:val="center"/>
        </w:trPr>
        <w:tc>
          <w:tcPr>
            <w:tcW w:w="273" w:type="pct"/>
            <w:vAlign w:val="center"/>
          </w:tcPr>
          <w:p w14:paraId="5C91EB01"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64F162F2" w14:textId="77777777" w:rsidR="00D007CE" w:rsidRPr="006A6807" w:rsidRDefault="00A249E2">
            <w:pPr>
              <w:spacing w:before="0" w:after="0"/>
              <w:jc w:val="center"/>
              <w:rPr>
                <w:sz w:val="14"/>
              </w:rPr>
            </w:pPr>
            <w:r w:rsidRPr="006A6807">
              <w:rPr>
                <w:rFonts w:ascii="宋体" w:eastAsia="宋体" w:hAnsi="宋体"/>
                <w:sz w:val="14"/>
              </w:rPr>
              <w:t>煤层厚度最大值</w:t>
            </w:r>
          </w:p>
        </w:tc>
        <w:tc>
          <w:tcPr>
            <w:tcW w:w="912" w:type="pct"/>
            <w:vAlign w:val="center"/>
          </w:tcPr>
          <w:p w14:paraId="1B6DD919" w14:textId="77777777" w:rsidR="00D007CE" w:rsidRPr="006A6807" w:rsidRDefault="00A249E2">
            <w:pPr>
              <w:spacing w:before="0" w:after="0"/>
              <w:jc w:val="center"/>
              <w:rPr>
                <w:sz w:val="14"/>
              </w:rPr>
            </w:pPr>
            <w:proofErr w:type="spellStart"/>
            <w:r w:rsidRPr="006A6807">
              <w:rPr>
                <w:rFonts w:ascii="宋体" w:eastAsia="宋体" w:hAnsi="宋体"/>
                <w:sz w:val="14"/>
              </w:rPr>
              <w:t>h_max</w:t>
            </w:r>
            <w:proofErr w:type="spellEnd"/>
          </w:p>
        </w:tc>
        <w:tc>
          <w:tcPr>
            <w:tcW w:w="948" w:type="pct"/>
            <w:vAlign w:val="center"/>
          </w:tcPr>
          <w:p w14:paraId="602E5F3C" w14:textId="77777777" w:rsidR="00D007CE" w:rsidRPr="006A6807" w:rsidRDefault="00A249E2">
            <w:pPr>
              <w:spacing w:before="0" w:after="0"/>
              <w:jc w:val="center"/>
              <w:rPr>
                <w:sz w:val="14"/>
              </w:rPr>
            </w:pPr>
            <w:r w:rsidRPr="006A6807">
              <w:rPr>
                <w:rFonts w:ascii="宋体" w:eastAsia="宋体" w:hAnsi="宋体"/>
                <w:sz w:val="14"/>
              </w:rPr>
              <w:t>4.8</w:t>
            </w:r>
          </w:p>
        </w:tc>
        <w:tc>
          <w:tcPr>
            <w:tcW w:w="272" w:type="pct"/>
            <w:vAlign w:val="center"/>
          </w:tcPr>
          <w:p w14:paraId="6E0861C0"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29B049A"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200C598B"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11304F45" w14:textId="77777777" w:rsidTr="006A6807">
        <w:trPr>
          <w:jc w:val="center"/>
        </w:trPr>
        <w:tc>
          <w:tcPr>
            <w:tcW w:w="273" w:type="pct"/>
            <w:vAlign w:val="center"/>
          </w:tcPr>
          <w:p w14:paraId="237438B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3CB0B639" w14:textId="77777777" w:rsidR="00D007CE" w:rsidRPr="006A6807" w:rsidRDefault="00A249E2">
            <w:pPr>
              <w:spacing w:before="0" w:after="0"/>
              <w:jc w:val="center"/>
              <w:rPr>
                <w:sz w:val="14"/>
              </w:rPr>
            </w:pPr>
            <w:r w:rsidRPr="006A6807">
              <w:rPr>
                <w:rFonts w:ascii="宋体" w:eastAsia="宋体" w:hAnsi="宋体"/>
                <w:sz w:val="14"/>
              </w:rPr>
              <w:t>煤层厚度平均值</w:t>
            </w:r>
          </w:p>
        </w:tc>
        <w:tc>
          <w:tcPr>
            <w:tcW w:w="912" w:type="pct"/>
            <w:vAlign w:val="center"/>
          </w:tcPr>
          <w:p w14:paraId="624B7834" w14:textId="77777777" w:rsidR="00D007CE" w:rsidRPr="006A6807" w:rsidRDefault="00A249E2">
            <w:pPr>
              <w:spacing w:before="0" w:after="0"/>
              <w:jc w:val="center"/>
              <w:rPr>
                <w:sz w:val="14"/>
              </w:rPr>
            </w:pPr>
            <w:proofErr w:type="spellStart"/>
            <w:r w:rsidRPr="006A6807">
              <w:rPr>
                <w:rFonts w:ascii="宋体" w:eastAsia="宋体" w:hAnsi="宋体"/>
                <w:sz w:val="14"/>
              </w:rPr>
              <w:t>h_avg</w:t>
            </w:r>
            <w:proofErr w:type="spellEnd"/>
          </w:p>
        </w:tc>
        <w:tc>
          <w:tcPr>
            <w:tcW w:w="948" w:type="pct"/>
            <w:vAlign w:val="center"/>
          </w:tcPr>
          <w:p w14:paraId="044F5862" w14:textId="77777777" w:rsidR="00D007CE" w:rsidRPr="006A6807" w:rsidRDefault="00A249E2">
            <w:pPr>
              <w:spacing w:before="0" w:after="0"/>
              <w:jc w:val="center"/>
              <w:rPr>
                <w:sz w:val="14"/>
              </w:rPr>
            </w:pPr>
            <w:r w:rsidRPr="006A6807">
              <w:rPr>
                <w:rFonts w:ascii="宋体" w:eastAsia="宋体" w:hAnsi="宋体"/>
                <w:sz w:val="14"/>
              </w:rPr>
              <w:t>3.7933</w:t>
            </w:r>
          </w:p>
        </w:tc>
        <w:tc>
          <w:tcPr>
            <w:tcW w:w="272" w:type="pct"/>
            <w:vAlign w:val="center"/>
          </w:tcPr>
          <w:p w14:paraId="72FE53E2"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1E4EC5B"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664C1E39"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3D05FEE3" w14:textId="77777777" w:rsidTr="006A6807">
        <w:trPr>
          <w:jc w:val="center"/>
        </w:trPr>
        <w:tc>
          <w:tcPr>
            <w:tcW w:w="273" w:type="pct"/>
            <w:vAlign w:val="center"/>
          </w:tcPr>
          <w:p w14:paraId="055DC663"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79907FE7" w14:textId="77777777" w:rsidR="00D007CE" w:rsidRPr="006A6807" w:rsidRDefault="00A249E2">
            <w:pPr>
              <w:spacing w:before="0" w:after="0"/>
              <w:jc w:val="center"/>
              <w:rPr>
                <w:sz w:val="14"/>
              </w:rPr>
            </w:pPr>
            <w:r w:rsidRPr="006A6807">
              <w:rPr>
                <w:rFonts w:ascii="宋体" w:eastAsia="宋体" w:hAnsi="宋体"/>
                <w:sz w:val="14"/>
              </w:rPr>
              <w:t>边界煤柱宽度</w:t>
            </w:r>
          </w:p>
        </w:tc>
        <w:tc>
          <w:tcPr>
            <w:tcW w:w="912" w:type="pct"/>
            <w:vAlign w:val="center"/>
          </w:tcPr>
          <w:p w14:paraId="3787CD1C" w14:textId="77777777" w:rsidR="00D007CE" w:rsidRPr="006A6807" w:rsidRDefault="00A249E2">
            <w:pPr>
              <w:spacing w:before="0" w:after="0"/>
              <w:jc w:val="center"/>
              <w:rPr>
                <w:sz w:val="14"/>
              </w:rPr>
            </w:pPr>
            <w:proofErr w:type="spellStart"/>
            <w:r w:rsidRPr="006A6807">
              <w:rPr>
                <w:rFonts w:ascii="宋体" w:eastAsia="宋体" w:hAnsi="宋体"/>
                <w:sz w:val="14"/>
              </w:rPr>
              <w:t>B_b</w:t>
            </w:r>
            <w:proofErr w:type="spellEnd"/>
          </w:p>
        </w:tc>
        <w:tc>
          <w:tcPr>
            <w:tcW w:w="948" w:type="pct"/>
            <w:vAlign w:val="center"/>
          </w:tcPr>
          <w:p w14:paraId="6FD47F50" w14:textId="77777777" w:rsidR="00D007CE" w:rsidRPr="006A6807" w:rsidRDefault="00A249E2">
            <w:pPr>
              <w:spacing w:before="0" w:after="0"/>
              <w:jc w:val="center"/>
              <w:rPr>
                <w:sz w:val="14"/>
              </w:rPr>
            </w:pPr>
            <w:r w:rsidRPr="006A6807">
              <w:rPr>
                <w:rFonts w:ascii="宋体" w:eastAsia="宋体" w:hAnsi="宋体"/>
                <w:sz w:val="14"/>
              </w:rPr>
              <w:t>30.0</w:t>
            </w:r>
          </w:p>
        </w:tc>
        <w:tc>
          <w:tcPr>
            <w:tcW w:w="272" w:type="pct"/>
            <w:vAlign w:val="center"/>
          </w:tcPr>
          <w:p w14:paraId="46251F97"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939C3B1" w14:textId="77777777" w:rsidR="00D007CE" w:rsidRPr="006A6807" w:rsidRDefault="00A249E2">
            <w:pPr>
              <w:spacing w:before="0" w:after="0"/>
              <w:jc w:val="center"/>
              <w:rPr>
                <w:sz w:val="14"/>
              </w:rPr>
            </w:pPr>
            <w:proofErr w:type="gramStart"/>
            <w:r w:rsidRPr="006A6807">
              <w:rPr>
                <w:rFonts w:ascii="宋体" w:eastAsia="宋体" w:hAnsi="宋体"/>
                <w:sz w:val="14"/>
              </w:rPr>
              <w:t>当前样例采用值</w:t>
            </w:r>
            <w:proofErr w:type="gramEnd"/>
            <w:r w:rsidRPr="006A6807">
              <w:rPr>
                <w:rFonts w:ascii="宋体" w:eastAsia="宋体" w:hAnsi="宋体"/>
                <w:sz w:val="14"/>
              </w:rPr>
              <w:t>；规则范围20-50 m</w:t>
            </w:r>
          </w:p>
        </w:tc>
        <w:tc>
          <w:tcPr>
            <w:tcW w:w="1837" w:type="pct"/>
            <w:vAlign w:val="center"/>
          </w:tcPr>
          <w:p w14:paraId="58151CFD" w14:textId="77777777" w:rsidR="00D007CE" w:rsidRPr="006A6807" w:rsidRDefault="00A249E2">
            <w:pPr>
              <w:spacing w:before="0" w:after="0"/>
              <w:jc w:val="center"/>
              <w:rPr>
                <w:sz w:val="14"/>
              </w:rPr>
            </w:pPr>
            <w:proofErr w:type="spellStart"/>
            <w:r w:rsidRPr="006A6807">
              <w:rPr>
                <w:rFonts w:ascii="宋体" w:eastAsia="宋体" w:hAnsi="宋体"/>
                <w:sz w:val="14"/>
              </w:rPr>
              <w:t>designParams</w:t>
            </w:r>
            <w:proofErr w:type="spellEnd"/>
            <w:r w:rsidRPr="006A6807">
              <w:rPr>
                <w:rFonts w:ascii="宋体" w:eastAsia="宋体" w:hAnsi="宋体"/>
                <w:sz w:val="14"/>
              </w:rPr>
              <w:t>/</w:t>
            </w:r>
            <w:proofErr w:type="spellStart"/>
            <w:r w:rsidRPr="006A6807">
              <w:rPr>
                <w:rFonts w:ascii="宋体" w:eastAsia="宋体" w:hAnsi="宋体"/>
                <w:sz w:val="14"/>
              </w:rPr>
              <w:t>miningRules</w:t>
            </w:r>
            <w:proofErr w:type="spellEnd"/>
          </w:p>
        </w:tc>
      </w:tr>
      <w:tr w:rsidR="00D007CE" w:rsidRPr="006A6807" w14:paraId="241DDF56" w14:textId="77777777" w:rsidTr="006A6807">
        <w:trPr>
          <w:jc w:val="center"/>
        </w:trPr>
        <w:tc>
          <w:tcPr>
            <w:tcW w:w="273" w:type="pct"/>
            <w:vAlign w:val="center"/>
          </w:tcPr>
          <w:p w14:paraId="2A10104D"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454E188A" w14:textId="77777777" w:rsidR="00D007CE" w:rsidRPr="006A6807" w:rsidRDefault="00A249E2">
            <w:pPr>
              <w:spacing w:before="0" w:after="0"/>
              <w:jc w:val="center"/>
              <w:rPr>
                <w:sz w:val="14"/>
              </w:rPr>
            </w:pPr>
            <w:r w:rsidRPr="006A6807">
              <w:rPr>
                <w:rFonts w:ascii="宋体" w:eastAsia="宋体" w:hAnsi="宋体"/>
                <w:sz w:val="14"/>
              </w:rPr>
              <w:t>区段煤柱宽度</w:t>
            </w:r>
          </w:p>
        </w:tc>
        <w:tc>
          <w:tcPr>
            <w:tcW w:w="912" w:type="pct"/>
            <w:vAlign w:val="center"/>
          </w:tcPr>
          <w:p w14:paraId="6010334F" w14:textId="77777777" w:rsidR="00D007CE" w:rsidRPr="006A6807" w:rsidRDefault="00A249E2">
            <w:pPr>
              <w:spacing w:before="0" w:after="0"/>
              <w:jc w:val="center"/>
              <w:rPr>
                <w:sz w:val="14"/>
              </w:rPr>
            </w:pPr>
            <w:r w:rsidRPr="006A6807">
              <w:rPr>
                <w:rFonts w:ascii="宋体" w:eastAsia="宋体" w:hAnsi="宋体"/>
                <w:sz w:val="14"/>
              </w:rPr>
              <w:t>B_s</w:t>
            </w:r>
          </w:p>
        </w:tc>
        <w:tc>
          <w:tcPr>
            <w:tcW w:w="948" w:type="pct"/>
            <w:vAlign w:val="center"/>
          </w:tcPr>
          <w:p w14:paraId="688D3AFC" w14:textId="77777777" w:rsidR="00D007CE" w:rsidRPr="006A6807" w:rsidRDefault="00A249E2">
            <w:pPr>
              <w:spacing w:before="0" w:after="0"/>
              <w:jc w:val="center"/>
              <w:rPr>
                <w:sz w:val="14"/>
              </w:rPr>
            </w:pPr>
            <w:r w:rsidRPr="006A6807">
              <w:rPr>
                <w:rFonts w:ascii="宋体" w:eastAsia="宋体" w:hAnsi="宋体"/>
                <w:sz w:val="14"/>
              </w:rPr>
              <w:t>20.0</w:t>
            </w:r>
          </w:p>
        </w:tc>
        <w:tc>
          <w:tcPr>
            <w:tcW w:w="272" w:type="pct"/>
            <w:vAlign w:val="center"/>
          </w:tcPr>
          <w:p w14:paraId="0D1CB4DC"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1531133" w14:textId="77777777" w:rsidR="00D007CE" w:rsidRPr="006A6807" w:rsidRDefault="00A249E2">
            <w:pPr>
              <w:spacing w:before="0" w:after="0"/>
              <w:jc w:val="center"/>
              <w:rPr>
                <w:sz w:val="14"/>
              </w:rPr>
            </w:pPr>
            <w:proofErr w:type="gramStart"/>
            <w:r w:rsidRPr="006A6807">
              <w:rPr>
                <w:rFonts w:ascii="宋体" w:eastAsia="宋体" w:hAnsi="宋体"/>
                <w:sz w:val="14"/>
              </w:rPr>
              <w:t>当前样例采用值</w:t>
            </w:r>
            <w:proofErr w:type="gramEnd"/>
            <w:r w:rsidRPr="006A6807">
              <w:rPr>
                <w:rFonts w:ascii="宋体" w:eastAsia="宋体" w:hAnsi="宋体"/>
                <w:sz w:val="14"/>
              </w:rPr>
              <w:t>；规则范围15-30 m</w:t>
            </w:r>
          </w:p>
        </w:tc>
        <w:tc>
          <w:tcPr>
            <w:tcW w:w="1837" w:type="pct"/>
            <w:vAlign w:val="center"/>
          </w:tcPr>
          <w:p w14:paraId="0AC78AA0" w14:textId="77777777" w:rsidR="00D007CE" w:rsidRPr="006A6807" w:rsidRDefault="00A249E2">
            <w:pPr>
              <w:spacing w:before="0" w:after="0"/>
              <w:jc w:val="center"/>
              <w:rPr>
                <w:sz w:val="14"/>
              </w:rPr>
            </w:pPr>
            <w:proofErr w:type="spellStart"/>
            <w:r w:rsidRPr="006A6807">
              <w:rPr>
                <w:rFonts w:ascii="宋体" w:eastAsia="宋体" w:hAnsi="宋体"/>
                <w:sz w:val="14"/>
              </w:rPr>
              <w:t>designParams</w:t>
            </w:r>
            <w:proofErr w:type="spellEnd"/>
            <w:r w:rsidRPr="006A6807">
              <w:rPr>
                <w:rFonts w:ascii="宋体" w:eastAsia="宋体" w:hAnsi="宋体"/>
                <w:sz w:val="14"/>
              </w:rPr>
              <w:t>/</w:t>
            </w:r>
            <w:proofErr w:type="spellStart"/>
            <w:r w:rsidRPr="006A6807">
              <w:rPr>
                <w:rFonts w:ascii="宋体" w:eastAsia="宋体" w:hAnsi="宋体"/>
                <w:sz w:val="14"/>
              </w:rPr>
              <w:t>miningRules</w:t>
            </w:r>
            <w:proofErr w:type="spellEnd"/>
          </w:p>
        </w:tc>
      </w:tr>
      <w:tr w:rsidR="00D007CE" w:rsidRPr="006A6807" w14:paraId="1AB2C5F9" w14:textId="77777777" w:rsidTr="006A6807">
        <w:trPr>
          <w:jc w:val="center"/>
        </w:trPr>
        <w:tc>
          <w:tcPr>
            <w:tcW w:w="273" w:type="pct"/>
            <w:vAlign w:val="center"/>
          </w:tcPr>
          <w:p w14:paraId="290DBD76"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0F2A1BD5" w14:textId="77777777" w:rsidR="00D007CE" w:rsidRPr="006A6807" w:rsidRDefault="00A249E2">
            <w:pPr>
              <w:spacing w:before="0" w:after="0"/>
              <w:jc w:val="center"/>
              <w:rPr>
                <w:sz w:val="14"/>
              </w:rPr>
            </w:pPr>
            <w:r w:rsidRPr="006A6807">
              <w:rPr>
                <w:rFonts w:ascii="宋体" w:eastAsia="宋体" w:hAnsi="宋体"/>
                <w:sz w:val="14"/>
              </w:rPr>
              <w:t>原始边界面积</w:t>
            </w:r>
          </w:p>
        </w:tc>
        <w:tc>
          <w:tcPr>
            <w:tcW w:w="912" w:type="pct"/>
            <w:vAlign w:val="center"/>
          </w:tcPr>
          <w:p w14:paraId="5D7A6430" w14:textId="77777777" w:rsidR="00D007CE" w:rsidRPr="006A6807" w:rsidRDefault="00A249E2">
            <w:pPr>
              <w:spacing w:before="0" w:after="0"/>
              <w:jc w:val="center"/>
              <w:rPr>
                <w:sz w:val="14"/>
              </w:rPr>
            </w:pPr>
            <w:r w:rsidRPr="006A6807">
              <w:rPr>
                <w:rFonts w:ascii="宋体" w:eastAsia="宋体" w:hAnsi="宋体"/>
                <w:sz w:val="14"/>
              </w:rPr>
              <w:t>A_0</w:t>
            </w:r>
          </w:p>
        </w:tc>
        <w:tc>
          <w:tcPr>
            <w:tcW w:w="948" w:type="pct"/>
            <w:vAlign w:val="center"/>
          </w:tcPr>
          <w:p w14:paraId="3B626CEA" w14:textId="77777777" w:rsidR="00D007CE" w:rsidRPr="006A6807" w:rsidRDefault="00A249E2">
            <w:pPr>
              <w:spacing w:before="0" w:after="0"/>
              <w:jc w:val="center"/>
              <w:rPr>
                <w:sz w:val="14"/>
              </w:rPr>
            </w:pPr>
            <w:r w:rsidRPr="006A6807">
              <w:rPr>
                <w:rFonts w:ascii="宋体" w:eastAsia="宋体" w:hAnsi="宋体"/>
                <w:sz w:val="14"/>
              </w:rPr>
              <w:t>255250.00</w:t>
            </w:r>
          </w:p>
        </w:tc>
        <w:tc>
          <w:tcPr>
            <w:tcW w:w="272" w:type="pct"/>
            <w:vAlign w:val="center"/>
          </w:tcPr>
          <w:p w14:paraId="49F920ED" w14:textId="77777777" w:rsidR="00D007CE" w:rsidRPr="006A6807" w:rsidRDefault="00A249E2">
            <w:pPr>
              <w:spacing w:before="0" w:after="0"/>
              <w:jc w:val="center"/>
              <w:rPr>
                <w:sz w:val="14"/>
              </w:rPr>
            </w:pPr>
            <w:r w:rsidRPr="006A6807">
              <w:rPr>
                <w:rFonts w:ascii="宋体" w:eastAsia="宋体" w:hAnsi="宋体"/>
                <w:sz w:val="14"/>
              </w:rPr>
              <w:t>m²</w:t>
            </w:r>
          </w:p>
        </w:tc>
        <w:tc>
          <w:tcPr>
            <w:tcW w:w="413" w:type="pct"/>
            <w:vAlign w:val="center"/>
          </w:tcPr>
          <w:p w14:paraId="75710EB8" w14:textId="77777777" w:rsidR="00D007CE" w:rsidRPr="006A6807" w:rsidRDefault="00A249E2">
            <w:pPr>
              <w:spacing w:before="0" w:after="0"/>
              <w:jc w:val="center"/>
              <w:rPr>
                <w:sz w:val="14"/>
              </w:rPr>
            </w:pPr>
            <w:r w:rsidRPr="006A6807">
              <w:rPr>
                <w:rFonts w:ascii="宋体" w:eastAsia="宋体" w:hAnsi="宋体"/>
                <w:sz w:val="14"/>
              </w:rPr>
              <w:t>由6个边界点计算</w:t>
            </w:r>
          </w:p>
        </w:tc>
        <w:tc>
          <w:tcPr>
            <w:tcW w:w="1837" w:type="pct"/>
            <w:vAlign w:val="center"/>
          </w:tcPr>
          <w:p w14:paraId="0D4E94E5" w14:textId="77777777" w:rsidR="00D007CE" w:rsidRPr="006A6807" w:rsidRDefault="00A249E2">
            <w:pPr>
              <w:spacing w:before="0" w:after="0"/>
              <w:jc w:val="center"/>
              <w:rPr>
                <w:sz w:val="14"/>
              </w:rPr>
            </w:pPr>
            <w:r w:rsidRPr="006A6807">
              <w:rPr>
                <w:rFonts w:ascii="宋体" w:eastAsia="宋体" w:hAnsi="宋体"/>
                <w:sz w:val="14"/>
              </w:rPr>
              <w:t>边界数据</w:t>
            </w:r>
          </w:p>
        </w:tc>
      </w:tr>
      <w:tr w:rsidR="00D007CE" w:rsidRPr="006A6807" w14:paraId="207A4AEA" w14:textId="77777777" w:rsidTr="006A6807">
        <w:trPr>
          <w:jc w:val="center"/>
        </w:trPr>
        <w:tc>
          <w:tcPr>
            <w:tcW w:w="273" w:type="pct"/>
            <w:vAlign w:val="center"/>
          </w:tcPr>
          <w:p w14:paraId="57619E73"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57087612" w14:textId="77777777" w:rsidR="00D007CE" w:rsidRPr="006A6807" w:rsidRDefault="00A249E2">
            <w:pPr>
              <w:spacing w:before="0" w:after="0"/>
              <w:jc w:val="center"/>
              <w:rPr>
                <w:sz w:val="14"/>
              </w:rPr>
            </w:pPr>
            <w:r w:rsidRPr="006A6807">
              <w:rPr>
                <w:rFonts w:ascii="宋体" w:eastAsia="宋体" w:hAnsi="宋体"/>
                <w:sz w:val="14"/>
              </w:rPr>
              <w:t>工作面宽度</w:t>
            </w:r>
          </w:p>
        </w:tc>
        <w:tc>
          <w:tcPr>
            <w:tcW w:w="912" w:type="pct"/>
            <w:vAlign w:val="center"/>
          </w:tcPr>
          <w:p w14:paraId="7AA677A3" w14:textId="77777777" w:rsidR="00D007CE" w:rsidRPr="006A6807" w:rsidRDefault="00A249E2">
            <w:pPr>
              <w:spacing w:before="0" w:after="0"/>
              <w:jc w:val="center"/>
              <w:rPr>
                <w:sz w:val="14"/>
              </w:rPr>
            </w:pPr>
            <w:proofErr w:type="spellStart"/>
            <w:r w:rsidRPr="006A6807">
              <w:rPr>
                <w:rFonts w:ascii="宋体" w:eastAsia="宋体" w:hAnsi="宋体"/>
                <w:sz w:val="14"/>
              </w:rPr>
              <w:t>W_f</w:t>
            </w:r>
            <w:proofErr w:type="spellEnd"/>
          </w:p>
        </w:tc>
        <w:tc>
          <w:tcPr>
            <w:tcW w:w="948" w:type="pct"/>
            <w:vAlign w:val="center"/>
          </w:tcPr>
          <w:p w14:paraId="5F48A605" w14:textId="77777777" w:rsidR="00D007CE" w:rsidRPr="006A6807" w:rsidRDefault="00A249E2">
            <w:pPr>
              <w:spacing w:before="0" w:after="0"/>
              <w:jc w:val="center"/>
              <w:rPr>
                <w:sz w:val="14"/>
              </w:rPr>
            </w:pPr>
            <w:r w:rsidRPr="006A6807">
              <w:rPr>
                <w:rFonts w:ascii="宋体" w:eastAsia="宋体" w:hAnsi="宋体"/>
                <w:sz w:val="14"/>
              </w:rPr>
              <w:t>120.0</w:t>
            </w:r>
          </w:p>
        </w:tc>
        <w:tc>
          <w:tcPr>
            <w:tcW w:w="272" w:type="pct"/>
            <w:vAlign w:val="center"/>
          </w:tcPr>
          <w:p w14:paraId="0115E6C3"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0426B41" w14:textId="77777777" w:rsidR="00D007CE" w:rsidRPr="006A6807" w:rsidRDefault="00A249E2">
            <w:pPr>
              <w:spacing w:before="0" w:after="0"/>
              <w:jc w:val="center"/>
              <w:rPr>
                <w:sz w:val="14"/>
              </w:rPr>
            </w:pPr>
            <w:proofErr w:type="gramStart"/>
            <w:r w:rsidRPr="006A6807">
              <w:rPr>
                <w:rFonts w:ascii="宋体" w:eastAsia="宋体" w:hAnsi="宋体"/>
                <w:sz w:val="14"/>
              </w:rPr>
              <w:t>当前样例采用值</w:t>
            </w:r>
            <w:proofErr w:type="gramEnd"/>
          </w:p>
        </w:tc>
        <w:tc>
          <w:tcPr>
            <w:tcW w:w="1837" w:type="pct"/>
            <w:vAlign w:val="center"/>
          </w:tcPr>
          <w:p w14:paraId="4F198118" w14:textId="77777777" w:rsidR="00D007CE" w:rsidRPr="006A6807" w:rsidRDefault="00A249E2">
            <w:pPr>
              <w:spacing w:before="0" w:after="0"/>
              <w:jc w:val="center"/>
              <w:rPr>
                <w:sz w:val="14"/>
              </w:rPr>
            </w:pPr>
            <w:proofErr w:type="spellStart"/>
            <w:r w:rsidRPr="006A6807">
              <w:rPr>
                <w:rFonts w:ascii="宋体" w:eastAsia="宋体" w:hAnsi="宋体"/>
                <w:sz w:val="14"/>
              </w:rPr>
              <w:t>designParams</w:t>
            </w:r>
            <w:proofErr w:type="spellEnd"/>
          </w:p>
        </w:tc>
      </w:tr>
      <w:tr w:rsidR="00D007CE" w:rsidRPr="006A6807" w14:paraId="0964172B" w14:textId="77777777" w:rsidTr="006A6807">
        <w:trPr>
          <w:jc w:val="center"/>
        </w:trPr>
        <w:tc>
          <w:tcPr>
            <w:tcW w:w="273" w:type="pct"/>
            <w:vAlign w:val="center"/>
          </w:tcPr>
          <w:p w14:paraId="0E98BAA5"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143CF1EF" w14:textId="77777777" w:rsidR="00D007CE" w:rsidRPr="006A6807" w:rsidRDefault="00A249E2">
            <w:pPr>
              <w:spacing w:before="0" w:after="0"/>
              <w:jc w:val="center"/>
              <w:rPr>
                <w:sz w:val="14"/>
              </w:rPr>
            </w:pPr>
            <w:r w:rsidRPr="006A6807">
              <w:rPr>
                <w:rFonts w:ascii="宋体" w:eastAsia="宋体" w:hAnsi="宋体"/>
                <w:sz w:val="14"/>
              </w:rPr>
              <w:t>工作面长度规则</w:t>
            </w:r>
          </w:p>
        </w:tc>
        <w:tc>
          <w:tcPr>
            <w:tcW w:w="912" w:type="pct"/>
            <w:vAlign w:val="center"/>
          </w:tcPr>
          <w:p w14:paraId="011A14D3" w14:textId="77777777" w:rsidR="00D007CE" w:rsidRPr="006A6807" w:rsidRDefault="00A249E2">
            <w:pPr>
              <w:spacing w:before="0" w:after="0"/>
              <w:jc w:val="center"/>
              <w:rPr>
                <w:sz w:val="14"/>
              </w:rPr>
            </w:pPr>
            <w:proofErr w:type="spellStart"/>
            <w:r w:rsidRPr="006A6807">
              <w:rPr>
                <w:rFonts w:ascii="宋体" w:eastAsia="宋体" w:hAnsi="宋体"/>
                <w:sz w:val="14"/>
              </w:rPr>
              <w:t>L_f</w:t>
            </w:r>
            <w:proofErr w:type="spellEnd"/>
          </w:p>
        </w:tc>
        <w:tc>
          <w:tcPr>
            <w:tcW w:w="948" w:type="pct"/>
            <w:vAlign w:val="center"/>
          </w:tcPr>
          <w:p w14:paraId="609DA291" w14:textId="77777777" w:rsidR="00D007CE" w:rsidRPr="006A6807" w:rsidRDefault="00A249E2">
            <w:pPr>
              <w:spacing w:before="0" w:after="0"/>
              <w:jc w:val="center"/>
              <w:rPr>
                <w:sz w:val="14"/>
              </w:rPr>
            </w:pPr>
            <w:r w:rsidRPr="006A6807">
              <w:rPr>
                <w:rFonts w:ascii="宋体" w:eastAsia="宋体" w:hAnsi="宋体"/>
                <w:sz w:val="14"/>
              </w:rPr>
              <w:t>120-260，推荐200</w:t>
            </w:r>
          </w:p>
        </w:tc>
        <w:tc>
          <w:tcPr>
            <w:tcW w:w="272" w:type="pct"/>
            <w:vAlign w:val="center"/>
          </w:tcPr>
          <w:p w14:paraId="1A726C32"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32AD7F19" w14:textId="77777777" w:rsidR="00D007CE" w:rsidRPr="006A6807" w:rsidRDefault="00A249E2">
            <w:pPr>
              <w:spacing w:before="0" w:after="0"/>
              <w:jc w:val="center"/>
              <w:rPr>
                <w:sz w:val="14"/>
              </w:rPr>
            </w:pPr>
            <w:r w:rsidRPr="006A6807">
              <w:rPr>
                <w:rFonts w:ascii="宋体" w:eastAsia="宋体" w:hAnsi="宋体"/>
                <w:sz w:val="14"/>
              </w:rPr>
              <w:t>规则参数</w:t>
            </w:r>
          </w:p>
        </w:tc>
        <w:tc>
          <w:tcPr>
            <w:tcW w:w="1837" w:type="pct"/>
            <w:vAlign w:val="center"/>
          </w:tcPr>
          <w:p w14:paraId="44F1C01E" w14:textId="77777777" w:rsidR="00D007CE" w:rsidRPr="006A6807" w:rsidRDefault="00A249E2">
            <w:pPr>
              <w:spacing w:before="0" w:after="0"/>
              <w:jc w:val="center"/>
              <w:rPr>
                <w:sz w:val="14"/>
              </w:rPr>
            </w:pPr>
            <w:proofErr w:type="spellStart"/>
            <w:r w:rsidRPr="006A6807">
              <w:rPr>
                <w:rFonts w:ascii="宋体" w:eastAsia="宋体" w:hAnsi="宋体"/>
                <w:sz w:val="14"/>
              </w:rPr>
              <w:t>miningRules</w:t>
            </w:r>
            <w:proofErr w:type="spellEnd"/>
          </w:p>
        </w:tc>
      </w:tr>
      <w:tr w:rsidR="00D007CE" w:rsidRPr="006A6807" w14:paraId="47F3F188" w14:textId="77777777" w:rsidTr="006A6807">
        <w:trPr>
          <w:jc w:val="center"/>
        </w:trPr>
        <w:tc>
          <w:tcPr>
            <w:tcW w:w="273" w:type="pct"/>
            <w:vAlign w:val="center"/>
          </w:tcPr>
          <w:p w14:paraId="5FD97F0C"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5EBD291" w14:textId="77777777" w:rsidR="00D007CE" w:rsidRPr="006A6807" w:rsidRDefault="00A249E2">
            <w:pPr>
              <w:spacing w:before="0" w:after="0"/>
              <w:jc w:val="center"/>
              <w:rPr>
                <w:sz w:val="14"/>
              </w:rPr>
            </w:pPr>
            <w:r w:rsidRPr="006A6807">
              <w:rPr>
                <w:rFonts w:ascii="宋体" w:eastAsia="宋体" w:hAnsi="宋体"/>
                <w:sz w:val="14"/>
              </w:rPr>
              <w:t>推进长度校核阈值</w:t>
            </w:r>
          </w:p>
        </w:tc>
        <w:tc>
          <w:tcPr>
            <w:tcW w:w="912" w:type="pct"/>
            <w:vAlign w:val="center"/>
          </w:tcPr>
          <w:p w14:paraId="32F9CB09" w14:textId="77777777" w:rsidR="00D007CE" w:rsidRPr="006A6807" w:rsidRDefault="00A249E2">
            <w:pPr>
              <w:spacing w:before="0" w:after="0"/>
              <w:jc w:val="center"/>
              <w:rPr>
                <w:sz w:val="14"/>
              </w:rPr>
            </w:pPr>
            <w:proofErr w:type="spellStart"/>
            <w:r w:rsidRPr="006A6807">
              <w:rPr>
                <w:rFonts w:ascii="宋体" w:eastAsia="宋体" w:hAnsi="宋体"/>
                <w:sz w:val="14"/>
              </w:rPr>
              <w:t>L_</w:t>
            </w:r>
            <w:proofErr w:type="gramStart"/>
            <w:r w:rsidRPr="006A6807">
              <w:rPr>
                <w:rFonts w:ascii="宋体" w:eastAsia="宋体" w:hAnsi="宋体"/>
                <w:sz w:val="14"/>
              </w:rPr>
              <w:t>a,check</w:t>
            </w:r>
            <w:proofErr w:type="spellEnd"/>
            <w:proofErr w:type="gramEnd"/>
          </w:p>
        </w:tc>
        <w:tc>
          <w:tcPr>
            <w:tcW w:w="948" w:type="pct"/>
            <w:vAlign w:val="center"/>
          </w:tcPr>
          <w:p w14:paraId="33EEE140" w14:textId="77777777" w:rsidR="00D007CE" w:rsidRPr="006A6807" w:rsidRDefault="00A249E2">
            <w:pPr>
              <w:spacing w:before="0" w:after="0"/>
              <w:jc w:val="center"/>
              <w:rPr>
                <w:sz w:val="14"/>
              </w:rPr>
            </w:pPr>
            <w:r w:rsidRPr="006A6807">
              <w:rPr>
                <w:rFonts w:ascii="宋体" w:eastAsia="宋体" w:hAnsi="宋体"/>
                <w:sz w:val="14"/>
              </w:rPr>
              <w:t>800.0</w:t>
            </w:r>
          </w:p>
        </w:tc>
        <w:tc>
          <w:tcPr>
            <w:tcW w:w="272" w:type="pct"/>
            <w:vAlign w:val="center"/>
          </w:tcPr>
          <w:p w14:paraId="6E442AF1"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8303F75" w14:textId="77777777" w:rsidR="00D007CE" w:rsidRPr="006A6807" w:rsidRDefault="00A249E2">
            <w:pPr>
              <w:spacing w:before="0" w:after="0"/>
              <w:jc w:val="center"/>
              <w:rPr>
                <w:sz w:val="14"/>
              </w:rPr>
            </w:pPr>
            <w:r w:rsidRPr="006A6807">
              <w:rPr>
                <w:rFonts w:ascii="宋体" w:eastAsia="宋体" w:hAnsi="宋体"/>
                <w:sz w:val="14"/>
              </w:rPr>
              <w:t>推荐/校核阈值；</w:t>
            </w:r>
            <w:proofErr w:type="gramStart"/>
            <w:r w:rsidRPr="006A6807">
              <w:rPr>
                <w:rFonts w:ascii="宋体" w:eastAsia="宋体" w:hAnsi="宋体"/>
                <w:sz w:val="14"/>
              </w:rPr>
              <w:t>当前样例用于</w:t>
            </w:r>
            <w:proofErr w:type="gramEnd"/>
            <w:r w:rsidRPr="006A6807">
              <w:rPr>
                <w:rFonts w:ascii="宋体" w:eastAsia="宋体" w:hAnsi="宋体"/>
                <w:sz w:val="14"/>
              </w:rPr>
              <w:t>提示方案修正，不作为硬性达标结果</w:t>
            </w:r>
          </w:p>
        </w:tc>
        <w:tc>
          <w:tcPr>
            <w:tcW w:w="1837" w:type="pct"/>
            <w:vAlign w:val="center"/>
          </w:tcPr>
          <w:p w14:paraId="7DFF5885" w14:textId="77777777" w:rsidR="00D007CE" w:rsidRPr="006A6807" w:rsidRDefault="00A249E2">
            <w:pPr>
              <w:spacing w:before="0" w:after="0"/>
              <w:jc w:val="center"/>
              <w:rPr>
                <w:sz w:val="14"/>
              </w:rPr>
            </w:pPr>
            <w:proofErr w:type="spellStart"/>
            <w:r w:rsidRPr="006A6807">
              <w:rPr>
                <w:rFonts w:ascii="宋体" w:eastAsia="宋体" w:hAnsi="宋体"/>
                <w:sz w:val="14"/>
              </w:rPr>
              <w:t>miningRules</w:t>
            </w:r>
            <w:proofErr w:type="spellEnd"/>
          </w:p>
        </w:tc>
      </w:tr>
      <w:tr w:rsidR="00D007CE" w:rsidRPr="006A6807" w14:paraId="5C6FCA02" w14:textId="77777777" w:rsidTr="006A6807">
        <w:trPr>
          <w:jc w:val="center"/>
        </w:trPr>
        <w:tc>
          <w:tcPr>
            <w:tcW w:w="273" w:type="pct"/>
            <w:vAlign w:val="center"/>
          </w:tcPr>
          <w:p w14:paraId="7485DB20"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4E3449F8" w14:textId="77777777" w:rsidR="00D007CE" w:rsidRPr="006A6807" w:rsidRDefault="00A249E2">
            <w:pPr>
              <w:spacing w:before="0" w:after="0"/>
              <w:jc w:val="center"/>
              <w:rPr>
                <w:sz w:val="14"/>
              </w:rPr>
            </w:pPr>
            <w:r w:rsidRPr="006A6807">
              <w:rPr>
                <w:rFonts w:ascii="宋体" w:eastAsia="宋体" w:hAnsi="宋体"/>
                <w:sz w:val="14"/>
              </w:rPr>
              <w:t>推进方向</w:t>
            </w:r>
          </w:p>
        </w:tc>
        <w:tc>
          <w:tcPr>
            <w:tcW w:w="912" w:type="pct"/>
            <w:vAlign w:val="center"/>
          </w:tcPr>
          <w:p w14:paraId="470685EF" w14:textId="77777777" w:rsidR="00D007CE" w:rsidRPr="006A6807" w:rsidRDefault="00A249E2">
            <w:pPr>
              <w:spacing w:before="0" w:after="0"/>
              <w:jc w:val="center"/>
              <w:rPr>
                <w:sz w:val="14"/>
              </w:rPr>
            </w:pPr>
            <w:r w:rsidRPr="006A6807">
              <w:rPr>
                <w:rFonts w:ascii="宋体" w:eastAsia="宋体" w:hAnsi="宋体"/>
                <w:sz w:val="14"/>
              </w:rPr>
              <w:t>D</w:t>
            </w:r>
          </w:p>
        </w:tc>
        <w:tc>
          <w:tcPr>
            <w:tcW w:w="948" w:type="pct"/>
            <w:vAlign w:val="center"/>
          </w:tcPr>
          <w:p w14:paraId="604D0FAB" w14:textId="77777777" w:rsidR="00D007CE" w:rsidRPr="006A6807" w:rsidRDefault="00A249E2">
            <w:pPr>
              <w:spacing w:before="0" w:after="0"/>
              <w:jc w:val="center"/>
              <w:rPr>
                <w:sz w:val="14"/>
              </w:rPr>
            </w:pPr>
            <w:proofErr w:type="gramStart"/>
            <w:r w:rsidRPr="006A6807">
              <w:rPr>
                <w:rFonts w:ascii="宋体" w:eastAsia="宋体" w:hAnsi="宋体"/>
                <w:sz w:val="14"/>
              </w:rPr>
              <w:t>走向长壁布置</w:t>
            </w:r>
            <w:proofErr w:type="gramEnd"/>
            <w:r w:rsidRPr="006A6807">
              <w:rPr>
                <w:rFonts w:ascii="宋体" w:eastAsia="宋体" w:hAnsi="宋体"/>
                <w:sz w:val="14"/>
              </w:rPr>
              <w:t>，走向: 180.0°</w:t>
            </w:r>
          </w:p>
        </w:tc>
        <w:tc>
          <w:tcPr>
            <w:tcW w:w="272" w:type="pct"/>
            <w:vAlign w:val="center"/>
          </w:tcPr>
          <w:p w14:paraId="075EF7E7"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61591828" w14:textId="77777777" w:rsidR="00D007CE" w:rsidRPr="006A6807" w:rsidRDefault="00A249E2">
            <w:pPr>
              <w:spacing w:before="0" w:after="0"/>
              <w:jc w:val="center"/>
              <w:rPr>
                <w:sz w:val="14"/>
              </w:rPr>
            </w:pPr>
            <w:proofErr w:type="gramStart"/>
            <w:r w:rsidRPr="006A6807">
              <w:rPr>
                <w:rFonts w:ascii="宋体" w:eastAsia="宋体" w:hAnsi="宋体"/>
                <w:sz w:val="14"/>
              </w:rPr>
              <w:t>走向长壁后退式开采</w:t>
            </w:r>
            <w:proofErr w:type="gramEnd"/>
          </w:p>
        </w:tc>
        <w:tc>
          <w:tcPr>
            <w:tcW w:w="1837" w:type="pct"/>
            <w:vAlign w:val="center"/>
          </w:tcPr>
          <w:p w14:paraId="32009C0F" w14:textId="77777777" w:rsidR="00D007CE" w:rsidRPr="006A6807" w:rsidRDefault="00A249E2">
            <w:pPr>
              <w:spacing w:before="0" w:after="0"/>
              <w:jc w:val="center"/>
              <w:rPr>
                <w:sz w:val="14"/>
              </w:rPr>
            </w:pPr>
            <w:r w:rsidRPr="006A6807">
              <w:rPr>
                <w:rFonts w:ascii="宋体" w:eastAsia="宋体" w:hAnsi="宋体"/>
                <w:sz w:val="14"/>
              </w:rPr>
              <w:t>设计结果</w:t>
            </w:r>
          </w:p>
        </w:tc>
      </w:tr>
      <w:tr w:rsidR="00D007CE" w:rsidRPr="006A6807" w14:paraId="58A93F1E" w14:textId="77777777" w:rsidTr="006A6807">
        <w:trPr>
          <w:jc w:val="center"/>
        </w:trPr>
        <w:tc>
          <w:tcPr>
            <w:tcW w:w="273" w:type="pct"/>
            <w:vAlign w:val="center"/>
          </w:tcPr>
          <w:p w14:paraId="47A59168"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35C82517" w14:textId="77777777" w:rsidR="00D007CE" w:rsidRPr="006A6807" w:rsidRDefault="00A249E2">
            <w:pPr>
              <w:spacing w:before="0" w:after="0"/>
              <w:jc w:val="center"/>
              <w:rPr>
                <w:sz w:val="14"/>
              </w:rPr>
            </w:pPr>
            <w:r w:rsidRPr="006A6807">
              <w:rPr>
                <w:rFonts w:ascii="宋体" w:eastAsia="宋体" w:hAnsi="宋体"/>
                <w:sz w:val="14"/>
              </w:rPr>
              <w:t>ODI权重</w:t>
            </w:r>
          </w:p>
        </w:tc>
        <w:tc>
          <w:tcPr>
            <w:tcW w:w="912" w:type="pct"/>
            <w:vAlign w:val="center"/>
          </w:tcPr>
          <w:p w14:paraId="5A43A2D2" w14:textId="77777777" w:rsidR="00D007CE" w:rsidRPr="006A6807" w:rsidRDefault="00A249E2">
            <w:pPr>
              <w:spacing w:before="0" w:after="0"/>
              <w:rPr>
                <w:sz w:val="14"/>
              </w:rPr>
            </w:pPr>
            <w:proofErr w:type="spellStart"/>
            <w:r w:rsidRPr="006A6807">
              <w:rPr>
                <w:sz w:val="14"/>
              </w:rPr>
              <w:t>w_s</w:t>
            </w:r>
            <w:proofErr w:type="spellEnd"/>
            <w:r w:rsidRPr="006A6807">
              <w:rPr>
                <w:sz w:val="14"/>
              </w:rPr>
              <w:t>/</w:t>
            </w:r>
            <w:proofErr w:type="spellStart"/>
            <w:r w:rsidRPr="006A6807">
              <w:rPr>
                <w:sz w:val="14"/>
              </w:rPr>
              <w:t>w_a</w:t>
            </w:r>
            <w:proofErr w:type="spellEnd"/>
            <w:r w:rsidRPr="006A6807">
              <w:rPr>
                <w:sz w:val="14"/>
              </w:rPr>
              <w:t>/</w:t>
            </w:r>
            <w:proofErr w:type="spellStart"/>
            <w:r w:rsidRPr="006A6807">
              <w:rPr>
                <w:sz w:val="14"/>
              </w:rPr>
              <w:t>w_u</w:t>
            </w:r>
            <w:proofErr w:type="spellEnd"/>
          </w:p>
        </w:tc>
        <w:tc>
          <w:tcPr>
            <w:tcW w:w="948" w:type="pct"/>
            <w:vAlign w:val="center"/>
          </w:tcPr>
          <w:p w14:paraId="6FCA265B" w14:textId="77777777" w:rsidR="00D007CE" w:rsidRPr="006A6807" w:rsidRDefault="00A249E2">
            <w:pPr>
              <w:spacing w:before="0" w:after="0"/>
              <w:rPr>
                <w:sz w:val="14"/>
              </w:rPr>
            </w:pPr>
            <w:r w:rsidRPr="006A6807">
              <w:rPr>
                <w:sz w:val="14"/>
              </w:rPr>
              <w:t>0.45/0.30/0.25</w:t>
            </w:r>
          </w:p>
        </w:tc>
        <w:tc>
          <w:tcPr>
            <w:tcW w:w="272" w:type="pct"/>
            <w:vAlign w:val="center"/>
          </w:tcPr>
          <w:p w14:paraId="392E699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4496B647" w14:textId="77777777" w:rsidR="00D007CE" w:rsidRPr="006A6807" w:rsidRDefault="00A249E2">
            <w:pPr>
              <w:spacing w:before="0" w:after="0"/>
              <w:rPr>
                <w:sz w:val="14"/>
              </w:rPr>
            </w:pPr>
            <w:r w:rsidRPr="006A6807">
              <w:rPr>
                <w:sz w:val="14"/>
              </w:rPr>
              <w:t>地表沉陷</w:t>
            </w:r>
            <w:r w:rsidRPr="006A6807">
              <w:rPr>
                <w:sz w:val="14"/>
              </w:rPr>
              <w:t>/</w:t>
            </w:r>
            <w:r w:rsidRPr="006A6807">
              <w:rPr>
                <w:sz w:val="14"/>
              </w:rPr>
              <w:t>含水层扰动</w:t>
            </w:r>
            <w:r w:rsidRPr="006A6807">
              <w:rPr>
                <w:sz w:val="14"/>
              </w:rPr>
              <w:t>/</w:t>
            </w:r>
            <w:r w:rsidRPr="006A6807">
              <w:rPr>
                <w:sz w:val="14"/>
              </w:rPr>
              <w:t>上行开采；综合规划基准权重</w:t>
            </w:r>
          </w:p>
        </w:tc>
        <w:tc>
          <w:tcPr>
            <w:tcW w:w="1837" w:type="pct"/>
            <w:vAlign w:val="center"/>
          </w:tcPr>
          <w:p w14:paraId="64DBA080" w14:textId="77777777" w:rsidR="00D007CE" w:rsidRPr="006A6807" w:rsidRDefault="00A249E2">
            <w:pPr>
              <w:spacing w:before="0" w:after="0"/>
              <w:jc w:val="center"/>
              <w:rPr>
                <w:sz w:val="14"/>
              </w:rPr>
            </w:pPr>
            <w:r w:rsidRPr="006A6807">
              <w:rPr>
                <w:rFonts w:ascii="宋体" w:eastAsia="宋体" w:hAnsi="宋体"/>
                <w:sz w:val="14"/>
              </w:rPr>
              <w:t>ODI</w:t>
            </w:r>
            <w:proofErr w:type="gramStart"/>
            <w:r w:rsidRPr="006A6807">
              <w:rPr>
                <w:rFonts w:ascii="宋体" w:eastAsia="宋体" w:hAnsi="宋体"/>
                <w:sz w:val="14"/>
              </w:rPr>
              <w:t>场结果</w:t>
            </w:r>
            <w:proofErr w:type="gramEnd"/>
          </w:p>
        </w:tc>
      </w:tr>
      <w:tr w:rsidR="00D007CE" w:rsidRPr="006A6807" w14:paraId="306CB096" w14:textId="77777777" w:rsidTr="006A6807">
        <w:trPr>
          <w:jc w:val="center"/>
        </w:trPr>
        <w:tc>
          <w:tcPr>
            <w:tcW w:w="273" w:type="pct"/>
            <w:vAlign w:val="center"/>
          </w:tcPr>
          <w:p w14:paraId="6FE73BF6"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14F432F2" w14:textId="77777777" w:rsidR="00D007CE" w:rsidRPr="006A6807" w:rsidRDefault="00A249E2">
            <w:pPr>
              <w:spacing w:before="0" w:after="0"/>
              <w:jc w:val="center"/>
              <w:rPr>
                <w:sz w:val="14"/>
              </w:rPr>
            </w:pPr>
            <w:r w:rsidRPr="006A6807">
              <w:rPr>
                <w:rFonts w:ascii="宋体" w:eastAsia="宋体" w:hAnsi="宋体"/>
                <w:sz w:val="14"/>
              </w:rPr>
              <w:t>ODI统计阈值</w:t>
            </w:r>
          </w:p>
        </w:tc>
        <w:tc>
          <w:tcPr>
            <w:tcW w:w="912" w:type="pct"/>
            <w:vAlign w:val="center"/>
          </w:tcPr>
          <w:p w14:paraId="77533B03" w14:textId="77777777" w:rsidR="00D007CE" w:rsidRPr="006A6807" w:rsidRDefault="00A249E2">
            <w:pPr>
              <w:spacing w:before="0" w:after="0"/>
              <w:jc w:val="center"/>
              <w:rPr>
                <w:sz w:val="14"/>
              </w:rPr>
            </w:pPr>
            <w:r w:rsidRPr="006A6807">
              <w:rPr>
                <w:rFonts w:ascii="宋体" w:eastAsia="宋体" w:hAnsi="宋体"/>
                <w:sz w:val="14"/>
              </w:rPr>
              <w:t>T_ODI</w:t>
            </w:r>
          </w:p>
        </w:tc>
        <w:tc>
          <w:tcPr>
            <w:tcW w:w="948" w:type="pct"/>
            <w:vAlign w:val="center"/>
          </w:tcPr>
          <w:p w14:paraId="4F0BDEC5" w14:textId="77777777" w:rsidR="00D007CE" w:rsidRPr="006A6807" w:rsidRDefault="00A249E2">
            <w:pPr>
              <w:spacing w:before="0" w:after="0"/>
              <w:jc w:val="center"/>
              <w:rPr>
                <w:sz w:val="14"/>
              </w:rPr>
            </w:pPr>
            <w:r w:rsidRPr="006A6807">
              <w:rPr>
                <w:rFonts w:ascii="宋体" w:eastAsia="宋体" w:hAnsi="宋体"/>
                <w:sz w:val="14"/>
              </w:rPr>
              <w:t>0.70/0.80</w:t>
            </w:r>
          </w:p>
        </w:tc>
        <w:tc>
          <w:tcPr>
            <w:tcW w:w="272" w:type="pct"/>
            <w:vAlign w:val="center"/>
          </w:tcPr>
          <w:p w14:paraId="156E0F00"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3A4227E6" w14:textId="77777777" w:rsidR="00D007CE" w:rsidRPr="006A6807" w:rsidRDefault="00A249E2">
            <w:pPr>
              <w:spacing w:before="0" w:after="0"/>
              <w:rPr>
                <w:sz w:val="14"/>
              </w:rPr>
            </w:pPr>
            <w:r w:rsidRPr="006A6807">
              <w:rPr>
                <w:sz w:val="14"/>
              </w:rPr>
              <w:t>用于</w:t>
            </w:r>
            <w:proofErr w:type="gramStart"/>
            <w:r w:rsidRPr="006A6807">
              <w:rPr>
                <w:sz w:val="14"/>
              </w:rPr>
              <w:t>方案级</w:t>
            </w:r>
            <w:proofErr w:type="gramEnd"/>
            <w:r w:rsidRPr="006A6807">
              <w:rPr>
                <w:sz w:val="14"/>
              </w:rPr>
              <w:t>超阈值暴露统计；真实工程需结合现场阈值标定</w:t>
            </w:r>
          </w:p>
        </w:tc>
        <w:tc>
          <w:tcPr>
            <w:tcW w:w="1837" w:type="pct"/>
            <w:vAlign w:val="center"/>
          </w:tcPr>
          <w:p w14:paraId="1701858A" w14:textId="77777777" w:rsidR="00D007CE" w:rsidRPr="006A6807" w:rsidRDefault="00A249E2">
            <w:pPr>
              <w:spacing w:before="0" w:after="0"/>
              <w:jc w:val="center"/>
              <w:rPr>
                <w:sz w:val="14"/>
              </w:rPr>
            </w:pPr>
            <w:r w:rsidRPr="006A6807">
              <w:rPr>
                <w:rFonts w:ascii="宋体" w:eastAsia="宋体" w:hAnsi="宋体"/>
                <w:sz w:val="14"/>
              </w:rPr>
              <w:t>本文统计口径</w:t>
            </w:r>
          </w:p>
        </w:tc>
      </w:tr>
      <w:tr w:rsidR="00D007CE" w:rsidRPr="006A6807" w14:paraId="71D0E5E1" w14:textId="77777777" w:rsidTr="006A6807">
        <w:trPr>
          <w:jc w:val="center"/>
        </w:trPr>
        <w:tc>
          <w:tcPr>
            <w:tcW w:w="273" w:type="pct"/>
            <w:vAlign w:val="center"/>
          </w:tcPr>
          <w:p w14:paraId="54BF3FD6" w14:textId="77777777" w:rsidR="00D007CE" w:rsidRPr="006A6807" w:rsidRDefault="00A249E2">
            <w:pPr>
              <w:spacing w:before="0" w:after="0"/>
              <w:jc w:val="center"/>
              <w:rPr>
                <w:sz w:val="14"/>
              </w:rPr>
            </w:pPr>
            <w:r w:rsidRPr="006A6807">
              <w:rPr>
                <w:rFonts w:ascii="宋体" w:eastAsia="宋体" w:hAnsi="宋体"/>
                <w:sz w:val="14"/>
              </w:rPr>
              <w:t>评分口径</w:t>
            </w:r>
          </w:p>
        </w:tc>
        <w:tc>
          <w:tcPr>
            <w:tcW w:w="344" w:type="pct"/>
            <w:vAlign w:val="center"/>
          </w:tcPr>
          <w:p w14:paraId="4800CA4F" w14:textId="77777777" w:rsidR="00D007CE" w:rsidRPr="006A6807" w:rsidRDefault="00A249E2">
            <w:pPr>
              <w:spacing w:before="0" w:after="0"/>
              <w:jc w:val="center"/>
              <w:rPr>
                <w:sz w:val="14"/>
              </w:rPr>
            </w:pPr>
            <w:r w:rsidRPr="006A6807">
              <w:rPr>
                <w:rFonts w:ascii="宋体" w:eastAsia="宋体" w:hAnsi="宋体"/>
                <w:sz w:val="14"/>
              </w:rPr>
              <w:t>资源回收评分权重</w:t>
            </w:r>
          </w:p>
        </w:tc>
        <w:tc>
          <w:tcPr>
            <w:tcW w:w="912" w:type="pct"/>
            <w:vAlign w:val="center"/>
          </w:tcPr>
          <w:p w14:paraId="615E232C" w14:textId="77777777" w:rsidR="00D007CE" w:rsidRPr="006A6807" w:rsidRDefault="00A249E2">
            <w:pPr>
              <w:spacing w:before="0" w:after="0"/>
              <w:jc w:val="center"/>
              <w:rPr>
                <w:sz w:val="14"/>
              </w:rPr>
            </w:pPr>
            <w:proofErr w:type="spellStart"/>
            <w:r w:rsidRPr="006A6807">
              <w:rPr>
                <w:rFonts w:ascii="宋体" w:eastAsia="宋体" w:hAnsi="宋体"/>
                <w:sz w:val="14"/>
              </w:rPr>
              <w:t>w_t</w:t>
            </w:r>
            <w:proofErr w:type="spellEnd"/>
            <w:r w:rsidRPr="006A6807">
              <w:rPr>
                <w:rFonts w:ascii="宋体" w:eastAsia="宋体" w:hAnsi="宋体"/>
                <w:sz w:val="14"/>
              </w:rPr>
              <w:t>/</w:t>
            </w:r>
            <w:proofErr w:type="spellStart"/>
            <w:r w:rsidRPr="006A6807">
              <w:rPr>
                <w:rFonts w:ascii="宋体" w:eastAsia="宋体" w:hAnsi="宋体"/>
                <w:sz w:val="14"/>
              </w:rPr>
              <w:t>w_c</w:t>
            </w:r>
            <w:proofErr w:type="spellEnd"/>
            <w:r w:rsidRPr="006A6807">
              <w:rPr>
                <w:rFonts w:ascii="宋体" w:eastAsia="宋体" w:hAnsi="宋体"/>
                <w:sz w:val="14"/>
              </w:rPr>
              <w:t>/</w:t>
            </w:r>
            <w:proofErr w:type="spellStart"/>
            <w:r w:rsidRPr="006A6807">
              <w:rPr>
                <w:rFonts w:ascii="宋体" w:eastAsia="宋体" w:hAnsi="宋体"/>
                <w:sz w:val="14"/>
              </w:rPr>
              <w:t>w_e</w:t>
            </w:r>
            <w:proofErr w:type="spellEnd"/>
          </w:p>
        </w:tc>
        <w:tc>
          <w:tcPr>
            <w:tcW w:w="948" w:type="pct"/>
            <w:vAlign w:val="center"/>
          </w:tcPr>
          <w:p w14:paraId="73782D17" w14:textId="77777777" w:rsidR="00D007CE" w:rsidRPr="006A6807" w:rsidRDefault="00A249E2">
            <w:pPr>
              <w:spacing w:before="0" w:after="0"/>
              <w:jc w:val="center"/>
              <w:rPr>
                <w:sz w:val="14"/>
              </w:rPr>
            </w:pPr>
            <w:r w:rsidRPr="006A6807">
              <w:rPr>
                <w:rFonts w:ascii="宋体" w:eastAsia="宋体" w:hAnsi="宋体"/>
                <w:sz w:val="14"/>
              </w:rPr>
              <w:t>0.55/0.30/0.15</w:t>
            </w:r>
          </w:p>
        </w:tc>
        <w:tc>
          <w:tcPr>
            <w:tcW w:w="272" w:type="pct"/>
            <w:vAlign w:val="center"/>
          </w:tcPr>
          <w:p w14:paraId="6466D0F3"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576AF562" w14:textId="77777777" w:rsidR="00D007CE" w:rsidRPr="006A6807" w:rsidRDefault="00A249E2">
            <w:pPr>
              <w:spacing w:before="0" w:after="0"/>
              <w:jc w:val="center"/>
              <w:rPr>
                <w:sz w:val="14"/>
              </w:rPr>
            </w:pPr>
            <w:r w:rsidRPr="006A6807">
              <w:rPr>
                <w:rFonts w:ascii="宋体" w:eastAsia="宋体" w:hAnsi="宋体"/>
                <w:sz w:val="14"/>
              </w:rPr>
              <w:t>吨煤量/覆盖率/工程组织；用于资源回收分项评分</w:t>
            </w:r>
          </w:p>
        </w:tc>
        <w:tc>
          <w:tcPr>
            <w:tcW w:w="1837" w:type="pct"/>
            <w:vAlign w:val="center"/>
          </w:tcPr>
          <w:p w14:paraId="3D549B26" w14:textId="77777777" w:rsidR="00D007CE" w:rsidRPr="006A6807" w:rsidRDefault="00A249E2">
            <w:pPr>
              <w:spacing w:before="0" w:after="0"/>
              <w:jc w:val="center"/>
              <w:rPr>
                <w:sz w:val="14"/>
              </w:rPr>
            </w:pPr>
            <w:proofErr w:type="spellStart"/>
            <w:r w:rsidRPr="006A6807">
              <w:rPr>
                <w:rFonts w:ascii="宋体" w:eastAsia="宋体" w:hAnsi="宋体"/>
                <w:sz w:val="14"/>
              </w:rPr>
              <w:t>planningResults</w:t>
            </w:r>
            <w:proofErr w:type="spellEnd"/>
          </w:p>
        </w:tc>
      </w:tr>
      <w:tr w:rsidR="00D007CE" w:rsidRPr="006A6807" w14:paraId="481166C6" w14:textId="77777777" w:rsidTr="006A6807">
        <w:trPr>
          <w:jc w:val="center"/>
        </w:trPr>
        <w:tc>
          <w:tcPr>
            <w:tcW w:w="273" w:type="pct"/>
            <w:tcBorders>
              <w:bottom w:val="single" w:sz="8" w:space="0" w:color="000000"/>
            </w:tcBorders>
            <w:vAlign w:val="center"/>
          </w:tcPr>
          <w:p w14:paraId="760FEA36" w14:textId="77777777" w:rsidR="00D007CE" w:rsidRPr="006A6807" w:rsidRDefault="00A249E2">
            <w:pPr>
              <w:spacing w:before="0" w:after="0"/>
              <w:rPr>
                <w:sz w:val="14"/>
              </w:rPr>
            </w:pPr>
            <w:r w:rsidRPr="006A6807">
              <w:rPr>
                <w:sz w:val="14"/>
              </w:rPr>
              <w:t>候选集合</w:t>
            </w:r>
          </w:p>
        </w:tc>
        <w:tc>
          <w:tcPr>
            <w:tcW w:w="344" w:type="pct"/>
            <w:tcBorders>
              <w:bottom w:val="single" w:sz="8" w:space="0" w:color="000000"/>
            </w:tcBorders>
            <w:vAlign w:val="center"/>
          </w:tcPr>
          <w:p w14:paraId="5B991506" w14:textId="77777777" w:rsidR="00D007CE" w:rsidRPr="006A6807" w:rsidRDefault="00A249E2">
            <w:pPr>
              <w:spacing w:before="0" w:after="0"/>
              <w:rPr>
                <w:sz w:val="14"/>
              </w:rPr>
            </w:pPr>
            <w:r w:rsidRPr="006A6807">
              <w:rPr>
                <w:sz w:val="14"/>
              </w:rPr>
              <w:t>模式有效候选数</w:t>
            </w:r>
          </w:p>
        </w:tc>
        <w:tc>
          <w:tcPr>
            <w:tcW w:w="912" w:type="pct"/>
            <w:tcBorders>
              <w:bottom w:val="single" w:sz="8" w:space="0" w:color="000000"/>
            </w:tcBorders>
            <w:vAlign w:val="center"/>
          </w:tcPr>
          <w:p w14:paraId="1AC86751" w14:textId="77777777" w:rsidR="00D007CE" w:rsidRPr="006A6807" w:rsidRDefault="00A249E2">
            <w:pPr>
              <w:spacing w:before="0" w:after="0"/>
              <w:rPr>
                <w:sz w:val="14"/>
              </w:rPr>
            </w:pPr>
            <w:proofErr w:type="spellStart"/>
            <w:r w:rsidRPr="006A6807">
              <w:rPr>
                <w:sz w:val="14"/>
              </w:rPr>
              <w:t>N_e</w:t>
            </w:r>
            <w:proofErr w:type="spellEnd"/>
            <w:r w:rsidRPr="006A6807">
              <w:rPr>
                <w:sz w:val="14"/>
              </w:rPr>
              <w:t>/</w:t>
            </w:r>
            <w:proofErr w:type="spellStart"/>
            <w:r w:rsidRPr="006A6807">
              <w:rPr>
                <w:sz w:val="14"/>
              </w:rPr>
              <w:t>N_r</w:t>
            </w:r>
            <w:proofErr w:type="spellEnd"/>
            <w:r w:rsidRPr="006A6807">
              <w:rPr>
                <w:sz w:val="14"/>
              </w:rPr>
              <w:t>/</w:t>
            </w:r>
            <w:proofErr w:type="spellStart"/>
            <w:r w:rsidRPr="006A6807">
              <w:rPr>
                <w:sz w:val="14"/>
              </w:rPr>
              <w:t>N_m</w:t>
            </w:r>
            <w:proofErr w:type="spellEnd"/>
          </w:p>
        </w:tc>
        <w:tc>
          <w:tcPr>
            <w:tcW w:w="948" w:type="pct"/>
            <w:tcBorders>
              <w:bottom w:val="single" w:sz="8" w:space="0" w:color="000000"/>
            </w:tcBorders>
            <w:vAlign w:val="center"/>
          </w:tcPr>
          <w:p w14:paraId="153043A1" w14:textId="77777777" w:rsidR="00D007CE" w:rsidRPr="006A6807" w:rsidRDefault="00A249E2">
            <w:pPr>
              <w:spacing w:before="0" w:after="0"/>
              <w:rPr>
                <w:sz w:val="14"/>
              </w:rPr>
            </w:pPr>
            <w:r w:rsidRPr="006A6807">
              <w:rPr>
                <w:sz w:val="14"/>
              </w:rPr>
              <w:t>2417/1149/374</w:t>
            </w:r>
            <w:r w:rsidRPr="006A6807">
              <w:rPr>
                <w:sz w:val="14"/>
              </w:rPr>
              <w:t>（扰动合格</w:t>
            </w:r>
            <w:r w:rsidRPr="006A6807">
              <w:rPr>
                <w:sz w:val="14"/>
              </w:rPr>
              <w:t>88</w:t>
            </w:r>
            <w:r w:rsidRPr="006A6807">
              <w:rPr>
                <w:sz w:val="14"/>
              </w:rPr>
              <w:t>）</w:t>
            </w:r>
          </w:p>
        </w:tc>
        <w:tc>
          <w:tcPr>
            <w:tcW w:w="272" w:type="pct"/>
            <w:tcBorders>
              <w:bottom w:val="single" w:sz="8" w:space="0" w:color="000000"/>
            </w:tcBorders>
            <w:vAlign w:val="center"/>
          </w:tcPr>
          <w:p w14:paraId="779F299D" w14:textId="77777777" w:rsidR="00D007CE" w:rsidRPr="006A6807" w:rsidRDefault="00A249E2">
            <w:pPr>
              <w:spacing w:before="0" w:after="0"/>
              <w:rPr>
                <w:sz w:val="14"/>
              </w:rPr>
            </w:pPr>
            <w:proofErr w:type="gramStart"/>
            <w:r w:rsidRPr="006A6807">
              <w:rPr>
                <w:sz w:val="14"/>
              </w:rPr>
              <w:t>个</w:t>
            </w:r>
            <w:proofErr w:type="gramEnd"/>
          </w:p>
        </w:tc>
        <w:tc>
          <w:tcPr>
            <w:tcW w:w="413" w:type="pct"/>
            <w:tcBorders>
              <w:bottom w:val="single" w:sz="8" w:space="0" w:color="000000"/>
            </w:tcBorders>
            <w:vAlign w:val="center"/>
          </w:tcPr>
          <w:p w14:paraId="300C59BB" w14:textId="77777777" w:rsidR="00D007CE" w:rsidRPr="006A6807" w:rsidRDefault="00A249E2">
            <w:pPr>
              <w:spacing w:before="0" w:after="0"/>
              <w:rPr>
                <w:sz w:val="14"/>
              </w:rPr>
            </w:pPr>
            <w:r w:rsidRPr="006A6807">
              <w:rPr>
                <w:sz w:val="14"/>
              </w:rPr>
              <w:t>统一基础输入下工程效率</w:t>
            </w:r>
            <w:r w:rsidRPr="006A6807">
              <w:rPr>
                <w:sz w:val="14"/>
              </w:rPr>
              <w:t>/</w:t>
            </w:r>
            <w:r w:rsidRPr="006A6807">
              <w:rPr>
                <w:sz w:val="14"/>
              </w:rPr>
              <w:t>资源回收</w:t>
            </w:r>
            <w:r w:rsidRPr="006A6807">
              <w:rPr>
                <w:sz w:val="14"/>
              </w:rPr>
              <w:t>/</w:t>
            </w:r>
            <w:r w:rsidRPr="006A6807">
              <w:rPr>
                <w:sz w:val="14"/>
              </w:rPr>
              <w:t>扰动控制偏好筛选后的有效候选记录</w:t>
            </w:r>
          </w:p>
        </w:tc>
        <w:tc>
          <w:tcPr>
            <w:tcW w:w="1837" w:type="pct"/>
            <w:tcBorders>
              <w:bottom w:val="single" w:sz="8" w:space="0" w:color="000000"/>
            </w:tcBorders>
            <w:vAlign w:val="center"/>
          </w:tcPr>
          <w:p w14:paraId="64DB31C6" w14:textId="77777777" w:rsidR="00D007CE" w:rsidRPr="006A6807" w:rsidRDefault="00A249E2">
            <w:pPr>
              <w:spacing w:before="0" w:after="0"/>
              <w:rPr>
                <w:sz w:val="14"/>
              </w:rPr>
            </w:pPr>
            <w:proofErr w:type="spellStart"/>
            <w:r w:rsidRPr="006A6807">
              <w:rPr>
                <w:sz w:val="14"/>
              </w:rPr>
              <w:t>planningResults</w:t>
            </w:r>
            <w:proofErr w:type="spellEnd"/>
          </w:p>
        </w:tc>
      </w:tr>
      <w:tr w:rsidR="00390073" w14:paraId="6926B656" w14:textId="77777777">
        <w:trPr>
          <w:jc w:val="center"/>
        </w:trPr>
        <w:tc>
          <w:tcPr>
            <w:tcW w:w="528" w:type="dxa"/>
          </w:tcPr>
          <w:p w14:paraId="5EA09EB5" w14:textId="77777777" w:rsidR="00390073" w:rsidRDefault="00000000">
            <w:r>
              <w:t>候选集合</w:t>
            </w:r>
          </w:p>
        </w:tc>
        <w:tc>
          <w:tcPr>
            <w:tcW w:w="665" w:type="dxa"/>
          </w:tcPr>
          <w:p w14:paraId="52F56B5B" w14:textId="77777777" w:rsidR="00390073" w:rsidRDefault="00000000">
            <w:r>
              <w:t>统一候选集合</w:t>
            </w:r>
          </w:p>
        </w:tc>
        <w:tc>
          <w:tcPr>
            <w:tcW w:w="1763" w:type="dxa"/>
          </w:tcPr>
          <w:p w14:paraId="2C246797" w14:textId="77777777" w:rsidR="00390073" w:rsidRDefault="00000000">
            <w:proofErr w:type="spellStart"/>
            <w:r>
              <w:t>Π_all</w:t>
            </w:r>
            <w:proofErr w:type="spellEnd"/>
          </w:p>
        </w:tc>
        <w:tc>
          <w:tcPr>
            <w:tcW w:w="1831" w:type="dxa"/>
          </w:tcPr>
          <w:p w14:paraId="0BA6C40E" w14:textId="77777777" w:rsidR="00390073" w:rsidRDefault="00000000">
            <w:proofErr w:type="spellStart"/>
            <w:r>
              <w:t>Π_e∪Π_r∪Π_m</w:t>
            </w:r>
            <w:proofErr w:type="spellEnd"/>
          </w:p>
        </w:tc>
        <w:tc>
          <w:tcPr>
            <w:tcW w:w="525" w:type="dxa"/>
          </w:tcPr>
          <w:p w14:paraId="17BC0968" w14:textId="77777777" w:rsidR="00390073" w:rsidRDefault="00000000">
            <w:r>
              <w:t>—</w:t>
            </w:r>
          </w:p>
        </w:tc>
        <w:tc>
          <w:tcPr>
            <w:tcW w:w="798" w:type="dxa"/>
          </w:tcPr>
          <w:p w14:paraId="23C196BA" w14:textId="77777777" w:rsidR="00390073" w:rsidRDefault="00000000">
            <w:r>
              <w:t>统一输入、几何底线约束和</w:t>
            </w:r>
            <w:r>
              <w:t>ODI</w:t>
            </w:r>
            <w:r>
              <w:t>场下</w:t>
            </w:r>
            <w:r>
              <w:lastRenderedPageBreak/>
              <w:t>的模式候选集合并入口径</w:t>
            </w:r>
          </w:p>
        </w:tc>
        <w:tc>
          <w:tcPr>
            <w:tcW w:w="3548" w:type="dxa"/>
          </w:tcPr>
          <w:p w14:paraId="54C01D09" w14:textId="77777777" w:rsidR="00390073" w:rsidRDefault="00000000">
            <w:proofErr w:type="spellStart"/>
            <w:r>
              <w:lastRenderedPageBreak/>
              <w:t>planningResults</w:t>
            </w:r>
            <w:proofErr w:type="spellEnd"/>
          </w:p>
        </w:tc>
      </w:tr>
    </w:tbl>
    <w:p w14:paraId="0D2DF9CE" w14:textId="77777777" w:rsidR="00A046E0" w:rsidRPr="00801D65" w:rsidRDefault="00A046E0">
      <w:pPr>
        <w:spacing w:after="40"/>
        <w:ind w:firstLine="420"/>
      </w:pPr>
    </w:p>
    <w:p w14:paraId="37D51147" w14:textId="77777777" w:rsidR="007E22B6" w:rsidRDefault="00A249E2" w:rsidP="00A046E0">
      <w:pPr>
        <w:pStyle w:val="12"/>
      </w:pPr>
      <w:r>
        <w:rPr>
          <w:rFonts w:ascii="宋体" w:eastAsia="宋体" w:hAnsi="宋体"/>
          <w:sz w:val="21"/>
        </w:rPr>
        <w:t>2.2 连续</w:t>
      </w:r>
      <w:proofErr w:type="gramStart"/>
      <w:r>
        <w:rPr>
          <w:rFonts w:ascii="宋体" w:eastAsia="宋体" w:hAnsi="宋体"/>
          <w:sz w:val="21"/>
        </w:rPr>
        <w:t>参数场</w:t>
      </w:r>
      <w:proofErr w:type="gramEnd"/>
      <w:r>
        <w:rPr>
          <w:rFonts w:ascii="宋体" w:eastAsia="宋体" w:hAnsi="宋体"/>
          <w:sz w:val="21"/>
        </w:rPr>
        <w:t>构建结果及</w:t>
      </w:r>
      <w:proofErr w:type="gramStart"/>
      <w:r>
        <w:rPr>
          <w:rFonts w:ascii="宋体" w:eastAsia="宋体" w:hAnsi="宋体"/>
          <w:sz w:val="21"/>
        </w:rPr>
        <w:t>煤厚场</w:t>
      </w:r>
      <w:proofErr w:type="gramEnd"/>
      <w:r>
        <w:rPr>
          <w:rFonts w:ascii="宋体" w:eastAsia="宋体" w:hAnsi="宋体"/>
          <w:sz w:val="21"/>
        </w:rPr>
        <w:t>示例</w:t>
      </w:r>
    </w:p>
    <w:p w14:paraId="0404A88A" w14:textId="77777777" w:rsidR="00801D65" w:rsidRPr="00801D65" w:rsidRDefault="00801D65" w:rsidP="00801D65">
      <w:pPr>
        <w:pStyle w:val="10"/>
        <w:spacing w:after="40"/>
        <w:ind w:firstLine="420"/>
        <w:rPr>
          <w:rFonts w:ascii="宋体" w:hAnsi="宋体"/>
        </w:rPr>
      </w:pPr>
      <w:r>
        <w:t>采区规划首先需将离散地质信息转化为连续规划约束。研究区</w:t>
      </w:r>
      <w:r>
        <w:t>15</w:t>
      </w:r>
      <w:r>
        <w:t>个钻孔样点提供煤层厚度、岩石硬度、瓦斯含量和涌水量等离散属性；经空间插值和边界裁剪后，点状信息被转换为可与规划域、</w:t>
      </w:r>
      <w:r>
        <w:t>ODI</w:t>
      </w:r>
      <w:proofErr w:type="gramStart"/>
      <w:r>
        <w:t>风险场</w:t>
      </w:r>
      <w:proofErr w:type="gramEnd"/>
      <w:r>
        <w:t>和工作面布局叠加分析的连续参数场。该处理思路与透明工作面、智能精准开采地质模型和采煤工作面三维模型动态修正研究强调的多源地</w:t>
      </w:r>
      <w:proofErr w:type="gramStart"/>
      <w:r>
        <w:t>质信息</w:t>
      </w:r>
      <w:proofErr w:type="gramEnd"/>
      <w:r>
        <w:t>统一表达一致</w:t>
      </w:r>
      <w:r>
        <w:t>[30-32]</w:t>
      </w:r>
      <w:r>
        <w:t>。</w:t>
      </w:r>
    </w:p>
    <w:p w14:paraId="41C25E25" w14:textId="77777777" w:rsidR="00801D65" w:rsidRPr="00801D65" w:rsidRDefault="00801D65" w:rsidP="00801D65">
      <w:pPr>
        <w:pStyle w:val="10"/>
        <w:spacing w:after="40"/>
        <w:ind w:firstLine="420"/>
        <w:rPr>
          <w:rFonts w:ascii="宋体" w:hAnsi="宋体"/>
        </w:rPr>
      </w:pPr>
      <w:r>
        <w:t>本文结果</w:t>
      </w:r>
      <w:proofErr w:type="gramStart"/>
      <w:r>
        <w:t>图重点</w:t>
      </w:r>
      <w:proofErr w:type="gramEnd"/>
      <w:r>
        <w:t>展示煤层厚度场，原因是</w:t>
      </w:r>
      <w:proofErr w:type="gramStart"/>
      <w:r>
        <w:t>煤厚直接</w:t>
      </w:r>
      <w:proofErr w:type="gramEnd"/>
      <w:r>
        <w:t>参与资源覆盖和工作面布置评价，且样点统计口径已完成复核；岩石硬度、瓦斯含量和涌水量等属性在</w:t>
      </w:r>
      <w:proofErr w:type="gramStart"/>
      <w:r>
        <w:t>当前样</w:t>
      </w:r>
      <w:proofErr w:type="gramEnd"/>
      <w:r>
        <w:t>例中作为可扩展输入保留，尚未展开为独立评价图层。因此，本文不将单一</w:t>
      </w:r>
      <w:proofErr w:type="gramStart"/>
      <w:r>
        <w:t>煤厚场</w:t>
      </w:r>
      <w:proofErr w:type="gramEnd"/>
      <w:r>
        <w:t>外推为完整地质建模成果，而将其作为离散钻孔信息进入规划链路的示范性参数场。</w:t>
      </w:r>
    </w:p>
    <w:p w14:paraId="58A28B21"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6EC05B16" w14:textId="77777777" w:rsidR="00195275" w:rsidRDefault="00A249E2">
      <w:pPr>
        <w:pStyle w:val="14"/>
      </w:pPr>
      <w:r>
        <w:t>图</w:t>
      </w:r>
      <w:r>
        <w:t xml:space="preserve">3 </w:t>
      </w:r>
      <w:r>
        <w:t>研究区主要地质</w:t>
      </w:r>
      <w:proofErr w:type="gramStart"/>
      <w:r>
        <w:t>参数场</w:t>
      </w:r>
      <w:proofErr w:type="gramEnd"/>
      <w:r>
        <w:t>分布图</w:t>
      </w:r>
      <w:r>
        <w:br/>
        <w:t>Fig.3 Distribution of main geological parameter fields in the study area</w:t>
      </w:r>
    </w:p>
    <w:p w14:paraId="64733C9F" w14:textId="77777777" w:rsidR="00801D65" w:rsidRPr="00801D65" w:rsidRDefault="00801D65" w:rsidP="00801D65">
      <w:pPr>
        <w:pStyle w:val="10"/>
        <w:spacing w:after="40"/>
        <w:ind w:firstLine="420"/>
        <w:rPr>
          <w:rFonts w:ascii="宋体" w:hAnsi="宋体"/>
        </w:rPr>
      </w:pPr>
      <w:r>
        <w:rPr>
          <w:rFonts w:ascii="宋体" w:eastAsia="宋体" w:hAnsi="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33E993AD" w14:textId="77777777" w:rsidR="00801D65" w:rsidRPr="00801D65" w:rsidRDefault="00801D65" w:rsidP="00801D65">
      <w:pPr>
        <w:pStyle w:val="10"/>
        <w:spacing w:after="40"/>
        <w:ind w:firstLine="420"/>
        <w:rPr>
          <w:rFonts w:ascii="宋体" w:hAnsi="宋体"/>
        </w:rPr>
      </w:pPr>
      <w:r>
        <w:rPr>
          <w:rFonts w:ascii="宋体" w:eastAsia="宋体" w:hAnsi="宋体"/>
        </w:rPr>
        <w:t>对于采区规划而言，厚度较高区域在资源覆盖和回收价值评价中具有更高吸引力，而厚度较低区域更适合作为边界调整、煤柱保留或低优先级布置区域。因此，连续</w:t>
      </w:r>
      <w:proofErr w:type="gramStart"/>
      <w:r>
        <w:rPr>
          <w:rFonts w:ascii="宋体" w:eastAsia="宋体" w:hAnsi="宋体"/>
        </w:rPr>
        <w:t>参数场</w:t>
      </w:r>
      <w:proofErr w:type="gramEnd"/>
      <w:r>
        <w:rPr>
          <w:rFonts w:ascii="宋体" w:eastAsia="宋体" w:hAnsi="宋体"/>
        </w:rPr>
        <w:t>不是单纯的地质展示图，而是后续工作面排序、覆盖率统计和风险叠加分析的基础底图。</w:t>
      </w:r>
    </w:p>
    <w:p w14:paraId="22D32D9D" w14:textId="77777777" w:rsidR="00801D65" w:rsidRPr="00801D65" w:rsidRDefault="00801D65" w:rsidP="00801D65">
      <w:pPr>
        <w:pStyle w:val="10"/>
        <w:spacing w:after="40"/>
        <w:ind w:firstLine="420"/>
        <w:rPr>
          <w:rFonts w:ascii="宋体" w:hAnsi="宋体"/>
        </w:rPr>
      </w:pPr>
      <w:r>
        <w:rPr>
          <w:rFonts w:ascii="宋体" w:eastAsia="宋体" w:hAnsi="宋体"/>
        </w:rPr>
        <w:t>需要强调的是，本文并不试图在该部分证明某种复杂地质建模算法的优越性，而是强调连续</w:t>
      </w:r>
      <w:proofErr w:type="gramStart"/>
      <w:r>
        <w:rPr>
          <w:rFonts w:ascii="宋体" w:eastAsia="宋体" w:hAnsi="宋体"/>
        </w:rPr>
        <w:t>参数场</w:t>
      </w:r>
      <w:proofErr w:type="gramEnd"/>
      <w:r>
        <w:rPr>
          <w:rFonts w:ascii="宋体" w:eastAsia="宋体" w:hAnsi="宋体"/>
        </w:rPr>
        <w:t>在采区规划链路中的工程作用：它使离散钻孔信息能够以统一空间参照参与工作面生成、ODI风险计算和</w:t>
      </w:r>
      <w:proofErr w:type="gramStart"/>
      <w:r>
        <w:rPr>
          <w:rFonts w:ascii="宋体" w:eastAsia="宋体" w:hAnsi="宋体"/>
        </w:rPr>
        <w:lastRenderedPageBreak/>
        <w:t>方案级统计</w:t>
      </w:r>
      <w:proofErr w:type="gramEnd"/>
      <w:r>
        <w:rPr>
          <w:rFonts w:ascii="宋体" w:eastAsia="宋体" w:hAnsi="宋体"/>
        </w:rPr>
        <w:t>。</w:t>
      </w:r>
    </w:p>
    <w:p w14:paraId="1A89AABE" w14:textId="77777777" w:rsidR="007E22B6" w:rsidRDefault="00801D65" w:rsidP="00801D65">
      <w:pPr>
        <w:pStyle w:val="10"/>
        <w:spacing w:after="40"/>
        <w:ind w:firstLine="420"/>
      </w:pPr>
      <w:r>
        <w:rPr>
          <w:rFonts w:ascii="宋体" w:eastAsia="宋体" w:hAnsi="宋体"/>
        </w:rPr>
        <w:t>此外，</w:t>
      </w:r>
      <w:proofErr w:type="gramStart"/>
      <w:r>
        <w:rPr>
          <w:rFonts w:ascii="宋体" w:eastAsia="宋体" w:hAnsi="宋体"/>
        </w:rPr>
        <w:t>参数场</w:t>
      </w:r>
      <w:proofErr w:type="gramEnd"/>
      <w:r>
        <w:rPr>
          <w:rFonts w:ascii="宋体" w:eastAsia="宋体" w:hAnsi="宋体"/>
        </w:rPr>
        <w:t>还为ODI风险表征提供了空间载体。由于多场景风险需要在同一边界、同一坐标和同一网格上进行叠加，参数场、</w:t>
      </w:r>
      <w:proofErr w:type="gramStart"/>
      <w:r>
        <w:rPr>
          <w:rFonts w:ascii="宋体" w:eastAsia="宋体" w:hAnsi="宋体"/>
        </w:rPr>
        <w:t>风险场</w:t>
      </w:r>
      <w:proofErr w:type="gramEnd"/>
      <w:r>
        <w:rPr>
          <w:rFonts w:ascii="宋体" w:eastAsia="宋体" w:hAnsi="宋体"/>
        </w:rPr>
        <w:t>和规划对象之间的一致性直接决定了后续结果是否可比较、可传递和</w:t>
      </w:r>
      <w:proofErr w:type="gramStart"/>
      <w:r>
        <w:rPr>
          <w:rFonts w:ascii="宋体" w:eastAsia="宋体" w:hAnsi="宋体"/>
        </w:rPr>
        <w:t>可</w:t>
      </w:r>
      <w:proofErr w:type="gramEnd"/>
      <w:r>
        <w:rPr>
          <w:rFonts w:ascii="宋体" w:eastAsia="宋体" w:hAnsi="宋体"/>
        </w:rPr>
        <w:t>复核。</w:t>
      </w:r>
    </w:p>
    <w:p w14:paraId="2E67F22C" w14:textId="77777777" w:rsidR="007E22B6" w:rsidRDefault="007E22B6"/>
    <w:p w14:paraId="64C24FD5" w14:textId="77777777" w:rsidR="007E22B6" w:rsidRDefault="00A249E2" w:rsidP="00A046E0">
      <w:pPr>
        <w:pStyle w:val="12"/>
      </w:pPr>
      <w:r>
        <w:rPr>
          <w:rFonts w:ascii="宋体" w:eastAsia="宋体" w:hAnsi="宋体"/>
          <w:sz w:val="21"/>
        </w:rPr>
        <w:t>2.3 多场景 ODI 风险表征结果</w:t>
      </w:r>
    </w:p>
    <w:p w14:paraId="0D7D9405" w14:textId="77777777" w:rsidR="00801D65" w:rsidRPr="00801D65" w:rsidRDefault="00801D65" w:rsidP="00801D65">
      <w:pPr>
        <w:pStyle w:val="10"/>
        <w:spacing w:after="40"/>
        <w:ind w:firstLine="420"/>
        <w:rPr>
          <w:rFonts w:ascii="宋体" w:hAnsi="宋体"/>
        </w:rPr>
      </w:pPr>
      <w:r>
        <w:t>采区规划风险约束通常表现为地表沉陷、含水层扰动、导水裂隙带发育和上行开采等多</w:t>
      </w:r>
      <w:proofErr w:type="gramStart"/>
      <w:r>
        <w:t>场景覆岩扰动</w:t>
      </w:r>
      <w:proofErr w:type="gramEnd"/>
      <w:r>
        <w:t>的综合影响。关键层位置、导水裂隙主通道、非充分采动、顶板水害防控和保</w:t>
      </w:r>
      <w:proofErr w:type="gramStart"/>
      <w:r>
        <w:t>水采</w:t>
      </w:r>
      <w:proofErr w:type="gramEnd"/>
      <w:r>
        <w:t>煤等研究表明，</w:t>
      </w:r>
      <w:proofErr w:type="gramStart"/>
      <w:r>
        <w:t>覆岩破坏</w:t>
      </w:r>
      <w:proofErr w:type="gramEnd"/>
      <w:r>
        <w:t>与含水层受扰需结合岩层结构、采高、工作面尺度、含水层富水性和导水通道共同判读</w:t>
      </w:r>
      <w:r>
        <w:t>[22-25,33-37,39-41,45,48-50]</w:t>
      </w:r>
      <w:r>
        <w:t>。若各场景以独立判据参与规划，容易造成尺度不统一和结果难复用。本文引入</w:t>
      </w:r>
      <w:r>
        <w:t>ODI</w:t>
      </w:r>
      <w:r>
        <w:t>作为统一风险组织口径，以支撑多场景风险在同一规划框架中的表达、比较与传递。</w:t>
      </w:r>
    </w:p>
    <w:p w14:paraId="25A43E0A" w14:textId="77777777" w:rsidR="00801D65" w:rsidRPr="00801D65" w:rsidRDefault="00801D65" w:rsidP="00801D65">
      <w:pPr>
        <w:pStyle w:val="10"/>
        <w:spacing w:after="40"/>
        <w:ind w:firstLine="420"/>
        <w:rPr>
          <w:rFonts w:ascii="宋体" w:hAnsi="宋体"/>
        </w:rPr>
      </w:pPr>
      <w:r>
        <w:t>从研究区样例结果看，多场景</w:t>
      </w:r>
      <w:r>
        <w:t>ODI</w:t>
      </w:r>
      <w:r>
        <w:t>结果能够在同一研究区边界、钻孔参照和色标口径下表达。本轮复核确认，综合</w:t>
      </w:r>
      <w:r>
        <w:t>ODI</w:t>
      </w:r>
      <w:r>
        <w:t>场采用</w:t>
      </w:r>
      <w:r>
        <w:t>80×56</w:t>
      </w:r>
      <w:r>
        <w:t>网格，共</w:t>
      </w:r>
      <w:r>
        <w:t>4480</w:t>
      </w:r>
      <w:r>
        <w:t>个栅格；归一化后</w:t>
      </w:r>
      <w:r>
        <w:t>ODI</w:t>
      </w:r>
      <w:r>
        <w:t>均值为</w:t>
      </w:r>
      <w:r>
        <w:t>0.4669</w:t>
      </w:r>
      <w:r>
        <w:t>，中位数为</w:t>
      </w:r>
      <w:r>
        <w:t>0.4542</w:t>
      </w:r>
      <w:r>
        <w:t>，</w:t>
      </w:r>
      <w:r>
        <w:t>P90</w:t>
      </w:r>
      <w:r>
        <w:t>为</w:t>
      </w:r>
      <w:r>
        <w:t>0.7474</w:t>
      </w:r>
      <w:r>
        <w:t>；其中</w:t>
      </w:r>
      <w:r>
        <w:t>ODI&gt;0.70</w:t>
      </w:r>
      <w:r>
        <w:t>的栅格占</w:t>
      </w:r>
      <w:r>
        <w:t>15.89%</w:t>
      </w:r>
      <w:r>
        <w:t>，</w:t>
      </w:r>
      <w:r>
        <w:t>ODI&gt;0.80</w:t>
      </w:r>
      <w:r>
        <w:t>的栅格占</w:t>
      </w:r>
      <w:r>
        <w:t>3.55%</w:t>
      </w:r>
      <w:r>
        <w:t>。上述结果表明，风险信息已由概念性指标转化为可计算、可统计并可进入规划比选的空间场。</w:t>
      </w:r>
    </w:p>
    <w:p w14:paraId="28ECBE48"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1D4C8FEC" w14:textId="77777777" w:rsidR="00195275" w:rsidRDefault="00A249E2">
      <w:pPr>
        <w:pStyle w:val="14"/>
      </w:pPr>
      <w:r>
        <w:t>图</w:t>
      </w:r>
      <w:r>
        <w:t xml:space="preserve">4 </w:t>
      </w:r>
      <w:r>
        <w:t>多场景</w:t>
      </w:r>
      <w:r>
        <w:t>ODI</w:t>
      </w:r>
      <w:r>
        <w:t>分布结果对比图</w:t>
      </w:r>
      <w:r>
        <w:br/>
        <w:t>Fig.4 Comparison of multi-scenario ODI distribution results</w:t>
      </w:r>
    </w:p>
    <w:p w14:paraId="1D3A1A51" w14:textId="77777777" w:rsidR="00801D65" w:rsidRPr="00801D65" w:rsidRDefault="00801D65" w:rsidP="00801D65">
      <w:pPr>
        <w:pStyle w:val="10"/>
        <w:spacing w:after="40"/>
        <w:ind w:firstLine="420"/>
        <w:rPr>
          <w:rFonts w:ascii="宋体" w:hAnsi="宋体"/>
        </w:rPr>
      </w:pPr>
      <w:r>
        <w:t>不同场景的</w:t>
      </w:r>
      <w:r>
        <w:t>ODI</w:t>
      </w:r>
      <w:r>
        <w:t>高值区并不完全重合。地表沉陷场景</w:t>
      </w:r>
      <w:proofErr w:type="gramStart"/>
      <w:r>
        <w:t>偏重采动地表</w:t>
      </w:r>
      <w:proofErr w:type="gramEnd"/>
      <w:r>
        <w:t>影响范围，含水层扰动场景强调导水裂隙带和含水层受扰风险，上行开采场景关注上覆扰动条件下的安全边界。导水裂隙带高度、</w:t>
      </w:r>
      <w:proofErr w:type="gramStart"/>
      <w:r>
        <w:t>主关键</w:t>
      </w:r>
      <w:proofErr w:type="gramEnd"/>
      <w:r>
        <w:t>层位置、工作面尺寸、含水层富水性和顶板水害类型均会改变风险主控因素</w:t>
      </w:r>
      <w:r>
        <w:t>[22-25,34-37,40-41,45,49-50]</w:t>
      </w:r>
      <w:r>
        <w:t>。统一为</w:t>
      </w:r>
      <w:r>
        <w:t>ODI</w:t>
      </w:r>
      <w:r>
        <w:t>后，各场景可在同</w:t>
      </w:r>
      <w:proofErr w:type="gramStart"/>
      <w:r>
        <w:t>一统计</w:t>
      </w:r>
      <w:proofErr w:type="gramEnd"/>
      <w:r>
        <w:t>口径下进入方案筛选。</w:t>
      </w:r>
    </w:p>
    <w:p w14:paraId="59105723" w14:textId="77777777" w:rsidR="00801D65" w:rsidRPr="00801D65" w:rsidRDefault="00801D65" w:rsidP="00801D65">
      <w:pPr>
        <w:pStyle w:val="10"/>
        <w:spacing w:after="40"/>
        <w:ind w:firstLine="420"/>
        <w:rPr>
          <w:rFonts w:ascii="宋体" w:hAnsi="宋体"/>
        </w:rPr>
      </w:pPr>
      <w:r>
        <w:t>在规划语境下，</w:t>
      </w:r>
      <w:r>
        <w:t>ODI</w:t>
      </w:r>
      <w:r>
        <w:t>的价值体现在两个层面：一是描述研究区高扰动敏感区的空间背景，二是提供候选方案区域内的风险暴露统计。在同一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。其中</w:t>
      </w:r>
      <w:r>
        <w:t>C</w:t>
      </w:r>
      <w:r>
        <w:t>方案为在已保存候选池内按统一</w:t>
      </w:r>
      <w:r>
        <w:t>ODI</w:t>
      </w:r>
      <w:r>
        <w:t>场重新筛选得到的</w:t>
      </w:r>
      <w:proofErr w:type="gramStart"/>
      <w:r>
        <w:t>合格低</w:t>
      </w:r>
      <w:proofErr w:type="gramEnd"/>
      <w:r>
        <w:t>风险候选。</w:t>
      </w:r>
    </w:p>
    <w:p w14:paraId="62EBBF04" w14:textId="77777777" w:rsidR="00801D65" w:rsidRDefault="00801D65" w:rsidP="00801D65">
      <w:pPr>
        <w:pStyle w:val="10"/>
        <w:spacing w:after="40"/>
        <w:ind w:firstLine="420"/>
        <w:rPr>
          <w:rFonts w:ascii="宋体" w:hAnsi="宋体"/>
        </w:rPr>
      </w:pPr>
      <w:r>
        <w:rPr>
          <w:rFonts w:ascii="宋体" w:eastAsia="宋体" w:hAnsi="宋体"/>
        </w:rPr>
        <w:t>由此，ODI不再是布局完成后的附加说明图层，而是能够在候选方案生成前即参与约束设定和风险排序。对于研究区样例而言，ODI场的建立完成了从“边界+钻孔输入”到“风险约束可参与规划”的关键转换。</w:t>
      </w:r>
    </w:p>
    <w:p w14:paraId="090BEC79" w14:textId="77777777" w:rsidR="00A046E0" w:rsidRDefault="00A046E0" w:rsidP="00A046E0">
      <w:pPr>
        <w:pStyle w:val="15"/>
        <w:spacing w:after="40"/>
        <w:ind w:firstLine="420"/>
        <w:rPr>
          <w:rFonts w:ascii="宋体" w:hAnsi="宋体"/>
        </w:rPr>
      </w:pPr>
      <w:r>
        <w:t>表</w:t>
      </w:r>
      <w:r>
        <w:t xml:space="preserve">2 </w:t>
      </w:r>
      <w:r>
        <w:t>多场景</w:t>
      </w:r>
      <w:r>
        <w:t xml:space="preserve"> ODI </w:t>
      </w:r>
      <w:r>
        <w:t>风险组织关系</w:t>
      </w:r>
      <w: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56E7C8BE"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297BA6A4" w14:textId="77777777" w:rsidR="00D007CE" w:rsidRPr="006A6807" w:rsidRDefault="00A249E2">
            <w:pPr>
              <w:spacing w:before="0" w:after="0"/>
              <w:jc w:val="center"/>
              <w:rPr>
                <w:sz w:val="14"/>
              </w:rPr>
            </w:pPr>
            <w:r w:rsidRPr="006A6807">
              <w:rPr>
                <w:rFonts w:ascii="宋体" w:eastAsia="宋体" w:hAnsi="宋体"/>
                <w:sz w:val="14"/>
              </w:rPr>
              <w:t>场景</w:t>
            </w:r>
          </w:p>
        </w:tc>
        <w:tc>
          <w:tcPr>
            <w:tcW w:w="1206" w:type="pct"/>
            <w:tcBorders>
              <w:top w:val="single" w:sz="8" w:space="0" w:color="000000"/>
              <w:bottom w:val="single" w:sz="6" w:space="0" w:color="000000"/>
            </w:tcBorders>
            <w:vAlign w:val="center"/>
            <w:hideMark/>
          </w:tcPr>
          <w:p w14:paraId="07B49C67" w14:textId="77777777" w:rsidR="00D007CE" w:rsidRPr="006A6807" w:rsidRDefault="00A249E2">
            <w:pPr>
              <w:spacing w:before="0" w:after="0"/>
              <w:jc w:val="center"/>
              <w:rPr>
                <w:sz w:val="14"/>
              </w:rPr>
            </w:pPr>
            <w:r w:rsidRPr="006A6807">
              <w:rPr>
                <w:rFonts w:ascii="宋体" w:eastAsia="宋体" w:hAnsi="宋体"/>
                <w:sz w:val="14"/>
              </w:rPr>
              <w:t>关注对象</w:t>
            </w:r>
          </w:p>
        </w:tc>
        <w:tc>
          <w:tcPr>
            <w:tcW w:w="1356" w:type="pct"/>
            <w:tcBorders>
              <w:top w:val="single" w:sz="8" w:space="0" w:color="000000"/>
              <w:bottom w:val="single" w:sz="6" w:space="0" w:color="000000"/>
            </w:tcBorders>
            <w:vAlign w:val="center"/>
            <w:hideMark/>
          </w:tcPr>
          <w:p w14:paraId="36E0BF16" w14:textId="77777777" w:rsidR="00D007CE" w:rsidRPr="006A6807" w:rsidRDefault="00A249E2">
            <w:pPr>
              <w:spacing w:before="0" w:after="0"/>
              <w:jc w:val="center"/>
              <w:rPr>
                <w:sz w:val="14"/>
              </w:rPr>
            </w:pPr>
            <w:r w:rsidRPr="006A6807">
              <w:rPr>
                <w:rFonts w:ascii="宋体" w:eastAsia="宋体" w:hAnsi="宋体"/>
                <w:sz w:val="14"/>
              </w:rPr>
              <w:t>输入依据</w:t>
            </w:r>
          </w:p>
        </w:tc>
        <w:tc>
          <w:tcPr>
            <w:tcW w:w="1385" w:type="pct"/>
            <w:tcBorders>
              <w:top w:val="single" w:sz="8" w:space="0" w:color="000000"/>
              <w:bottom w:val="single" w:sz="6" w:space="0" w:color="000000"/>
            </w:tcBorders>
            <w:vAlign w:val="center"/>
            <w:hideMark/>
          </w:tcPr>
          <w:p w14:paraId="670F7426" w14:textId="77777777" w:rsidR="00D007CE" w:rsidRPr="006A6807" w:rsidRDefault="00A249E2">
            <w:pPr>
              <w:spacing w:before="0" w:after="0"/>
              <w:jc w:val="center"/>
              <w:rPr>
                <w:sz w:val="14"/>
              </w:rPr>
            </w:pPr>
            <w:r w:rsidRPr="006A6807">
              <w:rPr>
                <w:rFonts w:ascii="宋体" w:eastAsia="宋体" w:hAnsi="宋体"/>
                <w:sz w:val="14"/>
              </w:rPr>
              <w:t>规划作用</w:t>
            </w:r>
          </w:p>
        </w:tc>
      </w:tr>
      <w:tr w:rsidR="00A046E0" w:rsidRPr="006A6807" w14:paraId="7BCE4A6A" w14:textId="77777777" w:rsidTr="006A6807">
        <w:trPr>
          <w:tblCellSpacing w:w="15" w:type="dxa"/>
          <w:jc w:val="center"/>
        </w:trPr>
        <w:tc>
          <w:tcPr>
            <w:tcW w:w="892" w:type="pct"/>
            <w:vAlign w:val="center"/>
            <w:hideMark/>
          </w:tcPr>
          <w:p w14:paraId="150D134B" w14:textId="77777777" w:rsidR="00D007CE" w:rsidRPr="006A6807" w:rsidRDefault="00A249E2">
            <w:pPr>
              <w:spacing w:before="0" w:after="0"/>
              <w:jc w:val="center"/>
              <w:rPr>
                <w:sz w:val="14"/>
              </w:rPr>
            </w:pPr>
            <w:r w:rsidRPr="006A6807">
              <w:rPr>
                <w:rFonts w:ascii="宋体" w:eastAsia="宋体" w:hAnsi="宋体"/>
                <w:sz w:val="14"/>
              </w:rPr>
              <w:t>地表沉陷</w:t>
            </w:r>
          </w:p>
        </w:tc>
        <w:tc>
          <w:tcPr>
            <w:tcW w:w="1206" w:type="pct"/>
            <w:vAlign w:val="center"/>
            <w:hideMark/>
          </w:tcPr>
          <w:p w14:paraId="31A9D7CC" w14:textId="77777777" w:rsidR="00D007CE" w:rsidRPr="006A6807" w:rsidRDefault="00A249E2">
            <w:pPr>
              <w:spacing w:before="0" w:after="0"/>
              <w:jc w:val="center"/>
              <w:rPr>
                <w:sz w:val="14"/>
              </w:rPr>
            </w:pPr>
            <w:r w:rsidRPr="006A6807">
              <w:rPr>
                <w:rFonts w:ascii="宋体" w:eastAsia="宋体" w:hAnsi="宋体"/>
                <w:sz w:val="14"/>
              </w:rPr>
              <w:t>地表移动与沉陷风险</w:t>
            </w:r>
          </w:p>
        </w:tc>
        <w:tc>
          <w:tcPr>
            <w:tcW w:w="1356" w:type="pct"/>
            <w:vAlign w:val="center"/>
            <w:hideMark/>
          </w:tcPr>
          <w:p w14:paraId="5BC885C0" w14:textId="77777777" w:rsidR="00D007CE" w:rsidRPr="006A6807" w:rsidRDefault="00A249E2">
            <w:pPr>
              <w:spacing w:before="0" w:after="0"/>
              <w:jc w:val="center"/>
              <w:rPr>
                <w:sz w:val="14"/>
              </w:rPr>
            </w:pPr>
            <w:r w:rsidRPr="006A6807">
              <w:rPr>
                <w:rFonts w:ascii="宋体" w:eastAsia="宋体" w:hAnsi="宋体"/>
                <w:sz w:val="14"/>
              </w:rPr>
              <w:t>沉陷预测、保护约束</w:t>
            </w:r>
          </w:p>
        </w:tc>
        <w:tc>
          <w:tcPr>
            <w:tcW w:w="1385" w:type="pct"/>
            <w:vAlign w:val="center"/>
            <w:hideMark/>
          </w:tcPr>
          <w:p w14:paraId="36BFEC05" w14:textId="77777777" w:rsidR="00D007CE" w:rsidRPr="006A6807" w:rsidRDefault="00A249E2">
            <w:pPr>
              <w:spacing w:before="0" w:after="0"/>
              <w:jc w:val="center"/>
              <w:rPr>
                <w:sz w:val="14"/>
              </w:rPr>
            </w:pPr>
            <w:r w:rsidRPr="006A6807">
              <w:rPr>
                <w:rFonts w:ascii="宋体" w:eastAsia="宋体" w:hAnsi="宋体"/>
                <w:sz w:val="14"/>
              </w:rPr>
              <w:t>约束工作面布局范围</w:t>
            </w:r>
          </w:p>
        </w:tc>
      </w:tr>
      <w:tr w:rsidR="00A046E0" w:rsidRPr="006A6807" w14:paraId="76932D62" w14:textId="77777777" w:rsidTr="006A6807">
        <w:trPr>
          <w:tblCellSpacing w:w="15" w:type="dxa"/>
          <w:jc w:val="center"/>
        </w:trPr>
        <w:tc>
          <w:tcPr>
            <w:tcW w:w="892" w:type="pct"/>
            <w:vAlign w:val="center"/>
            <w:hideMark/>
          </w:tcPr>
          <w:p w14:paraId="3409B31A" w14:textId="77777777" w:rsidR="00D007CE" w:rsidRPr="006A6807" w:rsidRDefault="00A249E2">
            <w:pPr>
              <w:spacing w:before="0" w:after="0"/>
              <w:jc w:val="center"/>
              <w:rPr>
                <w:sz w:val="14"/>
              </w:rPr>
            </w:pPr>
            <w:r w:rsidRPr="006A6807">
              <w:rPr>
                <w:rFonts w:ascii="宋体" w:eastAsia="宋体" w:hAnsi="宋体"/>
                <w:sz w:val="14"/>
              </w:rPr>
              <w:t>含水层扰动</w:t>
            </w:r>
          </w:p>
        </w:tc>
        <w:tc>
          <w:tcPr>
            <w:tcW w:w="1206" w:type="pct"/>
            <w:vAlign w:val="center"/>
            <w:hideMark/>
          </w:tcPr>
          <w:p w14:paraId="7328CA2E" w14:textId="77777777" w:rsidR="00D007CE" w:rsidRPr="006A6807" w:rsidRDefault="00A249E2">
            <w:pPr>
              <w:spacing w:before="0" w:after="0"/>
              <w:jc w:val="center"/>
              <w:rPr>
                <w:sz w:val="14"/>
              </w:rPr>
            </w:pPr>
            <w:r w:rsidRPr="006A6807">
              <w:rPr>
                <w:rFonts w:ascii="宋体" w:eastAsia="宋体" w:hAnsi="宋体"/>
                <w:sz w:val="14"/>
              </w:rPr>
              <w:t>导水裂隙带与含水层受扰</w:t>
            </w:r>
          </w:p>
        </w:tc>
        <w:tc>
          <w:tcPr>
            <w:tcW w:w="1356" w:type="pct"/>
            <w:vAlign w:val="center"/>
            <w:hideMark/>
          </w:tcPr>
          <w:p w14:paraId="7EE12977" w14:textId="77777777" w:rsidR="00D007CE" w:rsidRPr="006A6807" w:rsidRDefault="00A249E2">
            <w:pPr>
              <w:spacing w:before="0" w:after="0"/>
              <w:jc w:val="center"/>
              <w:rPr>
                <w:sz w:val="14"/>
              </w:rPr>
            </w:pPr>
            <w:r w:rsidRPr="006A6807">
              <w:rPr>
                <w:rFonts w:ascii="宋体" w:eastAsia="宋体" w:hAnsi="宋体"/>
                <w:sz w:val="14"/>
              </w:rPr>
              <w:t>导水带高度、含水层敏感性</w:t>
            </w:r>
          </w:p>
        </w:tc>
        <w:tc>
          <w:tcPr>
            <w:tcW w:w="1385" w:type="pct"/>
            <w:vAlign w:val="center"/>
            <w:hideMark/>
          </w:tcPr>
          <w:p w14:paraId="1F00A3A8" w14:textId="77777777" w:rsidR="00D007CE" w:rsidRPr="006A6807" w:rsidRDefault="00A249E2">
            <w:pPr>
              <w:spacing w:before="0" w:after="0"/>
              <w:jc w:val="center"/>
              <w:rPr>
                <w:sz w:val="14"/>
              </w:rPr>
            </w:pPr>
            <w:r w:rsidRPr="006A6807">
              <w:rPr>
                <w:rFonts w:ascii="宋体" w:eastAsia="宋体" w:hAnsi="宋体"/>
                <w:sz w:val="14"/>
              </w:rPr>
              <w:t>参与风险筛选与避让</w:t>
            </w:r>
          </w:p>
        </w:tc>
      </w:tr>
      <w:tr w:rsidR="00A046E0" w:rsidRPr="006A6807" w14:paraId="40652171" w14:textId="77777777" w:rsidTr="006A6807">
        <w:trPr>
          <w:tblCellSpacing w:w="15" w:type="dxa"/>
          <w:jc w:val="center"/>
        </w:trPr>
        <w:tc>
          <w:tcPr>
            <w:tcW w:w="892" w:type="pct"/>
            <w:vAlign w:val="center"/>
            <w:hideMark/>
          </w:tcPr>
          <w:p w14:paraId="07410224" w14:textId="77777777" w:rsidR="00D007CE" w:rsidRPr="006A6807" w:rsidRDefault="00A249E2">
            <w:pPr>
              <w:spacing w:before="0" w:after="0"/>
              <w:jc w:val="center"/>
              <w:rPr>
                <w:sz w:val="14"/>
              </w:rPr>
            </w:pPr>
            <w:r w:rsidRPr="006A6807">
              <w:rPr>
                <w:rFonts w:ascii="宋体" w:eastAsia="宋体" w:hAnsi="宋体"/>
                <w:sz w:val="14"/>
              </w:rPr>
              <w:lastRenderedPageBreak/>
              <w:t>上行开采</w:t>
            </w:r>
          </w:p>
        </w:tc>
        <w:tc>
          <w:tcPr>
            <w:tcW w:w="1206" w:type="pct"/>
            <w:vAlign w:val="center"/>
            <w:hideMark/>
          </w:tcPr>
          <w:p w14:paraId="63FBC42A" w14:textId="77777777" w:rsidR="00D007CE" w:rsidRPr="006A6807" w:rsidRDefault="00A249E2">
            <w:pPr>
              <w:spacing w:before="0" w:after="0"/>
              <w:jc w:val="center"/>
              <w:rPr>
                <w:sz w:val="14"/>
              </w:rPr>
            </w:pPr>
            <w:r w:rsidRPr="006A6807">
              <w:rPr>
                <w:rFonts w:ascii="宋体" w:eastAsia="宋体" w:hAnsi="宋体"/>
                <w:sz w:val="14"/>
              </w:rPr>
              <w:t>上覆岩层扰动与安全边界</w:t>
            </w:r>
          </w:p>
        </w:tc>
        <w:tc>
          <w:tcPr>
            <w:tcW w:w="1356" w:type="pct"/>
            <w:vAlign w:val="center"/>
            <w:hideMark/>
          </w:tcPr>
          <w:p w14:paraId="4CA17C17" w14:textId="77777777" w:rsidR="00D007CE" w:rsidRPr="006A6807" w:rsidRDefault="00A249E2">
            <w:pPr>
              <w:spacing w:before="0" w:after="0"/>
              <w:jc w:val="center"/>
              <w:rPr>
                <w:sz w:val="14"/>
              </w:rPr>
            </w:pPr>
            <w:r w:rsidRPr="006A6807">
              <w:rPr>
                <w:rFonts w:ascii="宋体" w:eastAsia="宋体" w:hAnsi="宋体"/>
                <w:sz w:val="14"/>
              </w:rPr>
              <w:t>采动应力、</w:t>
            </w:r>
            <w:proofErr w:type="gramStart"/>
            <w:r w:rsidRPr="006A6807">
              <w:rPr>
                <w:rFonts w:ascii="宋体" w:eastAsia="宋体" w:hAnsi="宋体"/>
                <w:sz w:val="14"/>
              </w:rPr>
              <w:t>覆岩破坏</w:t>
            </w:r>
            <w:proofErr w:type="gramEnd"/>
            <w:r w:rsidRPr="006A6807">
              <w:rPr>
                <w:rFonts w:ascii="宋体" w:eastAsia="宋体" w:hAnsi="宋体"/>
                <w:sz w:val="14"/>
              </w:rPr>
              <w:t>特征</w:t>
            </w:r>
          </w:p>
        </w:tc>
        <w:tc>
          <w:tcPr>
            <w:tcW w:w="1385" w:type="pct"/>
            <w:vAlign w:val="center"/>
            <w:hideMark/>
          </w:tcPr>
          <w:p w14:paraId="6A22495B" w14:textId="77777777" w:rsidR="00D007CE" w:rsidRPr="006A6807" w:rsidRDefault="00A249E2">
            <w:pPr>
              <w:spacing w:before="0" w:after="0"/>
              <w:jc w:val="center"/>
              <w:rPr>
                <w:sz w:val="14"/>
              </w:rPr>
            </w:pPr>
            <w:r w:rsidRPr="006A6807">
              <w:rPr>
                <w:rFonts w:ascii="宋体" w:eastAsia="宋体" w:hAnsi="宋体"/>
                <w:sz w:val="14"/>
              </w:rPr>
              <w:t>支撑可行性评价</w:t>
            </w:r>
          </w:p>
        </w:tc>
      </w:tr>
      <w:tr w:rsidR="00A046E0" w:rsidRPr="006A6807" w14:paraId="6C361ED7" w14:textId="77777777" w:rsidTr="006A6807">
        <w:trPr>
          <w:tblCellSpacing w:w="15" w:type="dxa"/>
          <w:jc w:val="center"/>
        </w:trPr>
        <w:tc>
          <w:tcPr>
            <w:tcW w:w="892" w:type="pct"/>
            <w:tcBorders>
              <w:bottom w:val="single" w:sz="8" w:space="0" w:color="000000"/>
            </w:tcBorders>
            <w:vAlign w:val="center"/>
            <w:hideMark/>
          </w:tcPr>
          <w:p w14:paraId="02C0CFC9" w14:textId="77777777" w:rsidR="00D007CE" w:rsidRPr="006A6807" w:rsidRDefault="00A249E2">
            <w:pPr>
              <w:spacing w:before="0" w:after="0"/>
              <w:jc w:val="center"/>
              <w:rPr>
                <w:sz w:val="14"/>
              </w:rPr>
            </w:pPr>
            <w:r w:rsidRPr="006A6807">
              <w:rPr>
                <w:rFonts w:ascii="宋体" w:eastAsia="宋体" w:hAnsi="宋体"/>
                <w:sz w:val="14"/>
              </w:rPr>
              <w:t>综合ODI</w:t>
            </w:r>
          </w:p>
        </w:tc>
        <w:tc>
          <w:tcPr>
            <w:tcW w:w="1206" w:type="pct"/>
            <w:tcBorders>
              <w:bottom w:val="single" w:sz="8" w:space="0" w:color="000000"/>
            </w:tcBorders>
            <w:vAlign w:val="center"/>
            <w:hideMark/>
          </w:tcPr>
          <w:p w14:paraId="39EFFC6E" w14:textId="77777777" w:rsidR="00D007CE" w:rsidRPr="006A6807" w:rsidRDefault="00A249E2">
            <w:pPr>
              <w:spacing w:before="0" w:after="0"/>
              <w:jc w:val="center"/>
              <w:rPr>
                <w:sz w:val="14"/>
              </w:rPr>
            </w:pPr>
            <w:r w:rsidRPr="006A6807">
              <w:rPr>
                <w:rFonts w:ascii="宋体" w:eastAsia="宋体" w:hAnsi="宋体"/>
                <w:sz w:val="14"/>
              </w:rPr>
              <w:t>多场景叠加扰动</w:t>
            </w:r>
          </w:p>
        </w:tc>
        <w:tc>
          <w:tcPr>
            <w:tcW w:w="1356" w:type="pct"/>
            <w:tcBorders>
              <w:bottom w:val="single" w:sz="8" w:space="0" w:color="000000"/>
            </w:tcBorders>
            <w:vAlign w:val="center"/>
            <w:hideMark/>
          </w:tcPr>
          <w:p w14:paraId="46B3DA76" w14:textId="77777777" w:rsidR="00D007CE" w:rsidRPr="006A6807" w:rsidRDefault="00A249E2">
            <w:pPr>
              <w:spacing w:before="0" w:after="0"/>
              <w:jc w:val="center"/>
              <w:rPr>
                <w:sz w:val="14"/>
              </w:rPr>
            </w:pPr>
            <w:r w:rsidRPr="006A6807">
              <w:rPr>
                <w:rFonts w:ascii="宋体" w:eastAsia="宋体" w:hAnsi="宋体"/>
                <w:sz w:val="14"/>
              </w:rPr>
              <w:t>多</w:t>
            </w:r>
            <w:proofErr w:type="gramStart"/>
            <w:r w:rsidRPr="006A6807">
              <w:rPr>
                <w:rFonts w:ascii="宋体" w:eastAsia="宋体" w:hAnsi="宋体"/>
                <w:sz w:val="14"/>
              </w:rPr>
              <w:t>源风险</w:t>
            </w:r>
            <w:proofErr w:type="gramEnd"/>
            <w:r w:rsidRPr="006A6807">
              <w:rPr>
                <w:rFonts w:ascii="宋体" w:eastAsia="宋体" w:hAnsi="宋体"/>
                <w:sz w:val="14"/>
              </w:rPr>
              <w:t>归一化结果</w:t>
            </w:r>
          </w:p>
        </w:tc>
        <w:tc>
          <w:tcPr>
            <w:tcW w:w="1385" w:type="pct"/>
            <w:tcBorders>
              <w:bottom w:val="single" w:sz="8" w:space="0" w:color="000000"/>
            </w:tcBorders>
            <w:vAlign w:val="center"/>
            <w:hideMark/>
          </w:tcPr>
          <w:p w14:paraId="7CD0AAD1" w14:textId="77777777" w:rsidR="00D007CE" w:rsidRPr="006A6807" w:rsidRDefault="00A249E2">
            <w:pPr>
              <w:spacing w:before="0" w:after="0"/>
              <w:jc w:val="center"/>
              <w:rPr>
                <w:sz w:val="14"/>
              </w:rPr>
            </w:pPr>
            <w:r w:rsidRPr="006A6807">
              <w:rPr>
                <w:rFonts w:ascii="宋体" w:eastAsia="宋体" w:hAnsi="宋体"/>
                <w:sz w:val="14"/>
              </w:rPr>
              <w:t>形成统一</w:t>
            </w:r>
            <w:proofErr w:type="gramStart"/>
            <w:r w:rsidRPr="006A6807">
              <w:rPr>
                <w:rFonts w:ascii="宋体" w:eastAsia="宋体" w:hAnsi="宋体"/>
                <w:sz w:val="14"/>
              </w:rPr>
              <w:t>方案级指标</w:t>
            </w:r>
            <w:proofErr w:type="gramEnd"/>
          </w:p>
        </w:tc>
      </w:tr>
    </w:tbl>
    <w:p w14:paraId="734A1550" w14:textId="77777777" w:rsidR="00A046E0" w:rsidRPr="00A046E0" w:rsidRDefault="00A046E0" w:rsidP="00801D65">
      <w:pPr>
        <w:spacing w:after="40"/>
        <w:ind w:firstLine="420"/>
        <w:rPr>
          <w:rFonts w:ascii="宋体" w:hAnsi="宋体"/>
        </w:rPr>
      </w:pPr>
    </w:p>
    <w:p w14:paraId="7C209DF6" w14:textId="77777777" w:rsidR="00DE4743" w:rsidRDefault="00DE4743" w:rsidP="00A046E0">
      <w:pPr>
        <w:pStyle w:val="11"/>
      </w:pPr>
      <w:r>
        <w:rPr>
          <w:sz w:val="21"/>
        </w:rPr>
        <w:t xml:space="preserve">3 </w:t>
      </w:r>
      <w:r>
        <w:rPr>
          <w:sz w:val="21"/>
        </w:rPr>
        <w:t>候选方案对比与风险统计</w:t>
      </w:r>
    </w:p>
    <w:p w14:paraId="0A58E8F9" w14:textId="77777777" w:rsidR="007E22B6" w:rsidRDefault="00DE4743" w:rsidP="00A046E0">
      <w:pPr>
        <w:pStyle w:val="12"/>
      </w:pPr>
      <w:r>
        <w:rPr>
          <w:sz w:val="21"/>
        </w:rPr>
        <w:t xml:space="preserve">3.1 </w:t>
      </w:r>
      <w:r>
        <w:rPr>
          <w:sz w:val="21"/>
        </w:rPr>
        <w:t>候选方案生成结果与对比</w:t>
      </w:r>
    </w:p>
    <w:p w14:paraId="0FEE3CA7" w14:textId="77777777" w:rsidR="00DE4743" w:rsidRPr="00DE4743" w:rsidRDefault="00DE4743" w:rsidP="00DE4743">
      <w:pPr>
        <w:pStyle w:val="10"/>
        <w:spacing w:after="40"/>
        <w:ind w:firstLine="420"/>
        <w:rPr>
          <w:rFonts w:ascii="宋体" w:hAnsi="宋体"/>
        </w:rPr>
      </w:pPr>
      <w:r>
        <w:t>在有效布置域、连续</w:t>
      </w:r>
      <w:proofErr w:type="gramStart"/>
      <w:r>
        <w:t>参数场</w:t>
      </w:r>
      <w:proofErr w:type="gramEnd"/>
      <w:r>
        <w:t>和</w:t>
      </w:r>
      <w:r>
        <w:t>ODI</w:t>
      </w:r>
      <w:proofErr w:type="gramStart"/>
      <w:r>
        <w:t>风险场</w:t>
      </w:r>
      <w:proofErr w:type="gramEnd"/>
      <w:r>
        <w:t>共同作用下，本文进一步提取工程效率优先、资源回收优先和扰动控制优先等候选结果，用于说明不同目标偏好</w:t>
      </w:r>
      <w:proofErr w:type="gramStart"/>
      <w:r>
        <w:t>下方案</w:t>
      </w:r>
      <w:proofErr w:type="gramEnd"/>
      <w:r>
        <w:t>指标的变化。与仅展示单一导出样例相比，候选方案对比能够更直接回答</w:t>
      </w:r>
      <w:r>
        <w:t>“ODI</w:t>
      </w:r>
      <w:r>
        <w:t>约束如何影响方案筛选</w:t>
      </w:r>
      <w:r>
        <w:t>”</w:t>
      </w:r>
      <w:r>
        <w:t>的问题。</w:t>
      </w:r>
    </w:p>
    <w:p w14:paraId="41997BE1" w14:textId="77777777" w:rsidR="00DE4743" w:rsidRPr="00DE4743" w:rsidRDefault="00DE4743" w:rsidP="00DE4743">
      <w:pPr>
        <w:pStyle w:val="10"/>
        <w:spacing w:after="40"/>
        <w:ind w:firstLine="420"/>
        <w:rPr>
          <w:rFonts w:ascii="宋体" w:hAnsi="宋体"/>
        </w:rPr>
      </w:pPr>
      <w:r>
        <w:t>为增强案例对照性，本文将</w:t>
      </w:r>
      <w:r>
        <w:t>A</w:t>
      </w:r>
      <w:r>
        <w:t>、</w:t>
      </w:r>
      <w:r>
        <w:t>B</w:t>
      </w:r>
      <w:r>
        <w:t>、</w:t>
      </w:r>
      <w:r>
        <w:t>C</w:t>
      </w:r>
      <w:r>
        <w:t>三类方案置于相同研究区边界、钻孔参数场、</w:t>
      </w:r>
      <w:r>
        <w:t>ODI</w:t>
      </w:r>
      <w:proofErr w:type="gramStart"/>
      <w:r>
        <w:t>风险场</w:t>
      </w:r>
      <w:proofErr w:type="gramEnd"/>
      <w:r>
        <w:t>和几何底线约束下比较。</w:t>
      </w:r>
      <w:r>
        <w:t>A</w:t>
      </w:r>
      <w:r>
        <w:t>方案代表工程效率偏好，强调工作面数量、推进长度均衡性和组织效率；</w:t>
      </w:r>
      <w:r>
        <w:t>B</w:t>
      </w:r>
      <w:r>
        <w:t>方案代表资源回收偏好，强调覆盖率和</w:t>
      </w:r>
      <w:proofErr w:type="gramStart"/>
      <w:r>
        <w:t>煤厚场</w:t>
      </w:r>
      <w:proofErr w:type="gramEnd"/>
      <w:r>
        <w:t>利用；</w:t>
      </w:r>
      <w:r>
        <w:t>C</w:t>
      </w:r>
      <w:r>
        <w:t>方案代表</w:t>
      </w:r>
      <w:r>
        <w:t>ODI</w:t>
      </w:r>
      <w:r>
        <w:t>风险约束偏好，强调低扰动暴露。该对照属于统一候选集合内的目标偏好对照，而非独立人工经验方案与自动方案的现场对照。</w:t>
      </w:r>
    </w:p>
    <w:p w14:paraId="38323CD5" w14:textId="77777777" w:rsidR="00390073" w:rsidRDefault="00000000">
      <w:pPr>
        <w:pStyle w:val="10"/>
        <w:spacing w:after="40"/>
        <w:ind w:firstLine="420"/>
      </w:pPr>
      <w:r>
        <w:t>为保证可复核性，</w:t>
      </w:r>
      <w:r>
        <w:t>A</w:t>
      </w:r>
      <w:r>
        <w:t>、</w:t>
      </w:r>
      <w:r>
        <w:t>B</w:t>
      </w:r>
      <w:r>
        <w:t>、</w:t>
      </w:r>
      <w:r>
        <w:t>C</w:t>
      </w:r>
      <w:r>
        <w:t>方案不改变基础地质输入和风险场，仅改变候选排序偏好或筛选目标；方案差异主要反映工程效率、资源回收和扰动控制目标之间的权衡，而非输入数据、网格尺度或边界条件变化。当前导出记录中，工程效率、资源回收和扰动控制模式的有效候选数分别为</w:t>
      </w:r>
      <w:r>
        <w:t>2417</w:t>
      </w:r>
      <w:r>
        <w:t>、</w:t>
      </w:r>
      <w:r>
        <w:t>1149</w:t>
      </w:r>
      <w:r>
        <w:t>和</w:t>
      </w:r>
      <w:r>
        <w:t>374</w:t>
      </w:r>
      <w:r>
        <w:t>，其中扰动控制模式合格候选数为</w:t>
      </w:r>
      <w:r>
        <w:t>88</w:t>
      </w:r>
      <w:r>
        <w:t>。该设置可支撑方法内部有效性判断，但不能替代真实人工经验方案与本文方法之间的外部工程对照。</w:t>
      </w:r>
    </w:p>
    <w:p w14:paraId="7A5485E7" w14:textId="77777777" w:rsidR="00DE4743" w:rsidRPr="00DE4743" w:rsidRDefault="00DE4743" w:rsidP="00DE4743">
      <w:pPr>
        <w:pStyle w:val="10"/>
        <w:spacing w:after="40"/>
        <w:ind w:firstLine="360"/>
        <w:rPr>
          <w:rFonts w:ascii="宋体" w:hAnsi="宋体"/>
        </w:rPr>
      </w:pPr>
      <w:r>
        <w:rPr>
          <w:sz w:val="18"/>
        </w:rPr>
        <w:t>表</w:t>
      </w:r>
      <w:r>
        <w:rPr>
          <w:sz w:val="18"/>
        </w:rPr>
        <w:t>3</w:t>
      </w:r>
      <w:r>
        <w:rPr>
          <w:sz w:val="18"/>
        </w:rPr>
        <w:t>列出了当前已复核的候选方案。工程效率优先方案</w:t>
      </w:r>
      <w:r>
        <w:rPr>
          <w:sz w:val="18"/>
        </w:rPr>
        <w:t>A</w:t>
      </w:r>
      <w:r>
        <w:rPr>
          <w:sz w:val="18"/>
        </w:rPr>
        <w:t>来自</w:t>
      </w:r>
      <w:r>
        <w:rPr>
          <w:sz w:val="18"/>
        </w:rPr>
        <w:t>efficiency</w:t>
      </w:r>
      <w:r>
        <w:rPr>
          <w:sz w:val="18"/>
        </w:rPr>
        <w:t>模式，覆盖率为</w:t>
      </w:r>
      <w:r>
        <w:rPr>
          <w:sz w:val="18"/>
        </w:rPr>
        <w:t>89.34%</w:t>
      </w:r>
      <w:r>
        <w:rPr>
          <w:sz w:val="18"/>
        </w:rPr>
        <w:t>，工程效率分项评分为</w:t>
      </w:r>
      <w:r>
        <w:rPr>
          <w:sz w:val="18"/>
        </w:rPr>
        <w:t>87.82</w:t>
      </w:r>
      <w:r>
        <w:rPr>
          <w:sz w:val="18"/>
        </w:rPr>
        <w:t>；资源回收优先方案</w:t>
      </w:r>
      <w:r>
        <w:rPr>
          <w:sz w:val="18"/>
        </w:rPr>
        <w:t>B</w:t>
      </w:r>
      <w:r>
        <w:rPr>
          <w:sz w:val="18"/>
        </w:rPr>
        <w:t>来自</w:t>
      </w:r>
      <w:r>
        <w:rPr>
          <w:sz w:val="18"/>
        </w:rPr>
        <w:t>recovery</w:t>
      </w:r>
      <w:r>
        <w:rPr>
          <w:sz w:val="18"/>
        </w:rPr>
        <w:t>模式，覆盖率为</w:t>
      </w:r>
      <w:r>
        <w:rPr>
          <w:sz w:val="18"/>
        </w:rPr>
        <w:t>98.52%</w:t>
      </w:r>
      <w:r>
        <w:rPr>
          <w:sz w:val="18"/>
        </w:rPr>
        <w:t>，资源回收分项评分为</w:t>
      </w:r>
      <w:r>
        <w:rPr>
          <w:sz w:val="18"/>
        </w:rPr>
        <w:t>89.76</w:t>
      </w:r>
      <w:r>
        <w:rPr>
          <w:sz w:val="18"/>
        </w:rPr>
        <w:t>；</w:t>
      </w:r>
      <w:r>
        <w:rPr>
          <w:sz w:val="18"/>
        </w:rPr>
        <w:t>ODI</w:t>
      </w:r>
      <w:r>
        <w:rPr>
          <w:sz w:val="18"/>
        </w:rPr>
        <w:t>筛选方案</w:t>
      </w:r>
      <w:r>
        <w:rPr>
          <w:sz w:val="18"/>
        </w:rPr>
        <w:t>C</w:t>
      </w:r>
      <w:r>
        <w:rPr>
          <w:sz w:val="18"/>
        </w:rPr>
        <w:t>来自统一候选集合复核，覆盖率为</w:t>
      </w:r>
      <w:r>
        <w:rPr>
          <w:sz w:val="18"/>
        </w:rPr>
        <w:t>80.67%</w:t>
      </w:r>
      <w:r>
        <w:rPr>
          <w:sz w:val="18"/>
        </w:rPr>
        <w:t>，工程效率分项评分为</w:t>
      </w:r>
      <w:r>
        <w:rPr>
          <w:sz w:val="18"/>
        </w:rPr>
        <w:t>79.27</w:t>
      </w:r>
      <w:r>
        <w:rPr>
          <w:sz w:val="18"/>
        </w:rPr>
        <w:t>，</w:t>
      </w:r>
      <w:r>
        <w:rPr>
          <w:sz w:val="18"/>
        </w:rPr>
        <w:t>ODI</w:t>
      </w:r>
      <w:r>
        <w:rPr>
          <w:sz w:val="18"/>
        </w:rPr>
        <w:t>均值为</w:t>
      </w:r>
      <w:r>
        <w:rPr>
          <w:sz w:val="18"/>
        </w:rPr>
        <w:t>0.4416</w:t>
      </w:r>
      <w:r>
        <w:rPr>
          <w:sz w:val="18"/>
        </w:rPr>
        <w:t>，</w:t>
      </w:r>
      <w:r>
        <w:rPr>
          <w:sz w:val="18"/>
        </w:rPr>
        <w:t>P90</w:t>
      </w:r>
      <w:r>
        <w:rPr>
          <w:sz w:val="18"/>
        </w:rPr>
        <w:t>为</w:t>
      </w:r>
      <w:r>
        <w:rPr>
          <w:sz w:val="18"/>
        </w:rPr>
        <w:t>0.6353</w:t>
      </w:r>
      <w:r>
        <w:rPr>
          <w:sz w:val="18"/>
        </w:rPr>
        <w:t>，</w:t>
      </w:r>
      <w:r>
        <w:rPr>
          <w:sz w:val="18"/>
        </w:rPr>
        <w:t>ODI&gt;0.70</w:t>
      </w:r>
      <w:r>
        <w:rPr>
          <w:sz w:val="18"/>
        </w:rPr>
        <w:t>比例为</w:t>
      </w:r>
      <w:r>
        <w:rPr>
          <w:sz w:val="18"/>
        </w:rPr>
        <w:t>1.22%</w:t>
      </w:r>
      <w:r>
        <w:rPr>
          <w:sz w:val="18"/>
        </w:rPr>
        <w:t>。需要指出，本文对低扰动候选的判定并非依据单一阈值下的超限比例最小，而是依据</w:t>
      </w:r>
      <w:r>
        <w:rPr>
          <w:sz w:val="18"/>
        </w:rPr>
        <w:t>ODI</w:t>
      </w:r>
      <w:r>
        <w:rPr>
          <w:sz w:val="18"/>
        </w:rPr>
        <w:t>均值、</w:t>
      </w:r>
      <w:r>
        <w:rPr>
          <w:sz w:val="18"/>
        </w:rPr>
        <w:t>P90</w:t>
      </w:r>
      <w:r>
        <w:rPr>
          <w:sz w:val="18"/>
        </w:rPr>
        <w:t>与风险综合得分的联合判据。</w:t>
      </w:r>
    </w:p>
    <w:p w14:paraId="17A1D68C" w14:textId="77777777" w:rsidR="00DE4743" w:rsidRPr="00DE4743" w:rsidRDefault="00DE4743" w:rsidP="00DE4743">
      <w:pPr>
        <w:pStyle w:val="10"/>
        <w:spacing w:after="40"/>
        <w:ind w:firstLine="420"/>
        <w:rPr>
          <w:rFonts w:ascii="宋体" w:hAnsi="宋体"/>
        </w:rPr>
      </w:pPr>
      <w:r>
        <w:t>不同目标偏好会导致覆盖率、资源回收和风险暴露出现权衡。与</w:t>
      </w:r>
      <w:r>
        <w:t>A</w:t>
      </w:r>
      <w:r>
        <w:t>方案相比，</w:t>
      </w:r>
      <w:r>
        <w:t>C</w:t>
      </w:r>
      <w:r>
        <w:t>方案覆盖率降低</w:t>
      </w:r>
      <w:r>
        <w:t>8.67</w:t>
      </w:r>
      <w:r>
        <w:t>个百分点，但</w:t>
      </w:r>
      <w:r>
        <w:t>ODI</w:t>
      </w:r>
      <w:r>
        <w:t>均值、</w:t>
      </w:r>
      <w:r>
        <w:t>P90</w:t>
      </w:r>
      <w:r>
        <w:t>和风险综合得分分别降低</w:t>
      </w:r>
      <w:r>
        <w:t>1.07%</w:t>
      </w:r>
      <w:r>
        <w:t>、</w:t>
      </w:r>
      <w:r>
        <w:t>0.86%</w:t>
      </w:r>
      <w:r>
        <w:t>和</w:t>
      </w:r>
      <w:r>
        <w:t>0.70%</w:t>
      </w:r>
      <w:r>
        <w:t>；与</w:t>
      </w:r>
      <w:r>
        <w:t>B</w:t>
      </w:r>
      <w:r>
        <w:t>方案相比，</w:t>
      </w:r>
      <w:r>
        <w:t>C</w:t>
      </w:r>
      <w:r>
        <w:t>方案覆盖率降低</w:t>
      </w:r>
      <w:r>
        <w:t>17.85</w:t>
      </w:r>
      <w:r>
        <w:t>个百分点，但上述</w:t>
      </w:r>
      <w:r>
        <w:t>3</w:t>
      </w:r>
      <w:r>
        <w:t>项风险指标分别降低</w:t>
      </w:r>
      <w:r>
        <w:t>3.00%</w:t>
      </w:r>
      <w:r>
        <w:t>、</w:t>
      </w:r>
      <w:r>
        <w:t>1.69%</w:t>
      </w:r>
      <w:r>
        <w:t>和</w:t>
      </w:r>
      <w:r>
        <w:t>2.12%</w:t>
      </w:r>
      <w:r>
        <w:t>。</w:t>
      </w:r>
      <w:r>
        <w:t>B</w:t>
      </w:r>
      <w:r>
        <w:t>方案较</w:t>
      </w:r>
      <w:r>
        <w:t>A</w:t>
      </w:r>
      <w:r>
        <w:t>方案覆盖率提高</w:t>
      </w:r>
      <w:r>
        <w:t>9.18</w:t>
      </w:r>
      <w:r>
        <w:t>个百分点，但</w:t>
      </w:r>
      <w:r>
        <w:t>ODI</w:t>
      </w:r>
      <w:r>
        <w:t>均值和</w:t>
      </w:r>
      <w:r>
        <w:t>P90</w:t>
      </w:r>
      <w:r>
        <w:t>分别提高</w:t>
      </w:r>
      <w:r>
        <w:t>1.99%</w:t>
      </w:r>
      <w:r>
        <w:t>和</w:t>
      </w:r>
      <w:r>
        <w:t>0.85%</w:t>
      </w:r>
      <w:r>
        <w:t>。结果表明，资源覆盖增益可能伴随扰动风险统计值上升，</w:t>
      </w:r>
      <w:r>
        <w:t>ODI</w:t>
      </w:r>
      <w:r>
        <w:t>前置约束可显式呈现风险</w:t>
      </w:r>
      <w:r>
        <w:t>-</w:t>
      </w:r>
      <w:r>
        <w:t>收益取舍。旧</w:t>
      </w:r>
      <w:r>
        <w:t>disturbance</w:t>
      </w:r>
      <w:r>
        <w:t>保存结果中的候选</w:t>
      </w:r>
      <w:proofErr w:type="spellStart"/>
      <w:r>
        <w:t>C_old</w:t>
      </w:r>
      <w:proofErr w:type="spellEnd"/>
      <w:r>
        <w:t>在统一</w:t>
      </w:r>
      <w:r>
        <w:t>ODI</w:t>
      </w:r>
      <w:r>
        <w:t>场下均值为</w:t>
      </w:r>
      <w:r>
        <w:t>0.4560</w:t>
      </w:r>
      <w:r>
        <w:t>、</w:t>
      </w:r>
      <w:r>
        <w:t>P90</w:t>
      </w:r>
      <w:r>
        <w:t>为</w:t>
      </w:r>
      <w:r>
        <w:t>0.6472</w:t>
      </w:r>
      <w:r>
        <w:t>，不作为统一口径下的</w:t>
      </w:r>
      <w:r>
        <w:t>ODI</w:t>
      </w:r>
      <w:r>
        <w:t>筛选方案。</w:t>
      </w:r>
    </w:p>
    <w:p w14:paraId="36B0746E" w14:textId="77777777" w:rsidR="00DE4743" w:rsidRPr="00DE4743" w:rsidRDefault="00DE4743" w:rsidP="00DE4743">
      <w:pPr>
        <w:pStyle w:val="10"/>
        <w:spacing w:after="40"/>
        <w:ind w:firstLine="420"/>
        <w:rPr>
          <w:rFonts w:ascii="宋体" w:hAnsi="宋体"/>
        </w:rPr>
      </w:pPr>
      <w:r>
        <w:t>从方案合理性看，</w:t>
      </w:r>
      <w:r>
        <w:t>A</w:t>
      </w:r>
      <w:r>
        <w:t>方案覆盖率和工程效率较高，几何组织较充分；</w:t>
      </w:r>
      <w:r>
        <w:t>B</w:t>
      </w:r>
      <w:r>
        <w:t>方案覆盖率最高且资源回收评分较高，说明连续</w:t>
      </w:r>
      <w:proofErr w:type="gramStart"/>
      <w:r>
        <w:t>参数场</w:t>
      </w:r>
      <w:proofErr w:type="gramEnd"/>
      <w:r>
        <w:t>推动方案向资源富集区域扩展；</w:t>
      </w:r>
      <w:r>
        <w:t>C</w:t>
      </w:r>
      <w:r>
        <w:t>方案覆盖率较低，且在</w:t>
      </w:r>
      <w:r>
        <w:t>T_ODI=0.70</w:t>
      </w:r>
      <w:r>
        <w:t>下的超限比例并非最小，但其</w:t>
      </w:r>
      <w:r>
        <w:t>ODI</w:t>
      </w:r>
      <w:r>
        <w:t>均值、</w:t>
      </w:r>
      <w:r>
        <w:t>P90</w:t>
      </w:r>
      <w:r>
        <w:t>和风险综合得分均低于</w:t>
      </w:r>
      <w:r>
        <w:t>A</w:t>
      </w:r>
      <w:r>
        <w:t>、</w:t>
      </w:r>
      <w:r>
        <w:t>B</w:t>
      </w:r>
      <w:r>
        <w:t>方案，说明联合判据下总体扰动暴露较低。该结果符合采区规划中资源利用与风险控制相互制约的工程常识，也说明本文方法能够</w:t>
      </w:r>
      <w:proofErr w:type="gramStart"/>
      <w:r>
        <w:t>将图层风险</w:t>
      </w:r>
      <w:proofErr w:type="gramEnd"/>
      <w:r>
        <w:t>差异转化为</w:t>
      </w:r>
      <w:proofErr w:type="gramStart"/>
      <w:r>
        <w:t>方案级统计</w:t>
      </w:r>
      <w:proofErr w:type="gramEnd"/>
      <w:r>
        <w:t>证据。</w:t>
      </w:r>
    </w:p>
    <w:p w14:paraId="2A6F62F3" w14:textId="77777777" w:rsidR="00D007CE" w:rsidRDefault="00A249E2">
      <w:pPr>
        <w:pStyle w:val="15"/>
      </w:pPr>
      <w:r>
        <w:t>表</w:t>
      </w:r>
      <w:r>
        <w:t xml:space="preserve">3 </w:t>
      </w:r>
      <w:r>
        <w:t>候选方案对比与数据复核状态（低扰动判定基于</w:t>
      </w:r>
      <w:r>
        <w:t>ODI</w:t>
      </w:r>
      <w:r>
        <w:t>均值、</w:t>
      </w:r>
      <w:r>
        <w:t>P90</w:t>
      </w:r>
      <w:r>
        <w:t>和风险综合得分联合判据）</w:t>
      </w:r>
      <w:r>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51BAF80C" w14:textId="77777777" w:rsidTr="006A6807">
        <w:trPr>
          <w:jc w:val="center"/>
        </w:trPr>
        <w:tc>
          <w:tcPr>
            <w:tcW w:w="557" w:type="pct"/>
            <w:tcBorders>
              <w:top w:val="single" w:sz="8" w:space="0" w:color="000000"/>
              <w:bottom w:val="single" w:sz="6" w:space="0" w:color="000000"/>
            </w:tcBorders>
            <w:vAlign w:val="center"/>
          </w:tcPr>
          <w:p w14:paraId="0E33C698" w14:textId="77777777" w:rsidR="00390073" w:rsidRDefault="00000000">
            <w:r>
              <w:rPr>
                <w:sz w:val="14"/>
              </w:rPr>
              <w:t>方案</w:t>
            </w:r>
          </w:p>
        </w:tc>
        <w:tc>
          <w:tcPr>
            <w:tcW w:w="1107" w:type="pct"/>
            <w:tcBorders>
              <w:top w:val="single" w:sz="8" w:space="0" w:color="000000"/>
              <w:bottom w:val="single" w:sz="6" w:space="0" w:color="000000"/>
            </w:tcBorders>
            <w:vAlign w:val="center"/>
          </w:tcPr>
          <w:p w14:paraId="73565F2D" w14:textId="77777777" w:rsidR="00390073" w:rsidRDefault="00000000">
            <w:r>
              <w:rPr>
                <w:sz w:val="14"/>
              </w:rPr>
              <w:t>来源</w:t>
            </w:r>
            <w:r>
              <w:rPr>
                <w:sz w:val="14"/>
              </w:rPr>
              <w:t>/</w:t>
            </w:r>
            <w:r>
              <w:rPr>
                <w:sz w:val="14"/>
              </w:rPr>
              <w:t>含义</w:t>
            </w:r>
          </w:p>
        </w:tc>
        <w:tc>
          <w:tcPr>
            <w:tcW w:w="918" w:type="pct"/>
            <w:tcBorders>
              <w:top w:val="single" w:sz="8" w:space="0" w:color="000000"/>
              <w:bottom w:val="single" w:sz="6" w:space="0" w:color="000000"/>
            </w:tcBorders>
            <w:vAlign w:val="center"/>
          </w:tcPr>
          <w:p w14:paraId="538E36C2" w14:textId="77777777" w:rsidR="00390073" w:rsidRDefault="00000000">
            <w:r>
              <w:rPr>
                <w:sz w:val="14"/>
              </w:rPr>
              <w:t>关键指标</w:t>
            </w:r>
          </w:p>
        </w:tc>
        <w:tc>
          <w:tcPr>
            <w:tcW w:w="1139" w:type="pct"/>
            <w:tcBorders>
              <w:top w:val="single" w:sz="8" w:space="0" w:color="000000"/>
              <w:bottom w:val="single" w:sz="6" w:space="0" w:color="000000"/>
            </w:tcBorders>
            <w:vAlign w:val="center"/>
          </w:tcPr>
          <w:p w14:paraId="11D7A298" w14:textId="77777777" w:rsidR="00390073" w:rsidRDefault="00000000">
            <w:r>
              <w:rPr>
                <w:sz w:val="14"/>
              </w:rPr>
              <w:t>ODI</w:t>
            </w:r>
            <w:r>
              <w:rPr>
                <w:sz w:val="14"/>
              </w:rPr>
              <w:t>统计</w:t>
            </w:r>
          </w:p>
        </w:tc>
        <w:tc>
          <w:tcPr>
            <w:tcW w:w="1280" w:type="pct"/>
            <w:tcBorders>
              <w:top w:val="single" w:sz="8" w:space="0" w:color="000000"/>
              <w:bottom w:val="single" w:sz="6" w:space="0" w:color="000000"/>
            </w:tcBorders>
            <w:vAlign w:val="center"/>
          </w:tcPr>
          <w:p w14:paraId="18856D33" w14:textId="77777777" w:rsidR="00390073" w:rsidRDefault="00000000">
            <w:r>
              <w:rPr>
                <w:sz w:val="14"/>
              </w:rPr>
              <w:t>复核状态</w:t>
            </w:r>
          </w:p>
        </w:tc>
      </w:tr>
      <w:tr w:rsidR="00D007CE" w:rsidRPr="006A6807" w14:paraId="3E08EFDD" w14:textId="77777777" w:rsidTr="006A6807">
        <w:trPr>
          <w:jc w:val="center"/>
        </w:trPr>
        <w:tc>
          <w:tcPr>
            <w:tcW w:w="557" w:type="pct"/>
            <w:vAlign w:val="center"/>
          </w:tcPr>
          <w:p w14:paraId="0CCAB8E2" w14:textId="77777777" w:rsidR="00390073" w:rsidRDefault="00000000">
            <w:r>
              <w:rPr>
                <w:sz w:val="14"/>
              </w:rPr>
              <w:t>A</w:t>
            </w:r>
          </w:p>
        </w:tc>
        <w:tc>
          <w:tcPr>
            <w:tcW w:w="1107" w:type="pct"/>
            <w:vAlign w:val="center"/>
          </w:tcPr>
          <w:p w14:paraId="58236561" w14:textId="77777777" w:rsidR="00390073" w:rsidRDefault="00000000">
            <w:r>
              <w:rPr>
                <w:sz w:val="14"/>
              </w:rPr>
              <w:t>efficiency</w:t>
            </w:r>
            <w:r>
              <w:rPr>
                <w:sz w:val="14"/>
              </w:rPr>
              <w:t>；工程效率优先</w:t>
            </w:r>
          </w:p>
        </w:tc>
        <w:tc>
          <w:tcPr>
            <w:tcW w:w="918" w:type="pct"/>
            <w:vAlign w:val="center"/>
          </w:tcPr>
          <w:p w14:paraId="60F52BAE" w14:textId="77777777" w:rsidR="00390073" w:rsidRDefault="00000000">
            <w:r>
              <w:rPr>
                <w:sz w:val="14"/>
              </w:rPr>
              <w:t>工作面</w:t>
            </w:r>
            <w:r>
              <w:rPr>
                <w:sz w:val="14"/>
              </w:rPr>
              <w:t>5</w:t>
            </w:r>
            <w:r>
              <w:rPr>
                <w:sz w:val="14"/>
              </w:rPr>
              <w:t>个；覆盖率</w:t>
            </w:r>
            <w:r>
              <w:rPr>
                <w:sz w:val="14"/>
              </w:rPr>
              <w:t>89.34%</w:t>
            </w:r>
            <w:r>
              <w:rPr>
                <w:sz w:val="14"/>
              </w:rPr>
              <w:t>；工程效率评分</w:t>
            </w:r>
            <w:r>
              <w:rPr>
                <w:sz w:val="14"/>
              </w:rPr>
              <w:t>87.82</w:t>
            </w:r>
          </w:p>
        </w:tc>
        <w:tc>
          <w:tcPr>
            <w:tcW w:w="1139" w:type="pct"/>
            <w:vAlign w:val="center"/>
          </w:tcPr>
          <w:p w14:paraId="38998C33" w14:textId="77777777" w:rsidR="00390073" w:rsidRDefault="00000000">
            <w:r>
              <w:rPr>
                <w:sz w:val="14"/>
              </w:rPr>
              <w:t>均值</w:t>
            </w:r>
            <w:r>
              <w:rPr>
                <w:sz w:val="14"/>
              </w:rPr>
              <w:t>0.4463</w:t>
            </w:r>
            <w:r>
              <w:rPr>
                <w:sz w:val="14"/>
              </w:rPr>
              <w:t>；</w:t>
            </w:r>
            <w:r>
              <w:rPr>
                <w:sz w:val="14"/>
              </w:rPr>
              <w:t>P90=0.6407</w:t>
            </w:r>
            <w:r>
              <w:rPr>
                <w:sz w:val="14"/>
              </w:rPr>
              <w:t>；</w:t>
            </w:r>
            <w:r>
              <w:rPr>
                <w:sz w:val="14"/>
              </w:rPr>
              <w:t>ODI&gt;0.70</w:t>
            </w:r>
            <w:r>
              <w:rPr>
                <w:sz w:val="14"/>
              </w:rPr>
              <w:t>为</w:t>
            </w:r>
            <w:r>
              <w:rPr>
                <w:sz w:val="14"/>
              </w:rPr>
              <w:t>0.44%</w:t>
            </w:r>
          </w:p>
        </w:tc>
        <w:tc>
          <w:tcPr>
            <w:tcW w:w="1280" w:type="pct"/>
            <w:vAlign w:val="center"/>
          </w:tcPr>
          <w:p w14:paraId="75A46022" w14:textId="77777777" w:rsidR="00390073" w:rsidRDefault="00000000">
            <w:r>
              <w:rPr>
                <w:sz w:val="14"/>
              </w:rPr>
              <w:t>统一</w:t>
            </w:r>
            <w:r>
              <w:rPr>
                <w:sz w:val="14"/>
              </w:rPr>
              <w:t>ODI</w:t>
            </w:r>
            <w:r>
              <w:rPr>
                <w:sz w:val="14"/>
              </w:rPr>
              <w:t>场已复核；</w:t>
            </w:r>
            <w:r>
              <w:rPr>
                <w:sz w:val="14"/>
              </w:rPr>
              <w:t>A</w:t>
            </w:r>
            <w:r>
              <w:rPr>
                <w:sz w:val="14"/>
              </w:rPr>
              <w:t>按工程效率分项排序</w:t>
            </w:r>
          </w:p>
        </w:tc>
      </w:tr>
      <w:tr w:rsidR="00D007CE" w:rsidRPr="006A6807" w14:paraId="58049680" w14:textId="77777777" w:rsidTr="006A6807">
        <w:trPr>
          <w:jc w:val="center"/>
        </w:trPr>
        <w:tc>
          <w:tcPr>
            <w:tcW w:w="557" w:type="pct"/>
            <w:vAlign w:val="center"/>
          </w:tcPr>
          <w:p w14:paraId="77E6C055" w14:textId="77777777" w:rsidR="00390073" w:rsidRDefault="00000000">
            <w:r>
              <w:rPr>
                <w:sz w:val="14"/>
              </w:rPr>
              <w:t>B</w:t>
            </w:r>
          </w:p>
        </w:tc>
        <w:tc>
          <w:tcPr>
            <w:tcW w:w="1107" w:type="pct"/>
            <w:vAlign w:val="center"/>
          </w:tcPr>
          <w:p w14:paraId="6A6D6EEB" w14:textId="77777777" w:rsidR="00390073" w:rsidRDefault="00000000">
            <w:r>
              <w:rPr>
                <w:sz w:val="14"/>
              </w:rPr>
              <w:t>recovery</w:t>
            </w:r>
            <w:r>
              <w:rPr>
                <w:sz w:val="14"/>
              </w:rPr>
              <w:t>；资源回收优先</w:t>
            </w:r>
          </w:p>
        </w:tc>
        <w:tc>
          <w:tcPr>
            <w:tcW w:w="918" w:type="pct"/>
            <w:vAlign w:val="center"/>
          </w:tcPr>
          <w:p w14:paraId="034518E6" w14:textId="77777777" w:rsidR="00390073" w:rsidRDefault="00000000">
            <w:r>
              <w:rPr>
                <w:sz w:val="14"/>
              </w:rPr>
              <w:t>工作面</w:t>
            </w:r>
            <w:r>
              <w:rPr>
                <w:sz w:val="14"/>
              </w:rPr>
              <w:t>9</w:t>
            </w:r>
            <w:r>
              <w:rPr>
                <w:sz w:val="14"/>
              </w:rPr>
              <w:t>个；覆盖率</w:t>
            </w:r>
            <w:r>
              <w:rPr>
                <w:sz w:val="14"/>
              </w:rPr>
              <w:t>98.52%</w:t>
            </w:r>
            <w:r>
              <w:rPr>
                <w:sz w:val="14"/>
              </w:rPr>
              <w:t>；资源回收评分</w:t>
            </w:r>
            <w:r>
              <w:rPr>
                <w:sz w:val="14"/>
              </w:rPr>
              <w:t>89.76</w:t>
            </w:r>
          </w:p>
        </w:tc>
        <w:tc>
          <w:tcPr>
            <w:tcW w:w="1139" w:type="pct"/>
            <w:vAlign w:val="center"/>
          </w:tcPr>
          <w:p w14:paraId="0CD8D5C6" w14:textId="77777777" w:rsidR="00390073" w:rsidRDefault="00000000">
            <w:r>
              <w:rPr>
                <w:sz w:val="14"/>
              </w:rPr>
              <w:t>均值</w:t>
            </w:r>
            <w:r>
              <w:rPr>
                <w:sz w:val="14"/>
              </w:rPr>
              <w:t>0.4552</w:t>
            </w:r>
            <w:r>
              <w:rPr>
                <w:sz w:val="14"/>
              </w:rPr>
              <w:t>；</w:t>
            </w:r>
            <w:r>
              <w:rPr>
                <w:sz w:val="14"/>
              </w:rPr>
              <w:t>P90=0.6462</w:t>
            </w:r>
            <w:r>
              <w:rPr>
                <w:sz w:val="14"/>
              </w:rPr>
              <w:t>；</w:t>
            </w:r>
            <w:r>
              <w:rPr>
                <w:sz w:val="14"/>
              </w:rPr>
              <w:t>ODI&gt;0.70</w:t>
            </w:r>
            <w:r>
              <w:rPr>
                <w:sz w:val="14"/>
              </w:rPr>
              <w:t>为</w:t>
            </w:r>
            <w:r>
              <w:rPr>
                <w:sz w:val="14"/>
              </w:rPr>
              <w:t>0.56%</w:t>
            </w:r>
          </w:p>
        </w:tc>
        <w:tc>
          <w:tcPr>
            <w:tcW w:w="1280" w:type="pct"/>
            <w:vAlign w:val="center"/>
          </w:tcPr>
          <w:p w14:paraId="758DB278" w14:textId="77777777" w:rsidR="00390073" w:rsidRDefault="00000000">
            <w:r>
              <w:rPr>
                <w:sz w:val="14"/>
              </w:rPr>
              <w:t>统一</w:t>
            </w:r>
            <w:r>
              <w:rPr>
                <w:sz w:val="14"/>
              </w:rPr>
              <w:t>ODI</w:t>
            </w:r>
            <w:r>
              <w:rPr>
                <w:sz w:val="14"/>
              </w:rPr>
              <w:t>场已复核；</w:t>
            </w:r>
            <w:r>
              <w:rPr>
                <w:sz w:val="14"/>
              </w:rPr>
              <w:t>B</w:t>
            </w:r>
            <w:r>
              <w:rPr>
                <w:sz w:val="14"/>
              </w:rPr>
              <w:t>按资源回收分项排序</w:t>
            </w:r>
          </w:p>
        </w:tc>
      </w:tr>
      <w:tr w:rsidR="00D007CE" w:rsidRPr="006A6807" w14:paraId="274D2B75" w14:textId="77777777" w:rsidTr="006A6807">
        <w:trPr>
          <w:jc w:val="center"/>
        </w:trPr>
        <w:tc>
          <w:tcPr>
            <w:tcW w:w="557" w:type="pct"/>
            <w:vAlign w:val="center"/>
          </w:tcPr>
          <w:p w14:paraId="430E933A" w14:textId="77777777" w:rsidR="00390073" w:rsidRDefault="00000000">
            <w:r>
              <w:rPr>
                <w:sz w:val="14"/>
              </w:rPr>
              <w:lastRenderedPageBreak/>
              <w:t>C</w:t>
            </w:r>
          </w:p>
        </w:tc>
        <w:tc>
          <w:tcPr>
            <w:tcW w:w="1107" w:type="pct"/>
            <w:vAlign w:val="center"/>
          </w:tcPr>
          <w:p w14:paraId="2132F309" w14:textId="77777777" w:rsidR="00390073" w:rsidRDefault="00000000">
            <w:r>
              <w:rPr>
                <w:sz w:val="14"/>
              </w:rPr>
              <w:t>统一</w:t>
            </w:r>
            <w:r>
              <w:rPr>
                <w:sz w:val="14"/>
              </w:rPr>
              <w:t>ODI</w:t>
            </w:r>
            <w:r>
              <w:rPr>
                <w:sz w:val="14"/>
              </w:rPr>
              <w:t>筛选；联合判据下低扰动候选</w:t>
            </w:r>
          </w:p>
        </w:tc>
        <w:tc>
          <w:tcPr>
            <w:tcW w:w="918" w:type="pct"/>
            <w:vAlign w:val="center"/>
          </w:tcPr>
          <w:p w14:paraId="3AA26761" w14:textId="77777777" w:rsidR="00390073" w:rsidRDefault="00000000">
            <w:r>
              <w:rPr>
                <w:sz w:val="14"/>
              </w:rPr>
              <w:t>工作面</w:t>
            </w:r>
            <w:r>
              <w:rPr>
                <w:sz w:val="14"/>
              </w:rPr>
              <w:t>4</w:t>
            </w:r>
            <w:r>
              <w:rPr>
                <w:sz w:val="14"/>
              </w:rPr>
              <w:t>个；覆盖率</w:t>
            </w:r>
            <w:r>
              <w:rPr>
                <w:sz w:val="14"/>
              </w:rPr>
              <w:t>80.67%</w:t>
            </w:r>
            <w:r>
              <w:rPr>
                <w:sz w:val="14"/>
              </w:rPr>
              <w:t>；工程效率评分</w:t>
            </w:r>
            <w:r>
              <w:rPr>
                <w:sz w:val="14"/>
              </w:rPr>
              <w:t>79.27</w:t>
            </w:r>
          </w:p>
        </w:tc>
        <w:tc>
          <w:tcPr>
            <w:tcW w:w="1139" w:type="pct"/>
            <w:vAlign w:val="center"/>
          </w:tcPr>
          <w:p w14:paraId="0364B62E" w14:textId="77777777" w:rsidR="00390073" w:rsidRDefault="00000000">
            <w:r>
              <w:rPr>
                <w:sz w:val="14"/>
              </w:rPr>
              <w:t>均值</w:t>
            </w:r>
            <w:r>
              <w:rPr>
                <w:sz w:val="14"/>
              </w:rPr>
              <w:t>0.4416</w:t>
            </w:r>
            <w:r>
              <w:rPr>
                <w:sz w:val="14"/>
              </w:rPr>
              <w:t>；</w:t>
            </w:r>
            <w:r>
              <w:rPr>
                <w:sz w:val="14"/>
              </w:rPr>
              <w:t>P90=0.6353</w:t>
            </w:r>
            <w:r>
              <w:rPr>
                <w:sz w:val="14"/>
              </w:rPr>
              <w:t>；</w:t>
            </w:r>
            <w:r>
              <w:rPr>
                <w:sz w:val="14"/>
              </w:rPr>
              <w:t>ODI&gt;0.70</w:t>
            </w:r>
            <w:r>
              <w:rPr>
                <w:sz w:val="14"/>
              </w:rPr>
              <w:t>为</w:t>
            </w:r>
            <w:r>
              <w:rPr>
                <w:sz w:val="14"/>
              </w:rPr>
              <w:t>1.22%</w:t>
            </w:r>
          </w:p>
        </w:tc>
        <w:tc>
          <w:tcPr>
            <w:tcW w:w="1280" w:type="pct"/>
            <w:vAlign w:val="center"/>
          </w:tcPr>
          <w:p w14:paraId="49ADB031" w14:textId="77777777" w:rsidR="00390073" w:rsidRDefault="00000000">
            <w:r>
              <w:rPr>
                <w:sz w:val="14"/>
              </w:rPr>
              <w:t>联合判据下低扰动较优</w:t>
            </w:r>
          </w:p>
        </w:tc>
      </w:tr>
      <w:tr w:rsidR="00D007CE" w:rsidRPr="006A6807" w14:paraId="5388A53C" w14:textId="77777777" w:rsidTr="006A6807">
        <w:trPr>
          <w:jc w:val="center"/>
        </w:trPr>
        <w:tc>
          <w:tcPr>
            <w:tcW w:w="557" w:type="pct"/>
            <w:vAlign w:val="center"/>
          </w:tcPr>
          <w:p w14:paraId="5688F14F" w14:textId="77777777" w:rsidR="00390073" w:rsidRDefault="00000000">
            <w:proofErr w:type="spellStart"/>
            <w:r>
              <w:rPr>
                <w:sz w:val="14"/>
              </w:rPr>
              <w:t>C_old</w:t>
            </w:r>
            <w:proofErr w:type="spellEnd"/>
          </w:p>
        </w:tc>
        <w:tc>
          <w:tcPr>
            <w:tcW w:w="1107" w:type="pct"/>
            <w:vAlign w:val="center"/>
          </w:tcPr>
          <w:p w14:paraId="5E9E3A51" w14:textId="77777777" w:rsidR="00390073" w:rsidRDefault="00000000">
            <w:r>
              <w:rPr>
                <w:sz w:val="14"/>
              </w:rPr>
              <w:t>旧</w:t>
            </w:r>
            <w:r>
              <w:rPr>
                <w:sz w:val="14"/>
              </w:rPr>
              <w:t>disturbance</w:t>
            </w:r>
            <w:r>
              <w:rPr>
                <w:sz w:val="14"/>
              </w:rPr>
              <w:t>保存候选</w:t>
            </w:r>
          </w:p>
        </w:tc>
        <w:tc>
          <w:tcPr>
            <w:tcW w:w="918" w:type="pct"/>
            <w:vAlign w:val="center"/>
          </w:tcPr>
          <w:p w14:paraId="77300E5D" w14:textId="77777777" w:rsidR="00390073" w:rsidRDefault="00000000">
            <w:r>
              <w:rPr>
                <w:sz w:val="14"/>
              </w:rPr>
              <w:t>工作面</w:t>
            </w:r>
            <w:r>
              <w:rPr>
                <w:sz w:val="14"/>
              </w:rPr>
              <w:t>13</w:t>
            </w:r>
            <w:r>
              <w:rPr>
                <w:sz w:val="14"/>
              </w:rPr>
              <w:t>个；覆盖率</w:t>
            </w:r>
            <w:r>
              <w:rPr>
                <w:sz w:val="14"/>
              </w:rPr>
              <w:t>75.06%</w:t>
            </w:r>
            <w:r>
              <w:rPr>
                <w:sz w:val="14"/>
              </w:rPr>
              <w:t>；工程效率评分</w:t>
            </w:r>
            <w:r>
              <w:rPr>
                <w:sz w:val="14"/>
              </w:rPr>
              <w:t>71.17</w:t>
            </w:r>
          </w:p>
        </w:tc>
        <w:tc>
          <w:tcPr>
            <w:tcW w:w="1139" w:type="pct"/>
            <w:vAlign w:val="center"/>
          </w:tcPr>
          <w:p w14:paraId="09A3F6EE" w14:textId="77777777" w:rsidR="00390073" w:rsidRDefault="00000000">
            <w:r>
              <w:rPr>
                <w:sz w:val="14"/>
              </w:rPr>
              <w:t>均值</w:t>
            </w:r>
            <w:r>
              <w:rPr>
                <w:sz w:val="14"/>
              </w:rPr>
              <w:t>0.4560</w:t>
            </w:r>
            <w:r>
              <w:rPr>
                <w:sz w:val="14"/>
              </w:rPr>
              <w:t>；</w:t>
            </w:r>
            <w:r>
              <w:rPr>
                <w:sz w:val="14"/>
              </w:rPr>
              <w:t>P90=0.6472</w:t>
            </w:r>
            <w:r>
              <w:rPr>
                <w:sz w:val="14"/>
              </w:rPr>
              <w:t>；</w:t>
            </w:r>
            <w:r>
              <w:rPr>
                <w:sz w:val="14"/>
              </w:rPr>
              <w:t>ODI&gt;0.70</w:t>
            </w:r>
            <w:r>
              <w:rPr>
                <w:sz w:val="14"/>
              </w:rPr>
              <w:t>为</w:t>
            </w:r>
            <w:r>
              <w:rPr>
                <w:sz w:val="14"/>
              </w:rPr>
              <w:t>0.80%</w:t>
            </w:r>
          </w:p>
        </w:tc>
        <w:tc>
          <w:tcPr>
            <w:tcW w:w="1280" w:type="pct"/>
            <w:vAlign w:val="center"/>
          </w:tcPr>
          <w:p w14:paraId="7244C6B9" w14:textId="77777777" w:rsidR="00390073" w:rsidRDefault="00000000">
            <w:r>
              <w:rPr>
                <w:sz w:val="14"/>
              </w:rPr>
              <w:t>旧口径候选，不作为本文</w:t>
            </w:r>
            <w:r>
              <w:rPr>
                <w:sz w:val="14"/>
              </w:rPr>
              <w:t>C</w:t>
            </w:r>
            <w:r>
              <w:rPr>
                <w:sz w:val="14"/>
              </w:rPr>
              <w:t>方案</w:t>
            </w:r>
          </w:p>
        </w:tc>
      </w:tr>
    </w:tbl>
    <w:p w14:paraId="3C37DCB8" w14:textId="77777777" w:rsidR="00A046E0" w:rsidRDefault="00A046E0" w:rsidP="00A046E0">
      <w:pPr>
        <w:spacing w:after="40"/>
        <w:rPr>
          <w:rFonts w:ascii="宋体" w:hAnsi="宋体"/>
        </w:rPr>
      </w:pPr>
    </w:p>
    <w:p w14:paraId="461B443A" w14:textId="77777777" w:rsidR="00DE4743" w:rsidRPr="00DE4743" w:rsidRDefault="00DE4743" w:rsidP="00A046E0">
      <w:pPr>
        <w:pStyle w:val="12"/>
      </w:pPr>
      <w:r>
        <w:rPr>
          <w:sz w:val="21"/>
        </w:rPr>
        <w:t xml:space="preserve">3.2 </w:t>
      </w:r>
      <w:r>
        <w:rPr>
          <w:sz w:val="21"/>
        </w:rPr>
        <w:t>阈值与权重敏感性分析</w:t>
      </w:r>
    </w:p>
    <w:p w14:paraId="1F15468E" w14:textId="77777777" w:rsidR="00DE4743" w:rsidRPr="00DE4743" w:rsidRDefault="00DE4743" w:rsidP="00DE4743">
      <w:pPr>
        <w:pStyle w:val="10"/>
        <w:spacing w:after="40"/>
        <w:ind w:firstLine="420"/>
        <w:rPr>
          <w:rFonts w:ascii="宋体" w:hAnsi="宋体"/>
        </w:rPr>
      </w:pPr>
      <w:r>
        <w:t>为检验阈值设定对方案判读的影响，本文在</w:t>
      </w:r>
      <w:r>
        <w:t>0.65</w:t>
      </w:r>
      <w:r>
        <w:t>、</w:t>
      </w:r>
      <w:r>
        <w:t>0.70</w:t>
      </w:r>
      <w:r>
        <w:t>、</w:t>
      </w:r>
      <w:r>
        <w:t>0.75</w:t>
      </w:r>
      <w:r>
        <w:t>和</w:t>
      </w:r>
      <w:r>
        <w:t>0.80</w:t>
      </w:r>
      <w:proofErr w:type="gramStart"/>
      <w:r>
        <w:t>四</w:t>
      </w:r>
      <w:proofErr w:type="gramEnd"/>
      <w:r>
        <w:t>组阈值</w:t>
      </w:r>
      <w:proofErr w:type="gramStart"/>
      <w:r>
        <w:t>下统计</w:t>
      </w:r>
      <w:proofErr w:type="gramEnd"/>
      <w:r>
        <w:t>A</w:t>
      </w:r>
      <w:r>
        <w:t>、</w:t>
      </w:r>
      <w:r>
        <w:t>B</w:t>
      </w:r>
      <w:r>
        <w:t>、</w:t>
      </w:r>
      <w:r>
        <w:t>C</w:t>
      </w:r>
      <w:r>
        <w:t>方案的超阈值暴露比例。阈值为</w:t>
      </w:r>
      <w:r>
        <w:t>0.65</w:t>
      </w:r>
      <w:r>
        <w:t>时，</w:t>
      </w:r>
      <w:r>
        <w:t>A</w:t>
      </w:r>
      <w:r>
        <w:t>、</w:t>
      </w:r>
      <w:r>
        <w:t>B</w:t>
      </w:r>
      <w:r>
        <w:t>、</w:t>
      </w:r>
      <w:r>
        <w:t>C</w:t>
      </w:r>
      <w:r>
        <w:t>方案超限比例分别为</w:t>
      </w:r>
      <w:r>
        <w:t>7.42%</w:t>
      </w:r>
      <w:r>
        <w:t>、</w:t>
      </w:r>
      <w:r>
        <w:t>9.09%</w:t>
      </w:r>
      <w:r>
        <w:t>和</w:t>
      </w:r>
      <w:r>
        <w:t>6.31%</w:t>
      </w:r>
      <w:r>
        <w:t>；阈值为</w:t>
      </w:r>
      <w:r>
        <w:t>0.70</w:t>
      </w:r>
      <w:r>
        <w:t>时分别为</w:t>
      </w:r>
      <w:r>
        <w:t>0.44%</w:t>
      </w:r>
      <w:r>
        <w:t>、</w:t>
      </w:r>
      <w:r>
        <w:t>0.56%</w:t>
      </w:r>
      <w:r>
        <w:t>和</w:t>
      </w:r>
      <w:r>
        <w:t>1.22%</w:t>
      </w:r>
      <w:r>
        <w:t>；阈值提高至</w:t>
      </w:r>
      <w:r>
        <w:t>0.75</w:t>
      </w:r>
      <w:r>
        <w:t>和</w:t>
      </w:r>
      <w:r>
        <w:t>0.80</w:t>
      </w:r>
      <w:r>
        <w:t>时，各方案超限比例均明显下降。结果表明，超限比例对阈值较敏感，不能脱离</w:t>
      </w:r>
      <w:r>
        <w:t>ODI</w:t>
      </w:r>
      <w:r>
        <w:t>均值和</w:t>
      </w:r>
      <w:r>
        <w:t>P90</w:t>
      </w:r>
      <w:r>
        <w:t>单独作为优选依据。</w:t>
      </w:r>
    </w:p>
    <w:p w14:paraId="0E407521" w14:textId="77777777" w:rsidR="00DE4743" w:rsidRPr="00DE4743" w:rsidRDefault="00DE4743" w:rsidP="00DE4743">
      <w:pPr>
        <w:pStyle w:val="10"/>
        <w:spacing w:after="40"/>
        <w:ind w:firstLine="420"/>
        <w:rPr>
          <w:rFonts w:ascii="宋体" w:hAnsi="宋体"/>
        </w:rPr>
      </w:pPr>
      <w:r>
        <w:t>权重敏感性分析进一步表明，在基准权重、地表沉陷分量</w:t>
      </w:r>
      <w:r>
        <w:t>±10%</w:t>
      </w:r>
      <w:r>
        <w:t>、含水层扰动分量</w:t>
      </w:r>
      <w:r>
        <w:t>±10%</w:t>
      </w:r>
      <w:r>
        <w:t>、上行开采分量</w:t>
      </w:r>
      <w:r>
        <w:t>±10%</w:t>
      </w:r>
      <w:r>
        <w:t>以及上行开采专项权重条件下，</w:t>
      </w:r>
      <w:r>
        <w:t>C</w:t>
      </w:r>
      <w:r>
        <w:t>方案的风险综合得分均低于</w:t>
      </w:r>
      <w:r>
        <w:t>A</w:t>
      </w:r>
      <w:r>
        <w:t>、</w:t>
      </w:r>
      <w:r>
        <w:t>B</w:t>
      </w:r>
      <w:r>
        <w:t>方案。基准权重下</w:t>
      </w:r>
      <w:r>
        <w:t>A</w:t>
      </w:r>
      <w:r>
        <w:t>、</w:t>
      </w:r>
      <w:r>
        <w:t>B</w:t>
      </w:r>
      <w:r>
        <w:t>、</w:t>
      </w:r>
      <w:r>
        <w:t>C</w:t>
      </w:r>
      <w:r>
        <w:t>风险综合得分分别为</w:t>
      </w:r>
      <w:r>
        <w:t>0.4481</w:t>
      </w:r>
      <w:r>
        <w:t>、</w:t>
      </w:r>
      <w:r>
        <w:t>0.4546</w:t>
      </w:r>
      <w:r>
        <w:t>和</w:t>
      </w:r>
      <w:r>
        <w:t>0.4449</w:t>
      </w:r>
      <w:r>
        <w:t>；在上行开采专项权重</w:t>
      </w:r>
      <w:r>
        <w:t>0.15/0.25/0.60</w:t>
      </w:r>
      <w:r>
        <w:t>下，三者分别为</w:t>
      </w:r>
      <w:r>
        <w:t>0.4505</w:t>
      </w:r>
      <w:r>
        <w:t>、</w:t>
      </w:r>
      <w:r>
        <w:t>0.4564</w:t>
      </w:r>
      <w:r>
        <w:t>和</w:t>
      </w:r>
      <w:r>
        <w:t>0.4498</w:t>
      </w:r>
      <w:r>
        <w:t>。</w:t>
      </w:r>
    </w:p>
    <w:p w14:paraId="59DA27A9" w14:textId="77777777" w:rsidR="00DE4743" w:rsidRPr="00DE4743" w:rsidRDefault="00DE4743" w:rsidP="00DE4743">
      <w:pPr>
        <w:pStyle w:val="10"/>
        <w:spacing w:after="40"/>
        <w:ind w:firstLine="420"/>
        <w:rPr>
          <w:rFonts w:ascii="宋体" w:hAnsi="宋体"/>
        </w:rPr>
      </w:pPr>
      <w:r>
        <w:t>需要注意，权重敏感性所表明的是当前候选池和扰动范围内的排序一致性，而不是</w:t>
      </w:r>
      <w:r>
        <w:t>ODI</w:t>
      </w:r>
      <w:r>
        <w:t>权重具有普</w:t>
      </w:r>
      <w:proofErr w:type="gramStart"/>
      <w:r>
        <w:t>适工程</w:t>
      </w:r>
      <w:proofErr w:type="gramEnd"/>
      <w:r>
        <w:t>常数属性。因此，本文把敏感性分析作为方案排序可靠性的内部校核，用于回应权重和阈值人为设定可能导致结论波动的问题。</w:t>
      </w:r>
    </w:p>
    <w:p w14:paraId="213072D6" w14:textId="77777777" w:rsidR="00DE4743" w:rsidRPr="00DE4743" w:rsidRDefault="00DE4743" w:rsidP="00DE4743">
      <w:pPr>
        <w:pStyle w:val="10"/>
        <w:spacing w:after="40"/>
        <w:ind w:firstLine="420"/>
        <w:rPr>
          <w:rFonts w:ascii="宋体" w:hAnsi="宋体"/>
        </w:rPr>
      </w:pPr>
      <w:r>
        <w:t>综合来看，</w:t>
      </w:r>
      <w:r>
        <w:t>C</w:t>
      </w:r>
      <w:r>
        <w:t>方案并不是覆盖率最大或超限比例在所有阈值下都最低的方案，而是在</w:t>
      </w:r>
      <w:r>
        <w:t>ODI</w:t>
      </w:r>
      <w:r>
        <w:t>均值、</w:t>
      </w:r>
      <w:r>
        <w:t>P90</w:t>
      </w:r>
      <w:r>
        <w:t>和风险综合得分联合判据下表现较优的低扰动候选。这一结果强化了本文方法的核心作用：把不同目标方案放入同一风险统计框架中比较，并把单一指标无法解释的风险</w:t>
      </w:r>
      <w:r>
        <w:t>-</w:t>
      </w:r>
      <w:r>
        <w:t>收益取舍显式呈现。</w:t>
      </w:r>
    </w:p>
    <w:p w14:paraId="5AB2398F" w14:textId="77777777" w:rsidR="00DE4743" w:rsidRDefault="00DE4743" w:rsidP="00DE4743">
      <w:pPr>
        <w:pStyle w:val="10"/>
        <w:spacing w:after="40"/>
        <w:ind w:firstLine="420"/>
        <w:rPr>
          <w:rFonts w:ascii="宋体" w:hAnsi="宋体"/>
        </w:rPr>
      </w:pPr>
      <w:r>
        <w:t>综上，研究区样例表明，统一</w:t>
      </w:r>
      <w:r>
        <w:t>ODI</w:t>
      </w:r>
      <w:proofErr w:type="gramStart"/>
      <w:r>
        <w:t>场不仅</w:t>
      </w:r>
      <w:proofErr w:type="gramEnd"/>
      <w:r>
        <w:t>可以生成候选方案的均值、</w:t>
      </w:r>
      <w:r>
        <w:t>P90</w:t>
      </w:r>
      <w:r>
        <w:t>和超阈值暴露比例，还能够支撑阈值敏感性和权重敏感性复核。当前结果已补齐</w:t>
      </w:r>
      <w:r>
        <w:t>A</w:t>
      </w:r>
      <w:r>
        <w:t>、</w:t>
      </w:r>
      <w:r>
        <w:t>B</w:t>
      </w:r>
      <w:r>
        <w:t>、</w:t>
      </w:r>
      <w:r>
        <w:t>C</w:t>
      </w:r>
      <w:r>
        <w:t>方案的统一</w:t>
      </w:r>
      <w:r>
        <w:t>ODI</w:t>
      </w:r>
      <w:r>
        <w:t>统计和全域</w:t>
      </w:r>
      <w:r>
        <w:t>4480</w:t>
      </w:r>
      <w:r>
        <w:t>栅格统计，但仍不宜把</w:t>
      </w:r>
      <w:proofErr w:type="gramStart"/>
      <w:r>
        <w:t>单一样例</w:t>
      </w:r>
      <w:proofErr w:type="gramEnd"/>
      <w:r>
        <w:t>结果表述为真实矿井条件下的最终优选结论。</w:t>
      </w:r>
    </w:p>
    <w:p w14:paraId="0256F72C" w14:textId="77777777" w:rsidR="00DE4743" w:rsidRDefault="00DE4743" w:rsidP="00DE4743">
      <w:pPr>
        <w:pStyle w:val="10"/>
        <w:spacing w:after="40"/>
        <w:ind w:firstLine="420"/>
        <w:rPr>
          <w:rFonts w:ascii="宋体" w:hAnsi="宋体"/>
        </w:rPr>
      </w:pPr>
      <w:r>
        <w:t>本案例验证强度定位为</w:t>
      </w:r>
      <w:r>
        <w:t>“</w:t>
      </w:r>
      <w:r>
        <w:t>方法链可运行性与内部对照验证</w:t>
      </w:r>
      <w:r>
        <w:t>”</w:t>
      </w:r>
      <w:r>
        <w:t>：它表明离散钻孔、连续参数场、</w:t>
      </w:r>
      <w:r>
        <w:t>ODI</w:t>
      </w:r>
      <w:proofErr w:type="gramStart"/>
      <w:r>
        <w:t>风险场</w:t>
      </w:r>
      <w:proofErr w:type="gramEnd"/>
      <w:r>
        <w:t>和候选方案对象可在同一口径</w:t>
      </w:r>
      <w:proofErr w:type="gramStart"/>
      <w:r>
        <w:t>下计算</w:t>
      </w:r>
      <w:proofErr w:type="gramEnd"/>
      <w:r>
        <w:t>与比较，并揭示不同目标偏好下的风险</w:t>
      </w:r>
      <w:r>
        <w:t>-</w:t>
      </w:r>
      <w:r>
        <w:t>收益权衡；但尚不能替代真实矿井条件下的人工经验方案对照、现场生产约束闭环和开采后实测反馈校核。</w:t>
      </w:r>
    </w:p>
    <w:p w14:paraId="5D550CC1" w14:textId="77777777" w:rsidR="00081B10" w:rsidRDefault="00081B10" w:rsidP="00081B10">
      <w:pPr>
        <w:pStyle w:val="15"/>
        <w:spacing w:after="40"/>
        <w:ind w:firstLine="420"/>
        <w:rPr>
          <w:rFonts w:ascii="宋体" w:hAnsi="宋体"/>
        </w:rPr>
      </w:pPr>
      <w:r>
        <w:t>表</w:t>
      </w:r>
      <w:r>
        <w:t>4 ODI</w:t>
      </w:r>
      <w:r>
        <w:t>统计口径与敏感性复核状态</w:t>
      </w:r>
      <w:r>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557"/>
        <w:gridCol w:w="1797"/>
        <w:gridCol w:w="2025"/>
        <w:gridCol w:w="3228"/>
        <w:gridCol w:w="2051"/>
      </w:tblGrid>
      <w:tr w:rsidR="00D007CE" w:rsidRPr="006A6807" w14:paraId="175FDD07" w14:textId="77777777" w:rsidTr="006A6807">
        <w:trPr>
          <w:jc w:val="center"/>
        </w:trPr>
        <w:tc>
          <w:tcPr>
            <w:tcW w:w="585" w:type="pct"/>
            <w:tcBorders>
              <w:top w:val="single" w:sz="8" w:space="0" w:color="000000"/>
              <w:bottom w:val="single" w:sz="6" w:space="0" w:color="000000"/>
            </w:tcBorders>
            <w:vAlign w:val="center"/>
          </w:tcPr>
          <w:p w14:paraId="22D723AE" w14:textId="77777777" w:rsidR="00390073" w:rsidRDefault="00000000">
            <w:r>
              <w:rPr>
                <w:sz w:val="14"/>
              </w:rPr>
              <w:t>项目</w:t>
            </w:r>
          </w:p>
        </w:tc>
        <w:tc>
          <w:tcPr>
            <w:tcW w:w="1227" w:type="pct"/>
            <w:tcBorders>
              <w:top w:val="single" w:sz="8" w:space="0" w:color="000000"/>
              <w:bottom w:val="single" w:sz="6" w:space="0" w:color="000000"/>
            </w:tcBorders>
            <w:vAlign w:val="center"/>
          </w:tcPr>
          <w:p w14:paraId="32809358" w14:textId="77777777" w:rsidR="00390073" w:rsidRDefault="00000000">
            <w:r>
              <w:rPr>
                <w:sz w:val="14"/>
              </w:rPr>
              <w:t>结果</w:t>
            </w:r>
          </w:p>
        </w:tc>
        <w:tc>
          <w:tcPr>
            <w:tcW w:w="1345" w:type="pct"/>
            <w:tcBorders>
              <w:top w:val="single" w:sz="8" w:space="0" w:color="000000"/>
              <w:bottom w:val="single" w:sz="6" w:space="0" w:color="000000"/>
            </w:tcBorders>
            <w:vAlign w:val="center"/>
          </w:tcPr>
          <w:p w14:paraId="09A1553D" w14:textId="77777777" w:rsidR="00390073" w:rsidRDefault="00000000">
            <w:r>
              <w:rPr>
                <w:sz w:val="14"/>
              </w:rPr>
              <w:t>用途</w:t>
            </w:r>
          </w:p>
        </w:tc>
        <w:tc>
          <w:tcPr>
            <w:tcW w:w="485" w:type="pct"/>
            <w:tcBorders>
              <w:top w:val="single" w:sz="8" w:space="0" w:color="000000"/>
              <w:bottom w:val="single" w:sz="6" w:space="0" w:color="000000"/>
            </w:tcBorders>
            <w:vAlign w:val="center"/>
          </w:tcPr>
          <w:p w14:paraId="0D4FB677" w14:textId="77777777" w:rsidR="00390073" w:rsidRDefault="00000000">
            <w:r>
              <w:rPr>
                <w:sz w:val="14"/>
              </w:rPr>
              <w:t>数据文件</w:t>
            </w:r>
          </w:p>
        </w:tc>
        <w:tc>
          <w:tcPr>
            <w:tcW w:w="1359" w:type="pct"/>
            <w:tcBorders>
              <w:top w:val="single" w:sz="8" w:space="0" w:color="000000"/>
              <w:bottom w:val="single" w:sz="6" w:space="0" w:color="000000"/>
            </w:tcBorders>
            <w:vAlign w:val="center"/>
          </w:tcPr>
          <w:p w14:paraId="4617BAA3" w14:textId="77777777" w:rsidR="00390073" w:rsidRDefault="00000000">
            <w:r>
              <w:rPr>
                <w:sz w:val="14"/>
              </w:rPr>
              <w:t>说明</w:t>
            </w:r>
          </w:p>
        </w:tc>
      </w:tr>
      <w:tr w:rsidR="00D007CE" w:rsidRPr="006A6807" w14:paraId="2A62CCB1" w14:textId="77777777" w:rsidTr="006A6807">
        <w:trPr>
          <w:jc w:val="center"/>
        </w:trPr>
        <w:tc>
          <w:tcPr>
            <w:tcW w:w="585" w:type="pct"/>
            <w:vAlign w:val="center"/>
          </w:tcPr>
          <w:p w14:paraId="53AF18E7" w14:textId="77777777" w:rsidR="00390073" w:rsidRDefault="00000000">
            <w:r>
              <w:rPr>
                <w:sz w:val="14"/>
              </w:rPr>
              <w:t>全域</w:t>
            </w:r>
            <w:r>
              <w:rPr>
                <w:sz w:val="14"/>
              </w:rPr>
              <w:t>ODI</w:t>
            </w:r>
            <w:r>
              <w:rPr>
                <w:sz w:val="14"/>
              </w:rPr>
              <w:t>场</w:t>
            </w:r>
          </w:p>
        </w:tc>
        <w:tc>
          <w:tcPr>
            <w:tcW w:w="1227" w:type="pct"/>
            <w:vAlign w:val="center"/>
          </w:tcPr>
          <w:p w14:paraId="7F5B3B11" w14:textId="77777777" w:rsidR="00390073" w:rsidRDefault="00000000">
            <w:r>
              <w:rPr>
                <w:sz w:val="14"/>
              </w:rPr>
              <w:t>80×56</w:t>
            </w:r>
            <w:r>
              <w:rPr>
                <w:sz w:val="14"/>
              </w:rPr>
              <w:t>；</w:t>
            </w:r>
            <w:r>
              <w:rPr>
                <w:sz w:val="14"/>
              </w:rPr>
              <w:t>4480</w:t>
            </w:r>
            <w:r>
              <w:rPr>
                <w:sz w:val="14"/>
              </w:rPr>
              <w:t>栅格；均值</w:t>
            </w:r>
            <w:r>
              <w:rPr>
                <w:sz w:val="14"/>
              </w:rPr>
              <w:t>0.4669</w:t>
            </w:r>
            <w:r>
              <w:rPr>
                <w:sz w:val="14"/>
              </w:rPr>
              <w:t>；</w:t>
            </w:r>
            <w:r>
              <w:rPr>
                <w:sz w:val="14"/>
              </w:rPr>
              <w:t>P90=0.7474</w:t>
            </w:r>
            <w:r>
              <w:rPr>
                <w:sz w:val="14"/>
              </w:rPr>
              <w:t>；</w:t>
            </w:r>
            <w:r>
              <w:rPr>
                <w:sz w:val="14"/>
              </w:rPr>
              <w:t>ODI&gt;0.70</w:t>
            </w:r>
            <w:r>
              <w:rPr>
                <w:sz w:val="14"/>
              </w:rPr>
              <w:t>为</w:t>
            </w:r>
            <w:r>
              <w:rPr>
                <w:sz w:val="14"/>
              </w:rPr>
              <w:t>15.89%</w:t>
            </w:r>
          </w:p>
        </w:tc>
        <w:tc>
          <w:tcPr>
            <w:tcW w:w="1345" w:type="pct"/>
            <w:vAlign w:val="center"/>
          </w:tcPr>
          <w:p w14:paraId="69F6039E" w14:textId="77777777" w:rsidR="00390073" w:rsidRDefault="00000000">
            <w:r>
              <w:rPr>
                <w:sz w:val="14"/>
              </w:rPr>
              <w:t>研究</w:t>
            </w:r>
            <w:proofErr w:type="gramStart"/>
            <w:r>
              <w:rPr>
                <w:sz w:val="14"/>
              </w:rPr>
              <w:t>区风险</w:t>
            </w:r>
            <w:proofErr w:type="gramEnd"/>
            <w:r>
              <w:rPr>
                <w:sz w:val="14"/>
              </w:rPr>
              <w:t>背景</w:t>
            </w:r>
          </w:p>
        </w:tc>
        <w:tc>
          <w:tcPr>
            <w:tcW w:w="485" w:type="pct"/>
            <w:vAlign w:val="center"/>
          </w:tcPr>
          <w:p w14:paraId="1DF5BBC3" w14:textId="77777777" w:rsidR="00390073" w:rsidRDefault="00000000">
            <w:r>
              <w:rPr>
                <w:sz w:val="14"/>
              </w:rPr>
              <w:t>000_mindong_layout_odi_</w:t>
            </w:r>
            <w:proofErr w:type="gramStart"/>
            <w:r>
              <w:rPr>
                <w:sz w:val="14"/>
              </w:rPr>
              <w:t>field.json</w:t>
            </w:r>
            <w:proofErr w:type="gramEnd"/>
          </w:p>
        </w:tc>
        <w:tc>
          <w:tcPr>
            <w:tcW w:w="1359" w:type="pct"/>
            <w:vAlign w:val="center"/>
          </w:tcPr>
          <w:p w14:paraId="7730E8E0" w14:textId="77777777" w:rsidR="00390073" w:rsidRDefault="00000000">
            <w:r>
              <w:rPr>
                <w:sz w:val="14"/>
              </w:rPr>
              <w:t>已复核</w:t>
            </w:r>
          </w:p>
        </w:tc>
      </w:tr>
      <w:tr w:rsidR="00D007CE" w:rsidRPr="006A6807" w14:paraId="309BB01D" w14:textId="77777777" w:rsidTr="006A6807">
        <w:trPr>
          <w:jc w:val="center"/>
        </w:trPr>
        <w:tc>
          <w:tcPr>
            <w:tcW w:w="585" w:type="pct"/>
            <w:vAlign w:val="center"/>
          </w:tcPr>
          <w:p w14:paraId="2B536AC2" w14:textId="77777777" w:rsidR="00390073" w:rsidRDefault="00000000">
            <w:r>
              <w:rPr>
                <w:sz w:val="14"/>
              </w:rPr>
              <w:t>统一方案对比</w:t>
            </w:r>
          </w:p>
        </w:tc>
        <w:tc>
          <w:tcPr>
            <w:tcW w:w="1227" w:type="pct"/>
            <w:vAlign w:val="center"/>
          </w:tcPr>
          <w:p w14:paraId="3A3360C1" w14:textId="77777777" w:rsidR="00390073" w:rsidRDefault="00000000">
            <w:r>
              <w:rPr>
                <w:sz w:val="14"/>
              </w:rPr>
              <w:t>A/B/C</w:t>
            </w:r>
            <w:r>
              <w:rPr>
                <w:sz w:val="14"/>
              </w:rPr>
              <w:t>均值为</w:t>
            </w:r>
            <w:r>
              <w:rPr>
                <w:sz w:val="14"/>
              </w:rPr>
              <w:t>0.4463/0.4552/0.4416</w:t>
            </w:r>
            <w:r>
              <w:rPr>
                <w:sz w:val="14"/>
              </w:rPr>
              <w:t>；</w:t>
            </w:r>
            <w:r>
              <w:rPr>
                <w:sz w:val="14"/>
              </w:rPr>
              <w:t>P90</w:t>
            </w:r>
            <w:r>
              <w:rPr>
                <w:sz w:val="14"/>
              </w:rPr>
              <w:t>为</w:t>
            </w:r>
            <w:r>
              <w:rPr>
                <w:sz w:val="14"/>
              </w:rPr>
              <w:t>0.6407/0.6462/0.6353</w:t>
            </w:r>
          </w:p>
        </w:tc>
        <w:tc>
          <w:tcPr>
            <w:tcW w:w="1345" w:type="pct"/>
            <w:vAlign w:val="center"/>
          </w:tcPr>
          <w:p w14:paraId="6013A281" w14:textId="77777777" w:rsidR="00390073" w:rsidRDefault="00000000">
            <w:proofErr w:type="gramStart"/>
            <w:r>
              <w:rPr>
                <w:sz w:val="14"/>
              </w:rPr>
              <w:t>方案级风险</w:t>
            </w:r>
            <w:proofErr w:type="gramEnd"/>
            <w:r>
              <w:rPr>
                <w:sz w:val="14"/>
              </w:rPr>
              <w:t>比较</w:t>
            </w:r>
          </w:p>
        </w:tc>
        <w:tc>
          <w:tcPr>
            <w:tcW w:w="485" w:type="pct"/>
            <w:vAlign w:val="center"/>
          </w:tcPr>
          <w:p w14:paraId="6C4E1942" w14:textId="77777777" w:rsidR="00390073" w:rsidRDefault="00000000">
            <w:r>
              <w:rPr>
                <w:sz w:val="14"/>
              </w:rPr>
              <w:t>coal_sci_abc_odi_unified_stats_20260418.csv</w:t>
            </w:r>
          </w:p>
        </w:tc>
        <w:tc>
          <w:tcPr>
            <w:tcW w:w="1359" w:type="pct"/>
            <w:vAlign w:val="center"/>
          </w:tcPr>
          <w:p w14:paraId="0B2BF67C" w14:textId="77777777" w:rsidR="00390073" w:rsidRDefault="00000000">
            <w:r>
              <w:rPr>
                <w:sz w:val="14"/>
              </w:rPr>
              <w:t>同一</w:t>
            </w:r>
            <w:r>
              <w:rPr>
                <w:sz w:val="14"/>
              </w:rPr>
              <w:t>ODI</w:t>
            </w:r>
            <w:r>
              <w:rPr>
                <w:sz w:val="14"/>
              </w:rPr>
              <w:t>场采样</w:t>
            </w:r>
          </w:p>
        </w:tc>
      </w:tr>
      <w:tr w:rsidR="00D007CE" w:rsidRPr="006A6807" w14:paraId="38513F1A" w14:textId="77777777" w:rsidTr="006A6807">
        <w:trPr>
          <w:jc w:val="center"/>
        </w:trPr>
        <w:tc>
          <w:tcPr>
            <w:tcW w:w="585" w:type="pct"/>
            <w:vAlign w:val="center"/>
          </w:tcPr>
          <w:p w14:paraId="5FC023CC" w14:textId="77777777" w:rsidR="00390073" w:rsidRDefault="00000000">
            <w:r>
              <w:rPr>
                <w:sz w:val="14"/>
              </w:rPr>
              <w:t>阈值敏感性</w:t>
            </w:r>
          </w:p>
        </w:tc>
        <w:tc>
          <w:tcPr>
            <w:tcW w:w="1227" w:type="pct"/>
            <w:vAlign w:val="center"/>
          </w:tcPr>
          <w:p w14:paraId="692A2C16" w14:textId="77777777" w:rsidR="00390073" w:rsidRDefault="00000000">
            <w:r>
              <w:rPr>
                <w:sz w:val="14"/>
              </w:rPr>
              <w:t>阈值</w:t>
            </w:r>
            <w:r>
              <w:rPr>
                <w:sz w:val="14"/>
              </w:rPr>
              <w:t>0.65/0.70/0.75/0.80</w:t>
            </w:r>
            <w:r>
              <w:rPr>
                <w:sz w:val="14"/>
              </w:rPr>
              <w:t>下，</w:t>
            </w:r>
            <w:r>
              <w:rPr>
                <w:sz w:val="14"/>
              </w:rPr>
              <w:t>C</w:t>
            </w:r>
            <w:r>
              <w:rPr>
                <w:sz w:val="14"/>
              </w:rPr>
              <w:t>超限率为</w:t>
            </w:r>
            <w:r>
              <w:rPr>
                <w:sz w:val="14"/>
              </w:rPr>
              <w:t>6.31%/1.22%/0.13%/0.00%</w:t>
            </w:r>
          </w:p>
        </w:tc>
        <w:tc>
          <w:tcPr>
            <w:tcW w:w="1345" w:type="pct"/>
            <w:vAlign w:val="center"/>
          </w:tcPr>
          <w:p w14:paraId="11EA462D" w14:textId="77777777" w:rsidR="00390073" w:rsidRDefault="00000000">
            <w:r>
              <w:rPr>
                <w:sz w:val="14"/>
              </w:rPr>
              <w:t>检验阈值影响</w:t>
            </w:r>
          </w:p>
        </w:tc>
        <w:tc>
          <w:tcPr>
            <w:tcW w:w="485" w:type="pct"/>
            <w:vAlign w:val="center"/>
          </w:tcPr>
          <w:p w14:paraId="6392DB53" w14:textId="77777777" w:rsidR="00390073" w:rsidRDefault="00000000">
            <w:r>
              <w:rPr>
                <w:sz w:val="14"/>
              </w:rPr>
              <w:t>coal_sci_threshold_sensitivity_candidates_20260418.csv</w:t>
            </w:r>
          </w:p>
        </w:tc>
        <w:tc>
          <w:tcPr>
            <w:tcW w:w="1359" w:type="pct"/>
            <w:vAlign w:val="center"/>
          </w:tcPr>
          <w:p w14:paraId="13F4FB16" w14:textId="77777777" w:rsidR="00390073" w:rsidRDefault="00000000">
            <w:r>
              <w:rPr>
                <w:sz w:val="14"/>
              </w:rPr>
              <w:t>A</w:t>
            </w:r>
            <w:r>
              <w:rPr>
                <w:sz w:val="14"/>
              </w:rPr>
              <w:t>、</w:t>
            </w:r>
            <w:r>
              <w:rPr>
                <w:sz w:val="14"/>
              </w:rPr>
              <w:t>B</w:t>
            </w:r>
            <w:r>
              <w:rPr>
                <w:sz w:val="14"/>
              </w:rPr>
              <w:t>同步计算</w:t>
            </w:r>
          </w:p>
        </w:tc>
      </w:tr>
      <w:tr w:rsidR="00D007CE" w:rsidRPr="006A6807" w14:paraId="21D8B442" w14:textId="77777777" w:rsidTr="006A6807">
        <w:trPr>
          <w:jc w:val="center"/>
        </w:trPr>
        <w:tc>
          <w:tcPr>
            <w:tcW w:w="585" w:type="pct"/>
            <w:vAlign w:val="center"/>
          </w:tcPr>
          <w:p w14:paraId="1FEEA68F" w14:textId="77777777" w:rsidR="00390073" w:rsidRDefault="00000000">
            <w:r>
              <w:rPr>
                <w:sz w:val="14"/>
              </w:rPr>
              <w:t>权重敏感性</w:t>
            </w:r>
          </w:p>
        </w:tc>
        <w:tc>
          <w:tcPr>
            <w:tcW w:w="1227" w:type="pct"/>
            <w:vAlign w:val="center"/>
          </w:tcPr>
          <w:p w14:paraId="217874D2" w14:textId="77777777" w:rsidR="00390073" w:rsidRDefault="00000000">
            <w:r>
              <w:rPr>
                <w:sz w:val="14"/>
              </w:rPr>
              <w:t>基准、</w:t>
            </w:r>
            <w:r>
              <w:rPr>
                <w:sz w:val="14"/>
              </w:rPr>
              <w:t>±10%</w:t>
            </w:r>
            <w:r>
              <w:rPr>
                <w:sz w:val="14"/>
              </w:rPr>
              <w:t>扰动和上行开采专项权重下，风险综合得分表现为</w:t>
            </w:r>
            <w:r>
              <w:rPr>
                <w:sz w:val="14"/>
              </w:rPr>
              <w:t>C</w:t>
            </w:r>
            <w:r>
              <w:rPr>
                <w:sz w:val="14"/>
              </w:rPr>
              <w:t>最低、</w:t>
            </w:r>
            <w:r>
              <w:rPr>
                <w:sz w:val="14"/>
              </w:rPr>
              <w:t>A</w:t>
            </w:r>
            <w:r>
              <w:rPr>
                <w:sz w:val="14"/>
              </w:rPr>
              <w:t>次之、</w:t>
            </w:r>
            <w:r>
              <w:rPr>
                <w:sz w:val="14"/>
              </w:rPr>
              <w:t>B</w:t>
            </w:r>
            <w:r>
              <w:rPr>
                <w:sz w:val="14"/>
              </w:rPr>
              <w:t>最高</w:t>
            </w:r>
          </w:p>
        </w:tc>
        <w:tc>
          <w:tcPr>
            <w:tcW w:w="1345" w:type="pct"/>
            <w:vAlign w:val="center"/>
          </w:tcPr>
          <w:p w14:paraId="252670F6" w14:textId="77777777" w:rsidR="00390073" w:rsidRDefault="00000000">
            <w:r>
              <w:rPr>
                <w:sz w:val="14"/>
              </w:rPr>
              <w:t>检验权重稳定性</w:t>
            </w:r>
          </w:p>
        </w:tc>
        <w:tc>
          <w:tcPr>
            <w:tcW w:w="485" w:type="pct"/>
            <w:vAlign w:val="center"/>
          </w:tcPr>
          <w:p w14:paraId="4EC84A95" w14:textId="77777777" w:rsidR="00390073" w:rsidRDefault="00000000">
            <w:r>
              <w:rPr>
                <w:sz w:val="14"/>
              </w:rPr>
              <w:t>coal_sci_weight_sensitivity_candidates_20260418.csv</w:t>
            </w:r>
          </w:p>
        </w:tc>
        <w:tc>
          <w:tcPr>
            <w:tcW w:w="1359" w:type="pct"/>
            <w:vAlign w:val="center"/>
          </w:tcPr>
          <w:p w14:paraId="74E21F53" w14:textId="77777777" w:rsidR="00390073" w:rsidRDefault="00000000">
            <w:r>
              <w:rPr>
                <w:sz w:val="14"/>
              </w:rPr>
              <w:t>风险得分越小越优</w:t>
            </w:r>
          </w:p>
        </w:tc>
      </w:tr>
      <w:tr w:rsidR="00D007CE" w:rsidRPr="006A6807" w14:paraId="4B5CC0E4" w14:textId="77777777" w:rsidTr="006A6807">
        <w:trPr>
          <w:jc w:val="center"/>
        </w:trPr>
        <w:tc>
          <w:tcPr>
            <w:tcW w:w="585" w:type="pct"/>
            <w:vAlign w:val="center"/>
          </w:tcPr>
          <w:p w14:paraId="1187FA42" w14:textId="77777777" w:rsidR="00390073" w:rsidRDefault="00000000">
            <w:r>
              <w:rPr>
                <w:sz w:val="14"/>
              </w:rPr>
              <w:t>经济评价</w:t>
            </w:r>
          </w:p>
        </w:tc>
        <w:tc>
          <w:tcPr>
            <w:tcW w:w="1227" w:type="pct"/>
            <w:vAlign w:val="center"/>
          </w:tcPr>
          <w:p w14:paraId="289864E2" w14:textId="77777777" w:rsidR="00390073" w:rsidRDefault="00000000">
            <w:r>
              <w:rPr>
                <w:sz w:val="14"/>
              </w:rPr>
              <w:t>仅保留输入关系</w:t>
            </w:r>
          </w:p>
        </w:tc>
        <w:tc>
          <w:tcPr>
            <w:tcW w:w="1345" w:type="pct"/>
            <w:vAlign w:val="center"/>
          </w:tcPr>
          <w:p w14:paraId="796300B3" w14:textId="77777777" w:rsidR="00390073" w:rsidRDefault="00000000">
            <w:r>
              <w:rPr>
                <w:sz w:val="14"/>
              </w:rPr>
              <w:t>下游接口说明</w:t>
            </w:r>
          </w:p>
        </w:tc>
        <w:tc>
          <w:tcPr>
            <w:tcW w:w="485" w:type="pct"/>
            <w:vAlign w:val="center"/>
          </w:tcPr>
          <w:p w14:paraId="661EC19F" w14:textId="77777777" w:rsidR="00390073" w:rsidRDefault="00000000">
            <w:r>
              <w:rPr>
                <w:sz w:val="14"/>
              </w:rPr>
              <w:t>规划对象与接续参数</w:t>
            </w:r>
          </w:p>
        </w:tc>
        <w:tc>
          <w:tcPr>
            <w:tcW w:w="1359" w:type="pct"/>
            <w:vAlign w:val="center"/>
          </w:tcPr>
          <w:p w14:paraId="44F6CE7F" w14:textId="77777777" w:rsidR="00390073" w:rsidRDefault="00000000">
            <w:r>
              <w:rPr>
                <w:sz w:val="14"/>
              </w:rPr>
              <w:t>不写未经独立导出的</w:t>
            </w:r>
            <w:r>
              <w:rPr>
                <w:sz w:val="14"/>
              </w:rPr>
              <w:t>NPV</w:t>
            </w:r>
            <w:r>
              <w:rPr>
                <w:sz w:val="14"/>
              </w:rPr>
              <w:t>和回收期</w:t>
            </w:r>
          </w:p>
        </w:tc>
      </w:tr>
    </w:tbl>
    <w:p w14:paraId="4060D41A" w14:textId="77777777" w:rsidR="007E22B6" w:rsidRDefault="00DE4743" w:rsidP="00A046E0">
      <w:pPr>
        <w:pStyle w:val="11"/>
      </w:pPr>
      <w:r>
        <w:lastRenderedPageBreak/>
        <w:t xml:space="preserve">3.3 </w:t>
      </w:r>
      <w:r>
        <w:t>规划结果传递与评价边界</w:t>
      </w:r>
    </w:p>
    <w:p w14:paraId="5DB5CB26" w14:textId="77777777" w:rsidR="007E22B6" w:rsidRDefault="00DE4743" w:rsidP="00A046E0">
      <w:pPr>
        <w:pStyle w:val="11"/>
      </w:pPr>
      <w:r>
        <w:t>本文不把采区规划几何布局视为终点，而强调其作为采掘接续和工程经济评价的上游输入。煤矿智能化技术体系与三维地质建模研究已将工作面接续设计、储量计算和设备配套纳入数据化流程</w:t>
      </w:r>
      <w:r>
        <w:t>[28,31-32]</w:t>
      </w:r>
      <w:r>
        <w:t>；地下水库储水空间、库容和调度研究也说明，</w:t>
      </w:r>
      <w:proofErr w:type="gramStart"/>
      <w:r>
        <w:t>采动空间</w:t>
      </w:r>
      <w:proofErr w:type="gramEnd"/>
      <w:r>
        <w:t>对象可继续服务于水资源调控和风险管理</w:t>
      </w:r>
      <w:r>
        <w:t>[42-47]</w:t>
      </w:r>
      <w:r>
        <w:t>。本样</w:t>
      </w:r>
      <w:proofErr w:type="gramStart"/>
      <w:r>
        <w:t>例形成</w:t>
      </w:r>
      <w:proofErr w:type="gramEnd"/>
      <w:r>
        <w:t>的工作面边界、巷道路径、推进长度、布置面积和</w:t>
      </w:r>
      <w:r>
        <w:t>ODI</w:t>
      </w:r>
      <w:r>
        <w:t>统计量，可作为后续生产顺序、产量核算和经济评价的输入对象。</w:t>
      </w:r>
    </w:p>
    <w:p w14:paraId="223F6B9D" w14:textId="77777777" w:rsidR="007E22B6" w:rsidRDefault="00DE4743" w:rsidP="00A046E0">
      <w:pPr>
        <w:pStyle w:val="11"/>
      </w:pPr>
      <w:r>
        <w:rPr>
          <w:sz w:val="21"/>
        </w:rPr>
        <w:t>在采掘接续层面，规划阶段形成的工作面边界和推进关系可映射为接续任务对象。</w:t>
      </w:r>
      <w:proofErr w:type="gramStart"/>
      <w:r>
        <w:rPr>
          <w:sz w:val="21"/>
        </w:rPr>
        <w:t>当前样</w:t>
      </w:r>
      <w:proofErr w:type="gramEnd"/>
      <w:r>
        <w:rPr>
          <w:sz w:val="21"/>
        </w:rPr>
        <w:t>例仅保留对象传递口径说明，不插入缺乏独立数据支撑的接续图件；其证据重点是</w:t>
      </w:r>
      <w:r>
        <w:rPr>
          <w:sz w:val="21"/>
        </w:rPr>
        <w:t>“</w:t>
      </w:r>
      <w:r>
        <w:rPr>
          <w:sz w:val="21"/>
        </w:rPr>
        <w:t>对象可传递、链路可延伸</w:t>
      </w:r>
      <w:r>
        <w:rPr>
          <w:sz w:val="21"/>
        </w:rPr>
        <w:t>”</w:t>
      </w:r>
      <w:r>
        <w:rPr>
          <w:sz w:val="21"/>
        </w:rPr>
        <w:t>，而不是未经独立导出的量化优选结论。</w:t>
      </w:r>
    </w:p>
    <w:p w14:paraId="761034B5" w14:textId="77777777" w:rsidR="007E22B6" w:rsidRDefault="00DE4743" w:rsidP="00A046E0">
      <w:pPr>
        <w:pStyle w:val="11"/>
      </w:pPr>
      <w:r>
        <w:rPr>
          <w:sz w:val="21"/>
        </w:rPr>
        <w:t>在调控层面，规划结果还可进一步转化为工作面级控制变量。当前已复核的</w:t>
      </w:r>
      <w:r>
        <w:rPr>
          <w:sz w:val="21"/>
        </w:rPr>
        <w:t>A</w:t>
      </w:r>
      <w:r>
        <w:rPr>
          <w:sz w:val="21"/>
        </w:rPr>
        <w:t>、</w:t>
      </w:r>
      <w:r>
        <w:rPr>
          <w:sz w:val="21"/>
        </w:rPr>
        <w:t>B</w:t>
      </w:r>
      <w:r>
        <w:rPr>
          <w:sz w:val="21"/>
        </w:rPr>
        <w:t>、</w:t>
      </w:r>
      <w:r>
        <w:rPr>
          <w:sz w:val="21"/>
        </w:rPr>
        <w:t>C</w:t>
      </w:r>
      <w:r>
        <w:rPr>
          <w:sz w:val="21"/>
        </w:rPr>
        <w:t>方案均采用同一</w:t>
      </w:r>
      <w:r>
        <w:rPr>
          <w:sz w:val="21"/>
        </w:rPr>
        <w:t>ODI</w:t>
      </w:r>
      <w:r>
        <w:rPr>
          <w:sz w:val="21"/>
        </w:rPr>
        <w:t>场和统一方案区栅格形成</w:t>
      </w:r>
      <w:proofErr w:type="gramStart"/>
      <w:r>
        <w:rPr>
          <w:sz w:val="21"/>
        </w:rPr>
        <w:t>方案级统计</w:t>
      </w:r>
      <w:proofErr w:type="gramEnd"/>
      <w:r>
        <w:rPr>
          <w:sz w:val="21"/>
        </w:rPr>
        <w:t>，其</w:t>
      </w:r>
      <w:r>
        <w:rPr>
          <w:sz w:val="21"/>
        </w:rPr>
        <w:t>ODI</w:t>
      </w:r>
      <w:r>
        <w:rPr>
          <w:sz w:val="21"/>
        </w:rPr>
        <w:t>均值、</w:t>
      </w:r>
      <w:r>
        <w:rPr>
          <w:sz w:val="21"/>
        </w:rPr>
        <w:t>P90</w:t>
      </w:r>
      <w:r>
        <w:rPr>
          <w:sz w:val="21"/>
        </w:rPr>
        <w:t>和超阈值暴露比例可作为后续采高、煤柱宽度、推进方向和工作面宽度调整的反馈指标。</w:t>
      </w:r>
    </w:p>
    <w:p w14:paraId="66C2F950" w14:textId="77777777" w:rsidR="007E22B6" w:rsidRDefault="00DE4743" w:rsidP="00A046E0">
      <w:pPr>
        <w:pStyle w:val="11"/>
      </w:pPr>
      <w:r>
        <w:rPr>
          <w:sz w:val="21"/>
        </w:rPr>
        <w:t>在工程经济评价层面，规划与接续结果可以继续进入收入、成本、风险联动成本和现金流分析过程。</w:t>
      </w:r>
      <w:proofErr w:type="gramStart"/>
      <w:r>
        <w:rPr>
          <w:sz w:val="21"/>
        </w:rPr>
        <w:t>当前样</w:t>
      </w:r>
      <w:proofErr w:type="gramEnd"/>
      <w:r>
        <w:rPr>
          <w:sz w:val="21"/>
        </w:rPr>
        <w:t>例已完成规划对象向后续评价口径的传递，但尚不具备独立导出的真实矿井经济对照数据，因此本文仅说明工程经济评价的输入关系与计算口径，不给出未经数据支撑的现金流曲线或经济优选结论。</w:t>
      </w:r>
    </w:p>
    <w:p w14:paraId="60E3721D" w14:textId="77777777" w:rsidR="007E22B6" w:rsidRDefault="00DE4743" w:rsidP="00A046E0">
      <w:pPr>
        <w:pStyle w:val="11"/>
      </w:pPr>
      <w:r>
        <w:t>综上，研究区样例表明，本文方法已完成</w:t>
      </w:r>
      <w:r>
        <w:t>“</w:t>
      </w:r>
      <w:r>
        <w:t>边界与钻孔输入</w:t>
      </w:r>
      <w:r>
        <w:t>—</w:t>
      </w:r>
      <w:r>
        <w:t>参数场构建</w:t>
      </w:r>
      <w:r>
        <w:t>—ODI</w:t>
      </w:r>
      <w:r>
        <w:t>风险组织</w:t>
      </w:r>
      <w:r>
        <w:t>—</w:t>
      </w:r>
      <w:r>
        <w:t>候选方案集合</w:t>
      </w:r>
      <w:r>
        <w:t>—</w:t>
      </w:r>
      <w:r>
        <w:t>方案级统计</w:t>
      </w:r>
      <w:r>
        <w:t>—</w:t>
      </w:r>
      <w:r>
        <w:t>后续评价输入</w:t>
      </w:r>
      <w:r>
        <w:t>”</w:t>
      </w:r>
      <w:r>
        <w:t>的连续运行过程。当前结果表明方法链和对象链在样</w:t>
      </w:r>
      <w:proofErr w:type="gramStart"/>
      <w:r>
        <w:t>例条件</w:t>
      </w:r>
      <w:proofErr w:type="gramEnd"/>
      <w:r>
        <w:t>下具备贯通性，但仍需通过</w:t>
      </w:r>
      <w:proofErr w:type="gramStart"/>
      <w:r>
        <w:t>更多实矿案例</w:t>
      </w:r>
      <w:proofErr w:type="gramEnd"/>
      <w:r>
        <w:t>和现场约束闭环检验工程适用性。</w:t>
      </w:r>
    </w:p>
    <w:p w14:paraId="109DACA3" w14:textId="77777777" w:rsidR="00390073" w:rsidRDefault="00000000">
      <w:pPr>
        <w:pStyle w:val="11"/>
      </w:pPr>
      <w:r>
        <w:t>从可复现角度看，本文样</w:t>
      </w:r>
      <w:proofErr w:type="gramStart"/>
      <w:r>
        <w:t>例至少</w:t>
      </w:r>
      <w:proofErr w:type="gramEnd"/>
      <w:r>
        <w:t>需保留</w:t>
      </w:r>
      <w:r>
        <w:t>4</w:t>
      </w:r>
      <w:r>
        <w:t>类中间数据：研究区边界与钻孔样点、连续</w:t>
      </w:r>
      <w:proofErr w:type="gramStart"/>
      <w:r>
        <w:t>参数场</w:t>
      </w:r>
      <w:proofErr w:type="gramEnd"/>
      <w:r>
        <w:t>栅格、</w:t>
      </w:r>
      <w:r>
        <w:t>ODI</w:t>
      </w:r>
      <w:r>
        <w:t>分量及综合</w:t>
      </w:r>
      <w:r>
        <w:t>ODI</w:t>
      </w:r>
      <w:r>
        <w:t>栅格、候选方案几何对象及</w:t>
      </w:r>
      <w:proofErr w:type="gramStart"/>
      <w:r>
        <w:t>方案级</w:t>
      </w:r>
      <w:proofErr w:type="gramEnd"/>
      <w:r>
        <w:t>统计表。只有这些对象可逐级复算，</w:t>
      </w:r>
      <w:r>
        <w:t>ODI</w:t>
      </w:r>
      <w:r>
        <w:t>均值、</w:t>
      </w:r>
      <w:r>
        <w:t>P90</w:t>
      </w:r>
      <w:r>
        <w:t>、超阈值暴露比例和</w:t>
      </w:r>
      <w:r>
        <w:t>A/B/C</w:t>
      </w:r>
      <w:r>
        <w:t>方案排序才具备可审查性。本文在结果表中保留模式有效候选数、全域栅格数量和统一</w:t>
      </w:r>
      <w:r>
        <w:t>ODI</w:t>
      </w:r>
      <w:r>
        <w:t>统计口径，以降低仅展示最终方案图带来的不可复核风险。</w:t>
      </w:r>
    </w:p>
    <w:p w14:paraId="0BF4A47D" w14:textId="77777777" w:rsidR="007E22B6" w:rsidRDefault="00DE4743" w:rsidP="00A046E0">
      <w:pPr>
        <w:pStyle w:val="11"/>
      </w:pPr>
      <w:r>
        <w:rPr>
          <w:rFonts w:ascii="宋体" w:eastAsia="宋体" w:hAnsi="宋体"/>
          <w:sz w:val="21"/>
        </w:rPr>
        <w:t>4 讨论</w:t>
      </w:r>
    </w:p>
    <w:p w14:paraId="4356F686" w14:textId="77777777" w:rsidR="007E22B6" w:rsidRDefault="00DE4743" w:rsidP="00A046E0">
      <w:pPr>
        <w:pStyle w:val="12"/>
      </w:pPr>
      <w:r>
        <w:rPr>
          <w:sz w:val="21"/>
        </w:rPr>
        <w:t xml:space="preserve">4.1 ODI </w:t>
      </w:r>
      <w:r>
        <w:rPr>
          <w:sz w:val="21"/>
        </w:rPr>
        <w:t>前置约束对采区规划的作用与边界</w:t>
      </w:r>
    </w:p>
    <w:p w14:paraId="7A3C4579" w14:textId="77777777" w:rsidR="007E22B6" w:rsidRDefault="00DE4743" w:rsidP="00A046E0">
      <w:pPr>
        <w:pStyle w:val="12"/>
      </w:pPr>
      <w:r>
        <w:t>传统采区规划多采用</w:t>
      </w:r>
      <w:r>
        <w:t>“</w:t>
      </w:r>
      <w:r>
        <w:t>先布局、再校核</w:t>
      </w:r>
      <w:r>
        <w:t>”</w:t>
      </w:r>
      <w:r>
        <w:t>的串行流程，风险信息通常在布局完成后才参与修正；当高扰动区与工作面边界冲突时，需要重新调整边界、煤柱和巷道组织。绿色开采、保</w:t>
      </w:r>
      <w:proofErr w:type="gramStart"/>
      <w:r>
        <w:t>水采</w:t>
      </w:r>
      <w:proofErr w:type="gramEnd"/>
      <w:r>
        <w:t>煤和顶板水害防控研究表明，</w:t>
      </w:r>
      <w:proofErr w:type="gramStart"/>
      <w:r>
        <w:t>覆岩破坏</w:t>
      </w:r>
      <w:proofErr w:type="gramEnd"/>
      <w:r>
        <w:t>与含水层扰动具有明显空间前置约束属性</w:t>
      </w:r>
      <w:r>
        <w:t>[26,33-37,41,45,48-50]</w:t>
      </w:r>
      <w:r>
        <w:t>。本文将</w:t>
      </w:r>
      <w:r>
        <w:t>ODI</w:t>
      </w:r>
      <w:r>
        <w:t>转化为候选方案生成阶段即可调用的空间统计量，使风险控制前移至候选池筛选与排序环节。</w:t>
      </w:r>
    </w:p>
    <w:p w14:paraId="75422824" w14:textId="77777777" w:rsidR="007E22B6" w:rsidRDefault="00DE4743" w:rsidP="00A046E0">
      <w:pPr>
        <w:pStyle w:val="12"/>
      </w:pPr>
      <w:r>
        <w:rPr>
          <w:sz w:val="21"/>
        </w:rPr>
        <w:t>ODI</w:t>
      </w:r>
      <w:r>
        <w:rPr>
          <w:sz w:val="21"/>
        </w:rPr>
        <w:t>前置约束的优势不在于替代地表沉陷、含水层扰动或上行开采等专项分析，而在于为多</w:t>
      </w:r>
      <w:proofErr w:type="gramStart"/>
      <w:r>
        <w:rPr>
          <w:sz w:val="21"/>
        </w:rPr>
        <w:t>源风险</w:t>
      </w:r>
      <w:proofErr w:type="gramEnd"/>
      <w:r>
        <w:rPr>
          <w:sz w:val="21"/>
        </w:rPr>
        <w:t>结果提供同一比较口径。在同一</w:t>
      </w:r>
      <w:r>
        <w:rPr>
          <w:sz w:val="21"/>
        </w:rPr>
        <w:t>ODI</w:t>
      </w:r>
      <w:r>
        <w:rPr>
          <w:sz w:val="21"/>
        </w:rPr>
        <w:t>场下，方案可以同时报告均值、</w:t>
      </w:r>
      <w:r>
        <w:rPr>
          <w:sz w:val="21"/>
        </w:rPr>
        <w:t>P90</w:t>
      </w:r>
      <w:r>
        <w:rPr>
          <w:sz w:val="21"/>
        </w:rPr>
        <w:t>和超阈值暴露比例，从而避免仅凭单</w:t>
      </w:r>
      <w:proofErr w:type="gramStart"/>
      <w:r>
        <w:rPr>
          <w:sz w:val="21"/>
        </w:rPr>
        <w:t>一</w:t>
      </w:r>
      <w:proofErr w:type="gramEnd"/>
      <w:r>
        <w:rPr>
          <w:sz w:val="21"/>
        </w:rPr>
        <w:t>风险图或单一阈值判断方案优劣。本样例中</w:t>
      </w:r>
      <w:r>
        <w:rPr>
          <w:sz w:val="21"/>
        </w:rPr>
        <w:t>C</w:t>
      </w:r>
      <w:r>
        <w:rPr>
          <w:sz w:val="21"/>
        </w:rPr>
        <w:t>方案的超阈值比例并非在所有阈值下都最低，但其均值、</w:t>
      </w:r>
      <w:r>
        <w:rPr>
          <w:sz w:val="21"/>
        </w:rPr>
        <w:t>P90</w:t>
      </w:r>
      <w:r>
        <w:rPr>
          <w:sz w:val="21"/>
        </w:rPr>
        <w:t>和风险综合得分较低，说明方案风险需要用多统计量联合解释。</w:t>
      </w:r>
    </w:p>
    <w:p w14:paraId="060AF095" w14:textId="77777777" w:rsidR="007E22B6" w:rsidRDefault="00DE4743" w:rsidP="00A046E0">
      <w:pPr>
        <w:pStyle w:val="12"/>
      </w:pPr>
      <w:r>
        <w:rPr>
          <w:sz w:val="21"/>
        </w:rPr>
        <w:lastRenderedPageBreak/>
        <w:t>ODI</w:t>
      </w:r>
      <w:r>
        <w:rPr>
          <w:sz w:val="21"/>
        </w:rPr>
        <w:t>也存在信息压缩带来的误判风险。线性加权会把不同风险场景压缩为单一指标，可能掩盖某一分量的局部高值；阈值和权重的选择也会影响超限暴露比例和排序结果。因此，工程应用中不宜只输出</w:t>
      </w:r>
      <w:r>
        <w:rPr>
          <w:sz w:val="21"/>
        </w:rPr>
        <w:t>ODI</w:t>
      </w:r>
      <w:r>
        <w:rPr>
          <w:sz w:val="21"/>
        </w:rPr>
        <w:t>综合图层，而应同步保留地表沉陷、含水层扰动、上行开采等分量图层，并将权重敏感性、阈值敏感性和关键保护对象校核作为必要的复核步骤。</w:t>
      </w:r>
    </w:p>
    <w:p w14:paraId="6CBC2F36" w14:textId="77777777" w:rsidR="007E22B6" w:rsidRDefault="00DE4743" w:rsidP="00A046E0">
      <w:pPr>
        <w:pStyle w:val="12"/>
      </w:pPr>
      <w:r>
        <w:rPr>
          <w:rFonts w:ascii="宋体" w:eastAsia="宋体" w:hAnsi="宋体"/>
          <w:sz w:val="21"/>
        </w:rPr>
        <w:t xml:space="preserve">4.2 </w:t>
      </w:r>
      <w:proofErr w:type="gramStart"/>
      <w:r>
        <w:rPr>
          <w:rFonts w:ascii="宋体" w:eastAsia="宋体" w:hAnsi="宋体"/>
          <w:sz w:val="21"/>
        </w:rPr>
        <w:t>参数场</w:t>
      </w:r>
      <w:proofErr w:type="gramEnd"/>
      <w:r>
        <w:rPr>
          <w:rFonts w:ascii="宋体" w:eastAsia="宋体" w:hAnsi="宋体"/>
          <w:sz w:val="21"/>
        </w:rPr>
        <w:t>驱动的规划方法相对于传统经验布置的意义</w:t>
      </w:r>
    </w:p>
    <w:p w14:paraId="0A6C1578" w14:textId="77777777" w:rsidR="007E22B6" w:rsidRDefault="00DE4743" w:rsidP="00A046E0">
      <w:pPr>
        <w:pStyle w:val="12"/>
      </w:pPr>
      <w:r>
        <w:t>采区规划结果的可靠性不仅取决于边界几何条件，也受地质属性空间变化影响。传统经验式布置能够快速形成初始形态，但对钻孔控制下</w:t>
      </w:r>
      <w:proofErr w:type="gramStart"/>
      <w:r>
        <w:t>的煤厚变化</w:t>
      </w:r>
      <w:proofErr w:type="gramEnd"/>
      <w:r>
        <w:t>、资源富集区和低厚度区响应不足，易造成资源评价与几何布置脱节。连续</w:t>
      </w:r>
      <w:proofErr w:type="gramStart"/>
      <w:r>
        <w:t>参数场</w:t>
      </w:r>
      <w:proofErr w:type="gramEnd"/>
      <w:r>
        <w:t>将离散钻孔样点转化为可与有效布置域、</w:t>
      </w:r>
      <w:r>
        <w:t>ODI</w:t>
      </w:r>
      <w:r>
        <w:t>场和工作面对象叠加的空间变量，与透明工作面、智能精准开采地质模型和采煤工作面动态修正技术强调的</w:t>
      </w:r>
      <w:r>
        <w:t>“</w:t>
      </w:r>
      <w:r>
        <w:t>地质模型支撑开采决策</w:t>
      </w:r>
      <w:r>
        <w:t>”</w:t>
      </w:r>
      <w:r>
        <w:t>一致</w:t>
      </w:r>
      <w:r>
        <w:t>[30-32]</w:t>
      </w:r>
      <w:r>
        <w:t>。</w:t>
      </w:r>
    </w:p>
    <w:p w14:paraId="6F8050F7" w14:textId="77777777" w:rsidR="007E22B6" w:rsidRDefault="00DE4743" w:rsidP="00A046E0">
      <w:pPr>
        <w:pStyle w:val="12"/>
      </w:pPr>
      <w:r>
        <w:rPr>
          <w:sz w:val="21"/>
        </w:rPr>
        <w:t>本样例中，</w:t>
      </w:r>
      <w:proofErr w:type="gramStart"/>
      <w:r>
        <w:rPr>
          <w:sz w:val="21"/>
        </w:rPr>
        <w:t>煤厚样点</w:t>
      </w:r>
      <w:proofErr w:type="gramEnd"/>
      <w:r>
        <w:rPr>
          <w:sz w:val="21"/>
        </w:rPr>
        <w:t>由</w:t>
      </w:r>
      <w:r>
        <w:rPr>
          <w:sz w:val="21"/>
        </w:rPr>
        <w:t>2.8 m</w:t>
      </w:r>
      <w:r>
        <w:rPr>
          <w:sz w:val="21"/>
        </w:rPr>
        <w:t>变化到</w:t>
      </w:r>
      <w:r>
        <w:rPr>
          <w:sz w:val="21"/>
        </w:rPr>
        <w:t>4.8 m</w:t>
      </w:r>
      <w:r>
        <w:rPr>
          <w:sz w:val="21"/>
        </w:rPr>
        <w:t>，平均值为</w:t>
      </w:r>
      <w:r>
        <w:rPr>
          <w:sz w:val="21"/>
        </w:rPr>
        <w:t>3.7933 m</w:t>
      </w:r>
      <w:r>
        <w:rPr>
          <w:sz w:val="21"/>
        </w:rPr>
        <w:t>。厚煤区在资源覆盖评价中具有更高权重，低厚度区则提示边界调整、煤柱保留或低优先级布置的必要性。由此可见，</w:t>
      </w:r>
      <w:proofErr w:type="gramStart"/>
      <w:r>
        <w:rPr>
          <w:sz w:val="21"/>
        </w:rPr>
        <w:t>参数场</w:t>
      </w:r>
      <w:proofErr w:type="gramEnd"/>
      <w:r>
        <w:rPr>
          <w:sz w:val="21"/>
        </w:rPr>
        <w:t>不是单纯的制图结果，而是候选方案评分和资源回收评价的输入条件。</w:t>
      </w:r>
    </w:p>
    <w:p w14:paraId="28AF12A9" w14:textId="77777777" w:rsidR="007E22B6" w:rsidRDefault="00DE4743" w:rsidP="00A046E0">
      <w:pPr>
        <w:pStyle w:val="12"/>
      </w:pPr>
      <w:r>
        <w:t>连续</w:t>
      </w:r>
      <w:proofErr w:type="gramStart"/>
      <w:r>
        <w:t>参数场质量</w:t>
      </w:r>
      <w:proofErr w:type="gramEnd"/>
      <w:r>
        <w:t>会直接影响规划结果。钻孔数量、空间分布、插值方法、网格尺度和异常值处理均会改变</w:t>
      </w:r>
      <w:proofErr w:type="gramStart"/>
      <w:r>
        <w:t>参数场</w:t>
      </w:r>
      <w:proofErr w:type="gramEnd"/>
      <w:r>
        <w:t>形态，进而影响覆盖率、资源回收评分和</w:t>
      </w:r>
      <w:r>
        <w:t>ODI</w:t>
      </w:r>
      <w:r>
        <w:t>统计。智能精准开采工作面地质模型研究强调多</w:t>
      </w:r>
      <w:proofErr w:type="gramStart"/>
      <w:r>
        <w:t>源信息</w:t>
      </w:r>
      <w:proofErr w:type="gramEnd"/>
      <w:r>
        <w:t>逐级融合和动态更新，以提高工作面尺度地质表达精度</w:t>
      </w:r>
      <w:r>
        <w:t>[31-32]</w:t>
      </w:r>
      <w:r>
        <w:t>。本文</w:t>
      </w:r>
      <w:proofErr w:type="gramStart"/>
      <w:r>
        <w:t>当前样</w:t>
      </w:r>
      <w:proofErr w:type="gramEnd"/>
      <w:r>
        <w:t>例以</w:t>
      </w:r>
      <w:proofErr w:type="gramStart"/>
      <w:r>
        <w:t>煤厚场</w:t>
      </w:r>
      <w:proofErr w:type="gramEnd"/>
      <w:r>
        <w:t>作为连续</w:t>
      </w:r>
      <w:proofErr w:type="gramStart"/>
      <w:r>
        <w:t>参数场</w:t>
      </w:r>
      <w:proofErr w:type="gramEnd"/>
      <w:r>
        <w:t>的主要展示对象，岩石硬度、瓦斯含量和涌水量等属性尚未作为</w:t>
      </w:r>
      <w:proofErr w:type="gramStart"/>
      <w:r>
        <w:t>独立图层展开</w:t>
      </w:r>
      <w:proofErr w:type="gramEnd"/>
      <w:r>
        <w:t>验证；工程定案前应补充交叉验证、插值误差分析、网格尺度敏感性分析以及不同插值方法对方案排序的对照。</w:t>
      </w:r>
    </w:p>
    <w:p w14:paraId="5F6BABD8" w14:textId="77777777" w:rsidR="007E22B6" w:rsidRDefault="00DE4743" w:rsidP="00A046E0">
      <w:pPr>
        <w:pStyle w:val="12"/>
      </w:pPr>
      <w:r>
        <w:rPr>
          <w:rFonts w:ascii="宋体" w:eastAsia="宋体" w:hAnsi="宋体"/>
          <w:sz w:val="21"/>
        </w:rPr>
        <w:t>4.3 后续深化方向</w:t>
      </w:r>
    </w:p>
    <w:p w14:paraId="40AC5E20" w14:textId="77777777" w:rsidR="007E22B6" w:rsidRDefault="00DE4743" w:rsidP="00A046E0">
      <w:pPr>
        <w:pStyle w:val="12"/>
      </w:pPr>
      <w:r>
        <w:t>本文当前结果主要表明，所提方法在样</w:t>
      </w:r>
      <w:proofErr w:type="gramStart"/>
      <w:r>
        <w:t>例条件</w:t>
      </w:r>
      <w:proofErr w:type="gramEnd"/>
      <w:r>
        <w:t>下具备链路贯通能力，即能够实现采区边界、钻孔样点、连续参数场、</w:t>
      </w:r>
      <w:r>
        <w:t>ODI</w:t>
      </w:r>
      <w:r>
        <w:t>风险场、候选方案集合和规划对象之间的连续组织与传递。</w:t>
      </w:r>
      <w:r>
        <w:t>A</w:t>
      </w:r>
      <w:r>
        <w:t>、</w:t>
      </w:r>
      <w:r>
        <w:t>B</w:t>
      </w:r>
      <w:r>
        <w:t>、</w:t>
      </w:r>
      <w:r>
        <w:t>C</w:t>
      </w:r>
      <w:r>
        <w:t>候选方案已在同一</w:t>
      </w:r>
      <w:r>
        <w:t>ODI</w:t>
      </w:r>
      <w:r>
        <w:t>场下完成均值、</w:t>
      </w:r>
      <w:r>
        <w:t>P90</w:t>
      </w:r>
      <w:r>
        <w:t>和超阈值暴露比例补算，可支撑初步方案对比，但仍不足以形成真实矿井条件下的工程优选结论。</w:t>
      </w:r>
    </w:p>
    <w:p w14:paraId="2FA3D79B" w14:textId="77777777" w:rsidR="007E22B6" w:rsidRDefault="00DE4743" w:rsidP="00A046E0">
      <w:pPr>
        <w:pStyle w:val="12"/>
      </w:pPr>
      <w:r>
        <w:t>方法适用边界包括</w:t>
      </w:r>
      <w:r>
        <w:t>3</w:t>
      </w:r>
      <w:r>
        <w:t>方面：第一，</w:t>
      </w:r>
      <w:r>
        <w:t>ODI</w:t>
      </w:r>
      <w:r>
        <w:t>权重和阈值需结合矿区历史观测、保护对象等级和现场安全制度重新标定；第二，候选方案集合需纳入断层、既有巷道、通风运输能力、设备能力和生产制度等现场闭环约束；第三，经济评价</w:t>
      </w:r>
      <w:proofErr w:type="gramStart"/>
      <w:r>
        <w:t>需真实</w:t>
      </w:r>
      <w:proofErr w:type="gramEnd"/>
      <w:r>
        <w:t>煤价、成本、税费、投资和风险停产参数支撑，不能仅凭接口传递关系给出现金流优选。保</w:t>
      </w:r>
      <w:proofErr w:type="gramStart"/>
      <w:r>
        <w:t>水采</w:t>
      </w:r>
      <w:proofErr w:type="gramEnd"/>
      <w:r>
        <w:t>煤、顶板水害防控和地下水库研究也表明，风险控制指标必须回到具体矿区水文地质结构、保护目标和运行制度中标定</w:t>
      </w:r>
      <w:r>
        <w:t>[26,41-48,50]</w:t>
      </w:r>
      <w:r>
        <w:t>。</w:t>
      </w:r>
    </w:p>
    <w:p w14:paraId="3B9310F4" w14:textId="77777777" w:rsidR="007E22B6" w:rsidRDefault="00DE4743" w:rsidP="00A046E0">
      <w:pPr>
        <w:pStyle w:val="12"/>
      </w:pPr>
      <w:r>
        <w:t>后续研究应从样</w:t>
      </w:r>
      <w:proofErr w:type="gramStart"/>
      <w:r>
        <w:t>例级验证</w:t>
      </w:r>
      <w:proofErr w:type="gramEnd"/>
      <w:r>
        <w:t>转向多矿井对照验证：一方面补充传统经验方案、无</w:t>
      </w:r>
      <w:r>
        <w:t>ODI</w:t>
      </w:r>
      <w:r>
        <w:t>方案和不同插值方案的基准对比，另一方面在真实</w:t>
      </w:r>
      <w:proofErr w:type="gramStart"/>
      <w:r>
        <w:t>接续排程和</w:t>
      </w:r>
      <w:proofErr w:type="gramEnd"/>
      <w:r>
        <w:t>经济参数下检验</w:t>
      </w:r>
      <w:r>
        <w:t>ODI</w:t>
      </w:r>
      <w:r>
        <w:t>前置约束对风险暴露和资源回收水平的影响。只有完成上述验证后，本文方法才能从</w:t>
      </w:r>
      <w:r>
        <w:t>“</w:t>
      </w:r>
      <w:r>
        <w:t>可复核的规划链路</w:t>
      </w:r>
      <w:r>
        <w:t>”</w:t>
      </w:r>
      <w:r>
        <w:t>进一步发展为</w:t>
      </w:r>
      <w:r>
        <w:t>“</w:t>
      </w:r>
      <w:r>
        <w:t>可辅助工程方案论证的决策工具</w:t>
      </w:r>
      <w:r>
        <w:t>”</w:t>
      </w:r>
      <w:r>
        <w:t>。</w:t>
      </w:r>
    </w:p>
    <w:p w14:paraId="13FE2A99" w14:textId="77777777" w:rsidR="00390073" w:rsidRDefault="00000000">
      <w:pPr>
        <w:pStyle w:val="12"/>
      </w:pPr>
      <w:r>
        <w:t>因此，本文当前阶段的评价标准不是</w:t>
      </w:r>
      <w:r>
        <w:t>“</w:t>
      </w:r>
      <w:r>
        <w:t>给出某矿最终开采设计</w:t>
      </w:r>
      <w:r>
        <w:t>”</w:t>
      </w:r>
      <w:r>
        <w:t>，而是</w:t>
      </w:r>
      <w:r>
        <w:t>“</w:t>
      </w:r>
      <w:r>
        <w:t>将采区规划中分散的地质参数、风险约束、候选方案和评价输入转化为可计算、可比较、可复查的对象链</w:t>
      </w:r>
      <w:r>
        <w:t>”</w:t>
      </w:r>
      <w:r>
        <w:t>。在此边界下，变量定义、约束集合、候选池生成、</w:t>
      </w:r>
      <w:proofErr w:type="gramStart"/>
      <w:r>
        <w:t>方案级</w:t>
      </w:r>
      <w:proofErr w:type="gramEnd"/>
      <w:r>
        <w:t>ODI</w:t>
      </w:r>
      <w:r>
        <w:t>统计和敏感性分析共同构成论文的主要证据链。</w:t>
      </w:r>
    </w:p>
    <w:p w14:paraId="18B4EDC6" w14:textId="77777777" w:rsidR="007E22B6" w:rsidRDefault="00DE4743" w:rsidP="00A046E0">
      <w:pPr>
        <w:pStyle w:val="11"/>
      </w:pPr>
      <w:r>
        <w:rPr>
          <w:rFonts w:ascii="宋体" w:eastAsia="宋体" w:hAnsi="宋体"/>
          <w:sz w:val="21"/>
        </w:rPr>
        <w:t>5 结论</w:t>
      </w:r>
    </w:p>
    <w:p w14:paraId="701295A0" w14:textId="77777777" w:rsidR="00DE4743" w:rsidRPr="00DE4743" w:rsidRDefault="00DE4743" w:rsidP="00DE4743">
      <w:pPr>
        <w:pStyle w:val="10"/>
        <w:spacing w:after="40"/>
        <w:ind w:firstLine="420"/>
        <w:rPr>
          <w:rFonts w:ascii="宋体" w:hAnsi="宋体"/>
        </w:rPr>
      </w:pPr>
      <w:r>
        <w:t>1</w:t>
      </w:r>
      <w:r>
        <w:t>）针对采区规划中地质信息离散、风险约束异构以及规划结果与后续评价脱节的问题，提出了基于</w:t>
      </w:r>
      <w:r>
        <w:t>ODI</w:t>
      </w:r>
      <w:r>
        <w:t>约束的采区候选方案生成与多目标比选方法，构建了</w:t>
      </w:r>
      <w:r>
        <w:t>“</w:t>
      </w:r>
      <w:r>
        <w:t>有效布置域</w:t>
      </w:r>
      <w:r>
        <w:t>—</w:t>
      </w:r>
      <w:r>
        <w:t>连续参数场</w:t>
      </w:r>
      <w:r>
        <w:t>—ODI</w:t>
      </w:r>
      <w:r>
        <w:t>风险场</w:t>
      </w:r>
      <w:r>
        <w:t>—</w:t>
      </w:r>
      <w:r>
        <w:t>候选方案集合</w:t>
      </w:r>
      <w:r>
        <w:t>—</w:t>
      </w:r>
      <w:r>
        <w:t>后续评价输入</w:t>
      </w:r>
      <w:r>
        <w:t>”</w:t>
      </w:r>
      <w:r>
        <w:t>的方法链路。</w:t>
      </w:r>
    </w:p>
    <w:p w14:paraId="14030D05" w14:textId="77777777" w:rsidR="00DE4743" w:rsidRPr="00DE4743" w:rsidRDefault="00DE4743" w:rsidP="00DE4743">
      <w:pPr>
        <w:pStyle w:val="10"/>
        <w:spacing w:after="40"/>
        <w:ind w:firstLine="420"/>
        <w:rPr>
          <w:rFonts w:ascii="宋体" w:hAnsi="宋体"/>
        </w:rPr>
      </w:pPr>
      <w:r>
        <w:t>2</w:t>
      </w:r>
      <w:r>
        <w:t>）通过将地表沉陷、含水层扰动和上行开采等多场景风险统一组织为</w:t>
      </w:r>
      <w:r>
        <w:t>ODI</w:t>
      </w:r>
      <w:r>
        <w:t>指标，明确了风险分量归</w:t>
      </w:r>
      <w:r>
        <w:lastRenderedPageBreak/>
        <w:t>一化、权重聚合、阈值统计和</w:t>
      </w:r>
      <w:proofErr w:type="gramStart"/>
      <w:r>
        <w:t>方案级</w:t>
      </w:r>
      <w:proofErr w:type="gramEnd"/>
      <w:r>
        <w:t>ODI</w:t>
      </w:r>
      <w:r>
        <w:t>均值、</w:t>
      </w:r>
      <w:r>
        <w:t>P90</w:t>
      </w:r>
      <w:r>
        <w:t>、超阈值暴露比例等计算口径，为异构风险进入采区规划比选提供了统一表达。</w:t>
      </w:r>
    </w:p>
    <w:p w14:paraId="54172FE3" w14:textId="77777777" w:rsidR="00DE4743" w:rsidRPr="00DE4743" w:rsidRDefault="00DE4743" w:rsidP="00DE4743">
      <w:pPr>
        <w:pStyle w:val="10"/>
        <w:spacing w:after="40"/>
        <w:ind w:firstLine="420"/>
        <w:rPr>
          <w:rFonts w:ascii="宋体" w:hAnsi="宋体"/>
        </w:rPr>
      </w:pPr>
      <w:r>
        <w:t>3</w:t>
      </w:r>
      <w:r>
        <w:t>）研究区样例结果表明，工程效率优先、资源回收优先和</w:t>
      </w:r>
      <w:r>
        <w:t>ODI</w:t>
      </w:r>
      <w:r>
        <w:t>筛选方案分别体现出覆盖率、资源利用和风险暴露之间的权衡。方案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。本文对低扰动候选的判定依据为</w:t>
      </w:r>
      <w:r>
        <w:t>ODI</w:t>
      </w:r>
      <w:r>
        <w:t>均值、</w:t>
      </w:r>
      <w:r>
        <w:t>P90</w:t>
      </w:r>
      <w:r>
        <w:t>和风险综合得分的联合判据，而非单一阈值下的超限比例最小；因此，上述结果说明</w:t>
      </w:r>
      <w:proofErr w:type="gramStart"/>
      <w:r>
        <w:t>风险场能够</w:t>
      </w:r>
      <w:proofErr w:type="gramEnd"/>
      <w:r>
        <w:t>转化为可复核的</w:t>
      </w:r>
      <w:proofErr w:type="gramStart"/>
      <w:r>
        <w:t>方案级</w:t>
      </w:r>
      <w:proofErr w:type="gramEnd"/>
      <w:r>
        <w:t>统计量。</w:t>
      </w:r>
    </w:p>
    <w:p w14:paraId="189504B7" w14:textId="77777777" w:rsidR="00DE4743" w:rsidRPr="00DE4743" w:rsidRDefault="00DE4743" w:rsidP="00DE4743">
      <w:pPr>
        <w:pStyle w:val="10"/>
        <w:spacing w:after="40"/>
        <w:ind w:firstLine="420"/>
        <w:rPr>
          <w:rFonts w:ascii="宋体" w:hAnsi="宋体"/>
        </w:rPr>
      </w:pPr>
      <w:r>
        <w:t>4</w:t>
      </w:r>
      <w:r>
        <w:t>）当前结果主要支撑样</w:t>
      </w:r>
      <w:proofErr w:type="gramStart"/>
      <w:r>
        <w:t>例条件</w:t>
      </w:r>
      <w:proofErr w:type="gramEnd"/>
      <w:r>
        <w:t>下的方法贯通、对象链可传递性和初步方案比选。权重敏感性表明，在</w:t>
      </w:r>
      <w:proofErr w:type="gramStart"/>
      <w:r>
        <w:t>当前样</w:t>
      </w:r>
      <w:proofErr w:type="gramEnd"/>
      <w:r>
        <w:t>例和候选集合范围内，基准权重、</w:t>
      </w:r>
      <w:r>
        <w:t>±10%</w:t>
      </w:r>
      <w:r>
        <w:t>相对扰动和上行开采专项权重条件下</w:t>
      </w:r>
      <w:r>
        <w:t>C</w:t>
      </w:r>
      <w:r>
        <w:t>方案风险综合得分均低于</w:t>
      </w:r>
      <w:r>
        <w:t>A</w:t>
      </w:r>
      <w:r>
        <w:t>、</w:t>
      </w:r>
      <w:r>
        <w:t>B</w:t>
      </w:r>
      <w:r>
        <w:t>方案；阈值敏感性表明，当阈值由</w:t>
      </w:r>
      <w:r>
        <w:t>0.65</w:t>
      </w:r>
      <w:r>
        <w:t>提高至</w:t>
      </w:r>
      <w:r>
        <w:t>0.80</w:t>
      </w:r>
      <w:r>
        <w:t>时，各方案超限比例均下降，但方案</w:t>
      </w:r>
      <w:proofErr w:type="gramStart"/>
      <w:r>
        <w:t>间风险</w:t>
      </w:r>
      <w:proofErr w:type="gramEnd"/>
      <w:r>
        <w:t>差异仍可通过均值、</w:t>
      </w:r>
      <w:r>
        <w:t>P90</w:t>
      </w:r>
      <w:r>
        <w:t>和超限比例共同识别。因此，当前结果更适合支撑样</w:t>
      </w:r>
      <w:proofErr w:type="gramStart"/>
      <w:r>
        <w:t>例条件</w:t>
      </w:r>
      <w:proofErr w:type="gramEnd"/>
      <w:r>
        <w:t>下的方法贯通性、对象链可传递性与内部方案比选的可复核性，而不宜直接外推为真实矿井定案条件下的最优工程结论。</w:t>
      </w:r>
    </w:p>
    <w:p w14:paraId="27E28D84" w14:textId="77777777" w:rsidR="007E22B6" w:rsidRDefault="00A249E2" w:rsidP="00A046E0">
      <w:pPr>
        <w:pStyle w:val="11"/>
      </w:pPr>
      <w:r>
        <w:rPr>
          <w:rFonts w:ascii="宋体" w:eastAsia="宋体" w:hAnsi="宋体"/>
          <w:sz w:val="21"/>
        </w:rPr>
        <w:t>参考文献</w:t>
      </w:r>
    </w:p>
    <w:p w14:paraId="395BBACC" w14:textId="77777777" w:rsidR="00390073" w:rsidRDefault="00000000" w:rsidP="001D7DFF">
      <w:pPr>
        <w:pStyle w:val="17"/>
      </w:pPr>
      <w:r>
        <w:t>[1]</w:t>
      </w:r>
      <w:r>
        <w:tab/>
        <w:t xml:space="preserve">WU </w:t>
      </w:r>
      <w:proofErr w:type="spellStart"/>
      <w:r>
        <w:t>Xuefei</w:t>
      </w:r>
      <w:proofErr w:type="spellEnd"/>
      <w:r>
        <w:t xml:space="preserve">, LI </w:t>
      </w:r>
      <w:proofErr w:type="spellStart"/>
      <w:r>
        <w:t>Hongxia</w:t>
      </w:r>
      <w:proofErr w:type="spellEnd"/>
      <w:r>
        <w:t>, WANG Baoli, et al. Review on improvements to the safety level of coal mines by applying intelligent coal mining[J]. Sustainability, 2022, 14(24): 16400. DOI: 10.3390/su142416400.</w:t>
      </w:r>
    </w:p>
    <w:p w14:paraId="0F1A06A5" w14:textId="77777777" w:rsidR="00390073" w:rsidRDefault="00000000" w:rsidP="001D7DFF">
      <w:pPr>
        <w:pStyle w:val="17"/>
      </w:pPr>
      <w:r>
        <w:t>[2]</w:t>
      </w:r>
      <w:r>
        <w:tab/>
        <w:t xml:space="preserve">WANG </w:t>
      </w:r>
      <w:proofErr w:type="spellStart"/>
      <w:r>
        <w:t>Guofa</w:t>
      </w:r>
      <w:proofErr w:type="spellEnd"/>
      <w:r>
        <w:t xml:space="preserve">, REN </w:t>
      </w:r>
      <w:proofErr w:type="spellStart"/>
      <w:r>
        <w:t>Huaiwei</w:t>
      </w:r>
      <w:proofErr w:type="spellEnd"/>
      <w:r>
        <w:t>, ZHAO Guorui, et al. Research and practice of intelligent coal mine technology systems in China[J]. International Journal of Coal Science &amp; Technology, 2022, 9(1). DOI: 10.1007/s40789-022-00491-3.</w:t>
      </w:r>
    </w:p>
    <w:p w14:paraId="747D95F2" w14:textId="77777777" w:rsidR="00390073" w:rsidRDefault="00000000" w:rsidP="001D7DFF">
      <w:pPr>
        <w:pStyle w:val="17"/>
      </w:pPr>
      <w:r>
        <w:t>[3]</w:t>
      </w:r>
      <w:r>
        <w:tab/>
        <w:t xml:space="preserve">ZHANG </w:t>
      </w:r>
      <w:proofErr w:type="spellStart"/>
      <w:r>
        <w:t>Kexue</w:t>
      </w:r>
      <w:proofErr w:type="spellEnd"/>
      <w:r>
        <w:t>, KANG Lei, CHEN Xuexi, et al. A review of intelligent unmanned mining current situation and development trend[J]. Energies, 2022, 15(2): 513. DOI: 10.3390/en15020513.</w:t>
      </w:r>
    </w:p>
    <w:p w14:paraId="10EE52FD" w14:textId="77777777" w:rsidR="00390073" w:rsidRDefault="00000000" w:rsidP="001D7DFF">
      <w:pPr>
        <w:pStyle w:val="17"/>
      </w:pPr>
      <w:r>
        <w:t>[4]</w:t>
      </w:r>
      <w:r>
        <w:tab/>
        <w:t xml:space="preserve">YANG Yi, LI Yingchun, WANG </w:t>
      </w:r>
      <w:proofErr w:type="spellStart"/>
      <w:r>
        <w:t>Lujun</w:t>
      </w:r>
      <w:proofErr w:type="spellEnd"/>
      <w:r>
        <w:t>, et al. On strata damage and stress disturbance induced by coal mining based on physical similarity simulation experiments[J]. Scientific Reports, 2023, 13(1). DOI: 10.1038/s41598-023-42148-4.</w:t>
      </w:r>
    </w:p>
    <w:p w14:paraId="21F260F2" w14:textId="77777777" w:rsidR="00390073" w:rsidRDefault="00000000" w:rsidP="001D7DFF">
      <w:pPr>
        <w:pStyle w:val="17"/>
      </w:pPr>
      <w:r>
        <w:t>[5]</w:t>
      </w:r>
      <w:r>
        <w:tab/>
        <w:t>REN Yiwei, YUAN Qiang, CHEN Jie, et al. Evolution characteristics of mining-induced fractures in overburden strata under close-multi coal seams mining based on optical fiber monitoring[J]. Engineering Geology, 2024, 343: 107802. DOI: 10.1016/j.enggeo.2024.107802.</w:t>
      </w:r>
    </w:p>
    <w:p w14:paraId="6A7DDDC2" w14:textId="77777777" w:rsidR="00390073" w:rsidRDefault="00000000" w:rsidP="001D7DFF">
      <w:pPr>
        <w:pStyle w:val="17"/>
      </w:pPr>
      <w:r>
        <w:t>[6]</w:t>
      </w:r>
      <w:r>
        <w:tab/>
        <w:t xml:space="preserve">YANG Xiao, SHI </w:t>
      </w:r>
      <w:proofErr w:type="spellStart"/>
      <w:r>
        <w:t>Longqing</w:t>
      </w:r>
      <w:proofErr w:type="spellEnd"/>
      <w:r>
        <w:t xml:space="preserve">, QIU Mei, et al. Spatiotemporal evolution patterns of mining-induced overburden damage based on </w:t>
      </w:r>
      <w:proofErr w:type="spellStart"/>
      <w:r>
        <w:t>microseismic</w:t>
      </w:r>
      <w:proofErr w:type="spellEnd"/>
      <w:r>
        <w:t xml:space="preserve"> event response analysis[J]. Journal of Applied Geophysics, 2025, 242: 105876. DOI: 10.1016/j.jappgeo.2025.105876.</w:t>
      </w:r>
    </w:p>
    <w:p w14:paraId="79B13E01" w14:textId="77777777" w:rsidR="00390073" w:rsidRDefault="00000000" w:rsidP="001D7DFF">
      <w:pPr>
        <w:pStyle w:val="17"/>
      </w:pPr>
      <w:r>
        <w:t>[7]</w:t>
      </w:r>
      <w:r>
        <w:tab/>
        <w:t>ZHANG Jie, WANG Li, YANG Tao, et al. Study on overburden failure characteristics and ground pressure behavior in shallow coal seam mining underneath the gully[J]. Frontiers in Earth Science, 2024, 12. DOI: 10.3389/feart.2024.1375979.</w:t>
      </w:r>
    </w:p>
    <w:p w14:paraId="1FA4A719" w14:textId="77777777" w:rsidR="00390073" w:rsidRDefault="00000000" w:rsidP="001D7DFF">
      <w:pPr>
        <w:pStyle w:val="17"/>
      </w:pPr>
      <w:r>
        <w:t>[8]</w:t>
      </w:r>
      <w:r>
        <w:tab/>
        <w:t xml:space="preserve">CAO Jian, HUANG </w:t>
      </w:r>
      <w:proofErr w:type="spellStart"/>
      <w:r>
        <w:t>Qingxiang</w:t>
      </w:r>
      <w:proofErr w:type="spellEnd"/>
      <w:r>
        <w:t xml:space="preserve">, GUO </w:t>
      </w:r>
      <w:proofErr w:type="spellStart"/>
      <w:r>
        <w:t>Lingfei</w:t>
      </w:r>
      <w:proofErr w:type="spellEnd"/>
      <w:r>
        <w:t>. Subsidence prediction of overburden strata and ground surface in shallow coal seam mining[J]. Scientific Reports, 2021, 11(1). DOI: 10.1038/s41598-021-98520-9.</w:t>
      </w:r>
    </w:p>
    <w:p w14:paraId="0AAB31F1" w14:textId="77777777" w:rsidR="00390073" w:rsidRDefault="00000000" w:rsidP="001D7DFF">
      <w:pPr>
        <w:pStyle w:val="17"/>
      </w:pPr>
      <w:r>
        <w:t>[9]</w:t>
      </w:r>
      <w:r>
        <w:tab/>
        <w:t>PRAKASH Amar, BHARTI Abhay Kumar, VERMA Aniket. Unearthing underground mining-induced strata disturbance by electrical resistivity tomography interpretation[J]. Environmental &amp; Engineering Geoscience, 2022, 28(4): 361-369. DOI: 10.2113/eeg-d-21-00073.</w:t>
      </w:r>
    </w:p>
    <w:p w14:paraId="64A7A571" w14:textId="77777777" w:rsidR="00390073" w:rsidRDefault="00000000" w:rsidP="001D7DFF">
      <w:pPr>
        <w:pStyle w:val="17"/>
      </w:pPr>
      <w:r>
        <w:t>[10]</w:t>
      </w:r>
      <w:r>
        <w:tab/>
        <w:t xml:space="preserve">SHI </w:t>
      </w:r>
      <w:proofErr w:type="spellStart"/>
      <w:r>
        <w:t>Xiuchang</w:t>
      </w:r>
      <w:proofErr w:type="spellEnd"/>
      <w:r>
        <w:t xml:space="preserve">, ZHANG </w:t>
      </w:r>
      <w:proofErr w:type="spellStart"/>
      <w:r>
        <w:t>Jixing</w:t>
      </w:r>
      <w:proofErr w:type="spellEnd"/>
      <w:r>
        <w:t>. Characteristics of overburden failure and fracture evolution in shallow buried working face with large mining height[J]. Sustainability, 2021, 13(24): 13775. DOI: 10.3390/su132413775.</w:t>
      </w:r>
    </w:p>
    <w:p w14:paraId="0E82D76A" w14:textId="77777777" w:rsidR="00390073" w:rsidRDefault="00000000" w:rsidP="001D7DFF">
      <w:pPr>
        <w:pStyle w:val="17"/>
      </w:pPr>
      <w:r>
        <w:t>[11]</w:t>
      </w:r>
      <w:r>
        <w:tab/>
        <w:t xml:space="preserve">FOROUGHI </w:t>
      </w:r>
      <w:proofErr w:type="spellStart"/>
      <w:r>
        <w:t>Sorayya</w:t>
      </w:r>
      <w:proofErr w:type="spellEnd"/>
      <w:r>
        <w:t>, HAMIDI Jafar Khademi, MONJEZI Masoud, et al. The integrated optimization of underground stope layout designing and production scheduling incorporating a non-dominated sorting genetic algorithm (NSGA-</w:t>
      </w:r>
      <w:proofErr w:type="gramStart"/>
      <w:r>
        <w:t>II)[</w:t>
      </w:r>
      <w:proofErr w:type="gramEnd"/>
      <w:r>
        <w:t>J]. Resources Policy, 2019, 63: 101408. DOI: 10.1016/j.resourpol.2019.101408.</w:t>
      </w:r>
    </w:p>
    <w:p w14:paraId="4C8EBE8C" w14:textId="77777777" w:rsidR="00390073" w:rsidRDefault="00000000" w:rsidP="001D7DFF">
      <w:pPr>
        <w:pStyle w:val="17"/>
      </w:pPr>
      <w:r>
        <w:t>[12]</w:t>
      </w:r>
      <w:r>
        <w:tab/>
        <w:t xml:space="preserve">SHAN Yang, KE Li, XIANG Jun, et al. </w:t>
      </w:r>
      <w:proofErr w:type="gramStart"/>
      <w:r>
        <w:t>Multi-objective</w:t>
      </w:r>
      <w:proofErr w:type="gramEnd"/>
      <w:r>
        <w:t xml:space="preserve"> </w:t>
      </w:r>
      <w:proofErr w:type="spellStart"/>
      <w:r>
        <w:t>optimisation</w:t>
      </w:r>
      <w:proofErr w:type="spellEnd"/>
      <w:r>
        <w:t xml:space="preserve"> based on NSGA-II of mine cut-off grade from the perspective of resource security[J]. International Journal of Mining, Reclamation and Environment, 2025: 1-20. DOI: 10.1080/17480930.2025.2532460.</w:t>
      </w:r>
    </w:p>
    <w:p w14:paraId="1B30CDD0" w14:textId="77777777" w:rsidR="00390073" w:rsidRDefault="00000000" w:rsidP="001D7DFF">
      <w:pPr>
        <w:pStyle w:val="17"/>
      </w:pPr>
      <w:r>
        <w:t>[13]</w:t>
      </w:r>
      <w:r>
        <w:tab/>
        <w:t xml:space="preserve">GU Xiaowei, WANG </w:t>
      </w:r>
      <w:proofErr w:type="spellStart"/>
      <w:r>
        <w:t>Xunhong</w:t>
      </w:r>
      <w:proofErr w:type="spellEnd"/>
      <w:r>
        <w:t xml:space="preserve">, LIU </w:t>
      </w:r>
      <w:proofErr w:type="spellStart"/>
      <w:r>
        <w:t>Zaobao</w:t>
      </w:r>
      <w:proofErr w:type="spellEnd"/>
      <w:r>
        <w:t>, et al. A multi-objective optimization model using improved NSGA-II for optimizing metal mines production process[J]. IEEE Access, 2020, 8: 28847-28858. DOI: 10.1109/access.2020.2972018.</w:t>
      </w:r>
    </w:p>
    <w:p w14:paraId="3A546CF2" w14:textId="77777777" w:rsidR="00390073" w:rsidRDefault="00000000" w:rsidP="001D7DFF">
      <w:pPr>
        <w:pStyle w:val="17"/>
      </w:pPr>
      <w:r>
        <w:t>[14]</w:t>
      </w:r>
      <w:r>
        <w:tab/>
        <w:t>NESBITT Peter, BLAKE Lewis R., LAMAS Patricio, et al. Underground mine scheduling under uncertainty[J]. European Journal of Operational Research, 2021, 294(1): 340-352. DOI: 10.1016/j.ejor.2021.01.011.</w:t>
      </w:r>
    </w:p>
    <w:p w14:paraId="53E44539" w14:textId="77777777" w:rsidR="00390073" w:rsidRDefault="00000000" w:rsidP="001D7DFF">
      <w:pPr>
        <w:pStyle w:val="17"/>
      </w:pPr>
      <w:r>
        <w:t>[15]</w:t>
      </w:r>
      <w:r>
        <w:tab/>
        <w:t>PATHIRANAGE Ishara Hewa, NEUMANN Aneta. Multi-objective evolutionary optimization for large-scale open pit mine scheduling[C]//2024 IEEE Congress on Evolutionary Computation (CEC). 2024: 1-8. DOI: 10.1109/CEC60901.2024.10612008.</w:t>
      </w:r>
    </w:p>
    <w:p w14:paraId="77407638" w14:textId="77777777" w:rsidR="00390073" w:rsidRDefault="00000000" w:rsidP="001D7DFF">
      <w:pPr>
        <w:pStyle w:val="17"/>
      </w:pPr>
      <w:r>
        <w:t>[16]</w:t>
      </w:r>
      <w:r>
        <w:tab/>
        <w:t>ZHANG Xuhui, LV Xinyuan, WANG Yan, et al. Production process management for intelligent coal mining based on digital twin[M]//Digital Twin Driven Service. 2022: 251-277. DOI: 10.1016/B978-0-323-91300-3.00008-5.</w:t>
      </w:r>
    </w:p>
    <w:p w14:paraId="7F042C5D" w14:textId="77777777" w:rsidR="00390073" w:rsidRDefault="00000000" w:rsidP="001D7DFF">
      <w:pPr>
        <w:pStyle w:val="17"/>
      </w:pPr>
      <w:r>
        <w:t>[17]</w:t>
      </w:r>
      <w:r>
        <w:tab/>
        <w:t xml:space="preserve">QU </w:t>
      </w:r>
      <w:proofErr w:type="spellStart"/>
      <w:r>
        <w:t>Juncong</w:t>
      </w:r>
      <w:proofErr w:type="spellEnd"/>
      <w:r>
        <w:t>, KIZIL Mehmet S., YAHYAEI Mohsen, et al. Digital twins in the minerals industry: a comprehensive review[J]. Mining Technology, 2023, 132(4): 267-289. DOI: 10.1080/25726668.2023.2257479.</w:t>
      </w:r>
    </w:p>
    <w:p w14:paraId="5E26ECE3" w14:textId="77777777" w:rsidR="00390073" w:rsidRDefault="00000000" w:rsidP="001D7DFF">
      <w:pPr>
        <w:pStyle w:val="17"/>
      </w:pPr>
      <w:r>
        <w:lastRenderedPageBreak/>
        <w:t>[18]</w:t>
      </w:r>
      <w:r>
        <w:tab/>
        <w:t xml:space="preserve">PAN </w:t>
      </w:r>
      <w:proofErr w:type="spellStart"/>
      <w:r>
        <w:t>Dongdong</w:t>
      </w:r>
      <w:proofErr w:type="spellEnd"/>
      <w:r>
        <w:t xml:space="preserve">, XU </w:t>
      </w:r>
      <w:proofErr w:type="spellStart"/>
      <w:r>
        <w:t>Zhenhao</w:t>
      </w:r>
      <w:proofErr w:type="spellEnd"/>
      <w:r>
        <w:t xml:space="preserve">, LU </w:t>
      </w:r>
      <w:proofErr w:type="spellStart"/>
      <w:r>
        <w:t>Xinming</w:t>
      </w:r>
      <w:proofErr w:type="spellEnd"/>
      <w:r>
        <w:t>, et al. 3D scene and geological modeling using integrated multi-source spatial data: methodology, challenges, and suggestions[J]. Tunnelling and Underground Space Technology, 2020, 100: 103393. DOI: 10.1016/j.tust.2020.103393.</w:t>
      </w:r>
    </w:p>
    <w:p w14:paraId="165A991C" w14:textId="77777777" w:rsidR="00390073" w:rsidRDefault="00000000" w:rsidP="001D7DFF">
      <w:pPr>
        <w:pStyle w:val="17"/>
      </w:pPr>
      <w:r>
        <w:t>[19]</w:t>
      </w:r>
      <w:r>
        <w:tab/>
        <w:t xml:space="preserve">AHMED Haitham M., ADEWUYI </w:t>
      </w:r>
      <w:proofErr w:type="spellStart"/>
      <w:r>
        <w:t>Sefiu</w:t>
      </w:r>
      <w:proofErr w:type="spellEnd"/>
      <w:r>
        <w:t>, AHMED Hussin M. A. Continuous cash flow modeling for economic evaluation and risk analysis in mine planning using Monte Carlo simulation[J]. Journal of King Abdulaziz University: Engineering Sciences, 2024, 34(2). DOI: 10.4197/eng.34-2.6.</w:t>
      </w:r>
    </w:p>
    <w:p w14:paraId="2CB07614" w14:textId="77777777" w:rsidR="00390073" w:rsidRDefault="00000000" w:rsidP="001D7DFF">
      <w:pPr>
        <w:pStyle w:val="17"/>
      </w:pPr>
      <w:r>
        <w:t>[20]</w:t>
      </w:r>
      <w:r>
        <w:tab/>
        <w:t xml:space="preserve">LI </w:t>
      </w:r>
      <w:proofErr w:type="spellStart"/>
      <w:r>
        <w:t>Jiaoqun</w:t>
      </w:r>
      <w:proofErr w:type="spellEnd"/>
      <w:r>
        <w:t xml:space="preserve">, WU Tong, LU </w:t>
      </w:r>
      <w:proofErr w:type="spellStart"/>
      <w:r>
        <w:t>Zengxiang</w:t>
      </w:r>
      <w:proofErr w:type="spellEnd"/>
      <w:r>
        <w:t xml:space="preserve">, et al. Investigation into mining economic evaluation approaches based on the </w:t>
      </w:r>
      <w:proofErr w:type="spellStart"/>
      <w:r>
        <w:t>Rosenblueth</w:t>
      </w:r>
      <w:proofErr w:type="spellEnd"/>
      <w:r>
        <w:t xml:space="preserve"> point estimate method[J]. Applied Sciences, 2023, 13(15): 9011. DOI: 10.3390/app13159011.</w:t>
      </w:r>
    </w:p>
    <w:p w14:paraId="08AEABDE" w14:textId="77777777" w:rsidR="00390073" w:rsidRDefault="00000000" w:rsidP="001D7DFF">
      <w:pPr>
        <w:pStyle w:val="17"/>
      </w:pPr>
      <w:r>
        <w:t>[21]</w:t>
      </w:r>
      <w:r>
        <w:tab/>
        <w:t>DEHGHANI Hesam, ATAEE-POUR Majid, ESFAHANIPOUR Akbar. Evaluation of the mining projects under economic uncertainties using multidimensional binomial tree[J]. Resources Policy, 2014, 39: 124-133. DOI: 10.1016/j.resourpol.2014.01.003.</w:t>
      </w:r>
    </w:p>
    <w:p w14:paraId="30042BE1" w14:textId="77777777" w:rsidR="00390073" w:rsidRDefault="00000000" w:rsidP="001D7DFF">
      <w:pPr>
        <w:pStyle w:val="17"/>
      </w:pPr>
      <w:r>
        <w:t>[22]</w:t>
      </w:r>
      <w:r>
        <w:tab/>
        <w:t>LIU Xiong, ZHENG Lulin, LIU Hao, et al. Evolution of overburden fractures and the water-conducting fracture zone in closely spaced coal mine seams under highly water-rich aquifers[J]. ACS Omega, 2025. DOI: 10.1021/acsomega.5c09774.</w:t>
      </w:r>
    </w:p>
    <w:p w14:paraId="2B14347A" w14:textId="77777777" w:rsidR="00390073" w:rsidRDefault="00000000" w:rsidP="001D7DFF">
      <w:pPr>
        <w:pStyle w:val="17"/>
      </w:pPr>
      <w:r>
        <w:t>[23]</w:t>
      </w:r>
      <w:r>
        <w:tab/>
        <w:t xml:space="preserve">XUE Sen, WANG </w:t>
      </w:r>
      <w:proofErr w:type="spellStart"/>
      <w:r>
        <w:t>Qiqing</w:t>
      </w:r>
      <w:proofErr w:type="spellEnd"/>
      <w:r>
        <w:t>, SONG Zhen. Analysis of water-permeable fractured zone in weakly cemented overburden considering rock strain-softening[J]. Scientific Reports, 2026, 16(1). DOI: 10.1038/s41598-026-45413-4.</w:t>
      </w:r>
    </w:p>
    <w:p w14:paraId="412DE8B6" w14:textId="77777777" w:rsidR="00390073" w:rsidRDefault="00000000" w:rsidP="001D7DFF">
      <w:pPr>
        <w:pStyle w:val="17"/>
      </w:pPr>
      <w:r>
        <w:t>[24]</w:t>
      </w:r>
      <w:r>
        <w:tab/>
        <w:t>ZHU Xiaojun, ZHA Feng, GUO Guangli, et al. Mechanical prediction method of strata movement and surface subsidence in backfill-strip mining[J]. Scientific Reports, 2024, 14(1). DOI: 10.1038/s41598-024-82761-5.</w:t>
      </w:r>
    </w:p>
    <w:p w14:paraId="19457765" w14:textId="77777777" w:rsidR="00390073" w:rsidRDefault="00000000" w:rsidP="001D7DFF">
      <w:pPr>
        <w:pStyle w:val="17"/>
      </w:pPr>
      <w:r>
        <w:t>[25]</w:t>
      </w:r>
      <w:r>
        <w:tab/>
        <w:t>KRATZSCH Helmut. Strata movement at the mining horizon[</w:t>
      </w:r>
      <w:proofErr w:type="gramStart"/>
      <w:r>
        <w:t>M]/</w:t>
      </w:r>
      <w:proofErr w:type="gramEnd"/>
      <w:r>
        <w:t>/Mining Subsidence Engineering. Berlin</w:t>
      </w:r>
      <w:proofErr w:type="gramStart"/>
      <w:r>
        <w:t>, ,</w:t>
      </w:r>
      <w:proofErr w:type="gramEnd"/>
      <w:r>
        <w:t xml:space="preserve"> Heidelberg: Springer, 1983: 7-40. DOI: 10.1007/978-3-642-81923-0_2.</w:t>
      </w:r>
    </w:p>
    <w:p w14:paraId="1902190A" w14:textId="77777777" w:rsidR="00390073" w:rsidRDefault="00000000" w:rsidP="001D7DFF">
      <w:pPr>
        <w:pStyle w:val="17"/>
      </w:pPr>
      <w:r>
        <w:t>[26]</w:t>
      </w:r>
      <w:r>
        <w:tab/>
      </w:r>
      <w:r>
        <w:t>许家林</w:t>
      </w:r>
      <w:r>
        <w:t xml:space="preserve">. </w:t>
      </w:r>
      <w:r>
        <w:t>煤矿绿色开采</w:t>
      </w:r>
      <w:r>
        <w:t>20</w:t>
      </w:r>
      <w:r>
        <w:t>年研究及进展</w:t>
      </w:r>
      <w:r>
        <w:t xml:space="preserve">[J]. </w:t>
      </w:r>
      <w:r>
        <w:t>煤炭科学技术</w:t>
      </w:r>
      <w:r>
        <w:t>, 2020, 48(9): 1-15. DOI: 10.13199/j.cnki.cst.2020.09.001.</w:t>
      </w:r>
    </w:p>
    <w:p w14:paraId="008742B8" w14:textId="77777777" w:rsidR="00390073" w:rsidRDefault="00000000" w:rsidP="001D7DFF">
      <w:pPr>
        <w:pStyle w:val="17"/>
      </w:pPr>
      <w:r>
        <w:t>[27]</w:t>
      </w:r>
      <w:r>
        <w:tab/>
      </w:r>
      <w:r>
        <w:t>王国法</w:t>
      </w:r>
      <w:r>
        <w:t xml:space="preserve">, </w:t>
      </w:r>
      <w:proofErr w:type="gramStart"/>
      <w:r>
        <w:t>杜毅博</w:t>
      </w:r>
      <w:proofErr w:type="gramEnd"/>
      <w:r>
        <w:t xml:space="preserve">. </w:t>
      </w:r>
      <w:r>
        <w:t>煤矿智能化标准体系框架与建设思路</w:t>
      </w:r>
      <w:r>
        <w:t xml:space="preserve">[J]. </w:t>
      </w:r>
      <w:r>
        <w:t>煤炭科学技术</w:t>
      </w:r>
      <w:r>
        <w:t>, 2020, 48(1): 1-9. DOI: 10.13199/j.cnki.cst.2020.01.001.</w:t>
      </w:r>
    </w:p>
    <w:p w14:paraId="60173527" w14:textId="77777777" w:rsidR="00390073" w:rsidRDefault="00000000" w:rsidP="001D7DFF">
      <w:pPr>
        <w:pStyle w:val="17"/>
      </w:pPr>
      <w:r>
        <w:t>[28]</w:t>
      </w:r>
      <w:r>
        <w:tab/>
      </w:r>
      <w:r>
        <w:t>王国法</w:t>
      </w:r>
      <w:r>
        <w:t xml:space="preserve">, </w:t>
      </w:r>
      <w:proofErr w:type="gramStart"/>
      <w:r>
        <w:t>任怀伟</w:t>
      </w:r>
      <w:proofErr w:type="gramEnd"/>
      <w:r>
        <w:t xml:space="preserve">, </w:t>
      </w:r>
      <w:r>
        <w:t>庞义辉</w:t>
      </w:r>
      <w:r>
        <w:t xml:space="preserve">, </w:t>
      </w:r>
      <w:r>
        <w:t>等</w:t>
      </w:r>
      <w:r>
        <w:t xml:space="preserve">. </w:t>
      </w:r>
      <w:r>
        <w:t>煤矿智能化</w:t>
      </w:r>
      <w:r>
        <w:t>(</w:t>
      </w:r>
      <w:r>
        <w:t>初级阶段</w:t>
      </w:r>
      <w:r>
        <w:t>)</w:t>
      </w:r>
      <w:r>
        <w:t>技术体系研究与工程进展</w:t>
      </w:r>
      <w:r>
        <w:t xml:space="preserve">[J]. </w:t>
      </w:r>
      <w:r>
        <w:t>煤炭科学技术</w:t>
      </w:r>
      <w:r>
        <w:t>, 2020, 48(7): 1-27. DOI: 10.13199/j.cnki.cst.2020.07.001.</w:t>
      </w:r>
    </w:p>
    <w:p w14:paraId="755F0EBB" w14:textId="77777777" w:rsidR="00390073" w:rsidRDefault="00000000" w:rsidP="001D7DFF">
      <w:pPr>
        <w:pStyle w:val="17"/>
      </w:pPr>
      <w:r>
        <w:t>[29]</w:t>
      </w:r>
      <w:r>
        <w:tab/>
      </w:r>
      <w:proofErr w:type="gramStart"/>
      <w:r>
        <w:t>李首滨</w:t>
      </w:r>
      <w:proofErr w:type="gramEnd"/>
      <w:r>
        <w:t xml:space="preserve">. </w:t>
      </w:r>
      <w:r>
        <w:t>智能化开采研究进展与发展趋势</w:t>
      </w:r>
      <w:r>
        <w:t xml:space="preserve">[J]. </w:t>
      </w:r>
      <w:r>
        <w:t>煤炭科学技术</w:t>
      </w:r>
      <w:r>
        <w:t>, 2019, 47(10): 102-110. DOI: 10.13199/j.cnki.cst.2019.10.012.</w:t>
      </w:r>
    </w:p>
    <w:p w14:paraId="5AC50103" w14:textId="77777777" w:rsidR="00390073" w:rsidRDefault="00000000" w:rsidP="001D7DFF">
      <w:pPr>
        <w:pStyle w:val="17"/>
      </w:pPr>
      <w:r>
        <w:t>[30]</w:t>
      </w:r>
      <w:r>
        <w:tab/>
      </w:r>
      <w:proofErr w:type="gramStart"/>
      <w:r>
        <w:t>王存飞</w:t>
      </w:r>
      <w:proofErr w:type="gramEnd"/>
      <w:r>
        <w:t xml:space="preserve">, </w:t>
      </w:r>
      <w:r>
        <w:t>荣耀</w:t>
      </w:r>
      <w:r>
        <w:t xml:space="preserve">. </w:t>
      </w:r>
      <w:r>
        <w:t>透明工作面的概念、架构与关键技术</w:t>
      </w:r>
      <w:r>
        <w:t xml:space="preserve">[J]. </w:t>
      </w:r>
      <w:r>
        <w:t>煤炭科学技术</w:t>
      </w:r>
      <w:r>
        <w:t>, 2019, 47(7): 156-163. DOI: 10.13199/j.cnki.cst.2019.07.019.</w:t>
      </w:r>
    </w:p>
    <w:p w14:paraId="52C4AB47" w14:textId="77777777" w:rsidR="00390073" w:rsidRDefault="00000000" w:rsidP="001D7DFF">
      <w:pPr>
        <w:pStyle w:val="17"/>
      </w:pPr>
      <w:r>
        <w:t>[31]</w:t>
      </w:r>
      <w:r>
        <w:tab/>
      </w:r>
      <w:proofErr w:type="gramStart"/>
      <w:r>
        <w:t>程建远</w:t>
      </w:r>
      <w:proofErr w:type="gramEnd"/>
      <w:r>
        <w:t xml:space="preserve">, </w:t>
      </w:r>
      <w:proofErr w:type="gramStart"/>
      <w:r>
        <w:t>朱梦博</w:t>
      </w:r>
      <w:proofErr w:type="gramEnd"/>
      <w:r>
        <w:t xml:space="preserve">, </w:t>
      </w:r>
      <w:proofErr w:type="gramStart"/>
      <w:r>
        <w:t>王云宏</w:t>
      </w:r>
      <w:proofErr w:type="gramEnd"/>
      <w:r>
        <w:t xml:space="preserve">, </w:t>
      </w:r>
      <w:r>
        <w:t>等</w:t>
      </w:r>
      <w:r>
        <w:t xml:space="preserve">. </w:t>
      </w:r>
      <w:r>
        <w:t>煤炭智能精准开采工作面地质模型梯级构建及其关键技术</w:t>
      </w:r>
      <w:r>
        <w:t xml:space="preserve">[J]. </w:t>
      </w:r>
      <w:r>
        <w:t>煤炭学报</w:t>
      </w:r>
      <w:r>
        <w:t>, 2019, 44(8): 2285-2295. DOI: 10.13225/j.cnki.jccs.KJ19.0510.</w:t>
      </w:r>
    </w:p>
    <w:p w14:paraId="5DEB9ECE" w14:textId="77777777" w:rsidR="00390073" w:rsidRDefault="00000000" w:rsidP="001D7DFF">
      <w:pPr>
        <w:pStyle w:val="17"/>
      </w:pPr>
      <w:r>
        <w:t>[32]</w:t>
      </w:r>
      <w:r>
        <w:tab/>
      </w:r>
      <w:r>
        <w:t>刘万里</w:t>
      </w:r>
      <w:r>
        <w:t xml:space="preserve">, </w:t>
      </w:r>
      <w:r>
        <w:t>张学亮</w:t>
      </w:r>
      <w:r>
        <w:t xml:space="preserve">, </w:t>
      </w:r>
      <w:r>
        <w:t>王</w:t>
      </w:r>
      <w:proofErr w:type="gramStart"/>
      <w:r>
        <w:t>世</w:t>
      </w:r>
      <w:proofErr w:type="gramEnd"/>
      <w:r>
        <w:t>博</w:t>
      </w:r>
      <w:r>
        <w:t xml:space="preserve">. </w:t>
      </w:r>
      <w:r>
        <w:t>采煤工作面煤层三维模型构建及动态修正技术</w:t>
      </w:r>
      <w:r>
        <w:t xml:space="preserve">[J]. </w:t>
      </w:r>
      <w:r>
        <w:t>煤炭学报</w:t>
      </w:r>
      <w:r>
        <w:t>, 2020, 45(6): 1973-1983. DOI: 10.13225/j.cnki.jccs.ZN20.0364.</w:t>
      </w:r>
    </w:p>
    <w:p w14:paraId="333820C6" w14:textId="77777777" w:rsidR="00390073" w:rsidRDefault="00000000" w:rsidP="001D7DFF">
      <w:pPr>
        <w:pStyle w:val="17"/>
      </w:pPr>
      <w:r>
        <w:t>[33]</w:t>
      </w:r>
      <w:r>
        <w:tab/>
      </w:r>
      <w:r>
        <w:t>徐智敏</w:t>
      </w:r>
      <w:r>
        <w:t xml:space="preserve">, </w:t>
      </w:r>
      <w:r>
        <w:t>孙亚军</w:t>
      </w:r>
      <w:r>
        <w:t xml:space="preserve">, </w:t>
      </w:r>
      <w:r>
        <w:t>高尚</w:t>
      </w:r>
      <w:r>
        <w:t xml:space="preserve">, </w:t>
      </w:r>
      <w:r>
        <w:t>等</w:t>
      </w:r>
      <w:r>
        <w:t xml:space="preserve">. </w:t>
      </w:r>
      <w:r>
        <w:t>干旱</w:t>
      </w:r>
      <w:proofErr w:type="gramStart"/>
      <w:r>
        <w:t>矿区采动顶板</w:t>
      </w:r>
      <w:proofErr w:type="gramEnd"/>
      <w:r>
        <w:t>导水裂隙的演化规律及保</w:t>
      </w:r>
      <w:proofErr w:type="gramStart"/>
      <w:r>
        <w:t>水采煤意义</w:t>
      </w:r>
      <w:proofErr w:type="gramEnd"/>
      <w:r>
        <w:t xml:space="preserve">[J]. </w:t>
      </w:r>
      <w:r>
        <w:t>煤炭学报</w:t>
      </w:r>
      <w:r>
        <w:t>, 2019, 44(3): 767-776. DOI: 10.13225/j.cnki.jccs.2018.6041.</w:t>
      </w:r>
    </w:p>
    <w:p w14:paraId="0B4E20E7" w14:textId="77777777" w:rsidR="00390073" w:rsidRDefault="00000000" w:rsidP="001D7DFF">
      <w:pPr>
        <w:pStyle w:val="17"/>
      </w:pPr>
      <w:r>
        <w:t>[34]</w:t>
      </w:r>
      <w:r>
        <w:tab/>
      </w:r>
      <w:r>
        <w:t>曹志国</w:t>
      </w:r>
      <w:r>
        <w:t xml:space="preserve">, </w:t>
      </w:r>
      <w:r>
        <w:t>鞠金峰</w:t>
      </w:r>
      <w:r>
        <w:t xml:space="preserve">, </w:t>
      </w:r>
      <w:r>
        <w:t>许家林</w:t>
      </w:r>
      <w:r>
        <w:t xml:space="preserve">. </w:t>
      </w:r>
      <w:proofErr w:type="gramStart"/>
      <w:r>
        <w:t>采动覆岩</w:t>
      </w:r>
      <w:proofErr w:type="gramEnd"/>
      <w:r>
        <w:t>导水裂隙主通道分布模型及其水流动特性</w:t>
      </w:r>
      <w:r>
        <w:t xml:space="preserve">[J]. </w:t>
      </w:r>
      <w:r>
        <w:t>煤炭学报</w:t>
      </w:r>
      <w:r>
        <w:t>, 2019, 44(12): 3719-3728. DOI: 10.13225/j.cnki.jccs.SH19.0446.</w:t>
      </w:r>
    </w:p>
    <w:p w14:paraId="4F50F0A5" w14:textId="77777777" w:rsidR="00390073" w:rsidRDefault="00000000" w:rsidP="001D7DFF">
      <w:pPr>
        <w:pStyle w:val="17"/>
      </w:pPr>
      <w:r>
        <w:t>[35]</w:t>
      </w:r>
      <w:r>
        <w:tab/>
      </w:r>
      <w:r>
        <w:t>郭文兵</w:t>
      </w:r>
      <w:r>
        <w:t xml:space="preserve">, </w:t>
      </w:r>
      <w:r>
        <w:t>娄高中</w:t>
      </w:r>
      <w:r>
        <w:t xml:space="preserve">. </w:t>
      </w:r>
      <w:proofErr w:type="gramStart"/>
      <w:r>
        <w:t>覆岩破坏</w:t>
      </w:r>
      <w:proofErr w:type="gramEnd"/>
      <w:r>
        <w:t>充分采动程度定义及判别方法</w:t>
      </w:r>
      <w:r>
        <w:t xml:space="preserve">[J]. </w:t>
      </w:r>
      <w:r>
        <w:t>煤炭学报</w:t>
      </w:r>
      <w:r>
        <w:t>, 2019, 44(3): 755-766. DOI: 10.13225/j.cnki.jccs.2018.6038.</w:t>
      </w:r>
    </w:p>
    <w:p w14:paraId="6F2CC2A7" w14:textId="77777777" w:rsidR="00390073" w:rsidRDefault="00000000" w:rsidP="001D7DFF">
      <w:pPr>
        <w:pStyle w:val="17"/>
      </w:pPr>
      <w:r>
        <w:t>[36]</w:t>
      </w:r>
      <w:r>
        <w:tab/>
      </w:r>
      <w:r>
        <w:t>鞠金峰</w:t>
      </w:r>
      <w:r>
        <w:t xml:space="preserve">, </w:t>
      </w:r>
      <w:r>
        <w:t>马祥</w:t>
      </w:r>
      <w:r>
        <w:t xml:space="preserve">, </w:t>
      </w:r>
      <w:r>
        <w:t>赵富强</w:t>
      </w:r>
      <w:r>
        <w:t xml:space="preserve">, </w:t>
      </w:r>
      <w:r>
        <w:t>等</w:t>
      </w:r>
      <w:r>
        <w:t xml:space="preserve">. </w:t>
      </w:r>
      <w:r>
        <w:t>东胜煤田导水裂缝发育及其分区特征研究</w:t>
      </w:r>
      <w:r>
        <w:t xml:space="preserve">[J]. </w:t>
      </w:r>
      <w:r>
        <w:t>煤炭科学技术</w:t>
      </w:r>
      <w:r>
        <w:t>, 2022, 50(2): 202-212. DOI: 10.13199/j.cnki.cst.2021-0169.</w:t>
      </w:r>
    </w:p>
    <w:p w14:paraId="23348345" w14:textId="77777777" w:rsidR="00390073" w:rsidRDefault="00000000" w:rsidP="001D7DFF">
      <w:pPr>
        <w:pStyle w:val="17"/>
      </w:pPr>
      <w:r>
        <w:t>[37]</w:t>
      </w:r>
      <w:r>
        <w:tab/>
      </w:r>
      <w:r>
        <w:t>郭小铭</w:t>
      </w:r>
      <w:r>
        <w:t xml:space="preserve">, </w:t>
      </w:r>
      <w:r>
        <w:t>王皓</w:t>
      </w:r>
      <w:r>
        <w:t xml:space="preserve">, </w:t>
      </w:r>
      <w:r>
        <w:t>周麟晟</w:t>
      </w:r>
      <w:r>
        <w:t xml:space="preserve">. </w:t>
      </w:r>
      <w:r>
        <w:t>煤层顶板巨厚基岩含水层空间富水性评价</w:t>
      </w:r>
      <w:r>
        <w:t xml:space="preserve">[J]. </w:t>
      </w:r>
      <w:r>
        <w:t>煤炭科学技术</w:t>
      </w:r>
      <w:r>
        <w:t>, 2021, 49(9): 167-175. DOI: 10.13199/j.cnki.cst.2021.09.024.</w:t>
      </w:r>
    </w:p>
    <w:p w14:paraId="309CB89F" w14:textId="77777777" w:rsidR="00390073" w:rsidRDefault="00000000" w:rsidP="001D7DFF">
      <w:pPr>
        <w:pStyle w:val="17"/>
      </w:pPr>
      <w:r>
        <w:t>[38]</w:t>
      </w:r>
      <w:r>
        <w:tab/>
      </w:r>
      <w:r>
        <w:t>王苏健</w:t>
      </w:r>
      <w:r>
        <w:t xml:space="preserve">, </w:t>
      </w:r>
      <w:r>
        <w:t>金声尧</w:t>
      </w:r>
      <w:r>
        <w:t xml:space="preserve">. </w:t>
      </w:r>
      <w:r>
        <w:t>类孤岛工作面复采方案优选分析研究</w:t>
      </w:r>
      <w:r>
        <w:t xml:space="preserve">[J]. </w:t>
      </w:r>
      <w:r>
        <w:t>煤炭科学技术</w:t>
      </w:r>
      <w:r>
        <w:t>, 2021, 49(9): 9-16. DOI: 10.13199/j.cnki.cst.2021.09.002.</w:t>
      </w:r>
    </w:p>
    <w:p w14:paraId="07637B57" w14:textId="77777777" w:rsidR="00390073" w:rsidRDefault="00000000" w:rsidP="001D7DFF">
      <w:pPr>
        <w:pStyle w:val="17"/>
      </w:pPr>
      <w:r>
        <w:t>[39]</w:t>
      </w:r>
      <w:r>
        <w:tab/>
      </w:r>
      <w:r>
        <w:t>王玉涛</w:t>
      </w:r>
      <w:r>
        <w:t xml:space="preserve">, </w:t>
      </w:r>
      <w:r>
        <w:t>刘震</w:t>
      </w:r>
      <w:r>
        <w:t xml:space="preserve">. </w:t>
      </w:r>
      <w:r>
        <w:t>深部煤层非充分采动下</w:t>
      </w:r>
      <w:proofErr w:type="gramStart"/>
      <w:r>
        <w:t>覆岩裂隙场</w:t>
      </w:r>
      <w:proofErr w:type="gramEnd"/>
      <w:r>
        <w:t>可视化探测研究</w:t>
      </w:r>
      <w:r>
        <w:t xml:space="preserve">[J]. </w:t>
      </w:r>
      <w:r>
        <w:t>煤炭科学技术</w:t>
      </w:r>
      <w:r>
        <w:t>, 2020, 48(3): 197-204. DOI: 10.13199/j.cnki.cst.2020.03.024.</w:t>
      </w:r>
    </w:p>
    <w:p w14:paraId="0E7F6857" w14:textId="77777777" w:rsidR="00390073" w:rsidRDefault="00000000" w:rsidP="001D7DFF">
      <w:pPr>
        <w:pStyle w:val="17"/>
      </w:pPr>
      <w:r>
        <w:t>[40]</w:t>
      </w:r>
      <w:r>
        <w:tab/>
      </w:r>
      <w:r>
        <w:t>董江鑫</w:t>
      </w:r>
      <w:r>
        <w:t xml:space="preserve">, </w:t>
      </w:r>
      <w:r>
        <w:t>王飞</w:t>
      </w:r>
      <w:r>
        <w:t xml:space="preserve">. </w:t>
      </w:r>
      <w:r>
        <w:t>地质雷达和高密度电法联合探测底板含水性的应用</w:t>
      </w:r>
      <w:r>
        <w:t xml:space="preserve">[J]. </w:t>
      </w:r>
      <w:r>
        <w:t>煤炭科学技术</w:t>
      </w:r>
      <w:r>
        <w:t>, 2022, 50(5): 222-231. DOI: 10.13199/j.cnki.cst.2020-0418.</w:t>
      </w:r>
    </w:p>
    <w:p w14:paraId="48D279C4" w14:textId="77777777" w:rsidR="00390073" w:rsidRDefault="00000000" w:rsidP="001D7DFF">
      <w:pPr>
        <w:pStyle w:val="17"/>
      </w:pPr>
      <w:r>
        <w:t>[41]</w:t>
      </w:r>
      <w:r>
        <w:tab/>
      </w:r>
      <w:r>
        <w:t>张玉军</w:t>
      </w:r>
      <w:r>
        <w:t xml:space="preserve">, </w:t>
      </w:r>
      <w:proofErr w:type="gramStart"/>
      <w:r>
        <w:t>宋业杰</w:t>
      </w:r>
      <w:proofErr w:type="gramEnd"/>
      <w:r>
        <w:t xml:space="preserve">, </w:t>
      </w:r>
      <w:r>
        <w:t>樊振丽</w:t>
      </w:r>
      <w:r>
        <w:t xml:space="preserve">, </w:t>
      </w:r>
      <w:r>
        <w:t>等</w:t>
      </w:r>
      <w:r>
        <w:t xml:space="preserve">. </w:t>
      </w:r>
      <w:r>
        <w:t>鄂尔多斯盆地侏罗系煤田保水开采技术与应用</w:t>
      </w:r>
      <w:r>
        <w:t xml:space="preserve">[J]. </w:t>
      </w:r>
      <w:r>
        <w:t>煤炭科学技术</w:t>
      </w:r>
      <w:r>
        <w:t>, 2021, 49(4): 159-168. DOI: 10.13199/j.cnki.cst.2021.04.019.</w:t>
      </w:r>
    </w:p>
    <w:p w14:paraId="4D963BD4" w14:textId="77777777" w:rsidR="00390073" w:rsidRDefault="00000000" w:rsidP="001D7DFF">
      <w:pPr>
        <w:pStyle w:val="17"/>
      </w:pPr>
      <w:r>
        <w:t>[42]</w:t>
      </w:r>
      <w:r>
        <w:tab/>
      </w:r>
      <w:r>
        <w:t>李全生</w:t>
      </w:r>
      <w:r>
        <w:t xml:space="preserve">, </w:t>
      </w:r>
      <w:r>
        <w:t>鞠金峰</w:t>
      </w:r>
      <w:r>
        <w:t xml:space="preserve">, </w:t>
      </w:r>
      <w:r>
        <w:t>曹志国</w:t>
      </w:r>
      <w:r>
        <w:t xml:space="preserve">, </w:t>
      </w:r>
      <w:r>
        <w:t>等</w:t>
      </w:r>
      <w:r>
        <w:t xml:space="preserve">. </w:t>
      </w:r>
      <w:r>
        <w:t>基于导水裂隙带高度的地下水库适应性评价</w:t>
      </w:r>
      <w:r>
        <w:t xml:space="preserve">[J]. </w:t>
      </w:r>
      <w:r>
        <w:t>煤炭学报</w:t>
      </w:r>
      <w:r>
        <w:t>, 2017, 42(8): 2116-2124. DOI: 10.13225/j.cnki.jccs.2016.1871.</w:t>
      </w:r>
    </w:p>
    <w:p w14:paraId="178215E0" w14:textId="77777777" w:rsidR="00390073" w:rsidRDefault="00000000" w:rsidP="001D7DFF">
      <w:pPr>
        <w:pStyle w:val="17"/>
      </w:pPr>
      <w:r>
        <w:t>[43]</w:t>
      </w:r>
      <w:r>
        <w:tab/>
      </w:r>
      <w:r>
        <w:t>鞠金峰</w:t>
      </w:r>
      <w:r>
        <w:t xml:space="preserve">, </w:t>
      </w:r>
      <w:r>
        <w:t>许家林</w:t>
      </w:r>
      <w:r>
        <w:t xml:space="preserve">, </w:t>
      </w:r>
      <w:r>
        <w:t>朱卫兵</w:t>
      </w:r>
      <w:r>
        <w:t xml:space="preserve">. </w:t>
      </w:r>
      <w:r>
        <w:t>西部缺水矿区地下水库保水的库容研究</w:t>
      </w:r>
      <w:r>
        <w:t xml:space="preserve">[J]. </w:t>
      </w:r>
      <w:r>
        <w:t>煤炭学报</w:t>
      </w:r>
      <w:r>
        <w:t>, 2017, 42(2): 381-387. DOI: 10.13225/j.cnki.jccs.2016.6016.</w:t>
      </w:r>
    </w:p>
    <w:p w14:paraId="748DEE64" w14:textId="77777777" w:rsidR="00390073" w:rsidRDefault="00000000" w:rsidP="001D7DFF">
      <w:pPr>
        <w:pStyle w:val="17"/>
      </w:pPr>
      <w:r>
        <w:t>[44]</w:t>
      </w:r>
      <w:r>
        <w:tab/>
      </w:r>
      <w:r>
        <w:t>徐智敏</w:t>
      </w:r>
      <w:r>
        <w:t xml:space="preserve">, </w:t>
      </w:r>
      <w:r>
        <w:t>高尚</w:t>
      </w:r>
      <w:r>
        <w:t xml:space="preserve">, </w:t>
      </w:r>
      <w:r>
        <w:t>孙亚军</w:t>
      </w:r>
      <w:r>
        <w:t xml:space="preserve">, </w:t>
      </w:r>
      <w:r>
        <w:t>等</w:t>
      </w:r>
      <w:r>
        <w:t xml:space="preserve">. </w:t>
      </w:r>
      <w:r>
        <w:t>西部典型侏罗系富煤区含水介质条件与水动力学特征</w:t>
      </w:r>
      <w:r>
        <w:t xml:space="preserve">[J]. </w:t>
      </w:r>
      <w:r>
        <w:t>煤炭学报</w:t>
      </w:r>
      <w:r>
        <w:t>, 2017, 42(2): 444-451. DOI: 10.13225/j.cnki.jccs.2016.6024.</w:t>
      </w:r>
    </w:p>
    <w:p w14:paraId="03FF5F21" w14:textId="77777777" w:rsidR="00390073" w:rsidRDefault="00000000" w:rsidP="001D7DFF">
      <w:pPr>
        <w:pStyle w:val="17"/>
      </w:pPr>
      <w:r>
        <w:t>[45]</w:t>
      </w:r>
      <w:r>
        <w:tab/>
      </w:r>
      <w:proofErr w:type="gramStart"/>
      <w:r>
        <w:t>董书宁</w:t>
      </w:r>
      <w:proofErr w:type="gramEnd"/>
      <w:r>
        <w:t xml:space="preserve">, </w:t>
      </w:r>
      <w:r>
        <w:t>姬亚东</w:t>
      </w:r>
      <w:r>
        <w:t xml:space="preserve">, </w:t>
      </w:r>
      <w:r>
        <w:t>王皓</w:t>
      </w:r>
      <w:r>
        <w:t xml:space="preserve">, </w:t>
      </w:r>
      <w:r>
        <w:t>等</w:t>
      </w:r>
      <w:r>
        <w:t xml:space="preserve">. </w:t>
      </w:r>
      <w:r>
        <w:t>鄂尔多斯盆地侏罗纪煤田典型顶板水害防控技术与应用</w:t>
      </w:r>
      <w:r>
        <w:t xml:space="preserve">[J]. </w:t>
      </w:r>
      <w:r>
        <w:t>煤炭学报</w:t>
      </w:r>
      <w:r>
        <w:t>, 2020, 45(7): 2367-2375. DOI: 10.13225/j.cnki.jccs.DZ20.0697.</w:t>
      </w:r>
    </w:p>
    <w:p w14:paraId="76F11E92" w14:textId="77777777" w:rsidR="00390073" w:rsidRDefault="00000000" w:rsidP="001D7DFF">
      <w:pPr>
        <w:pStyle w:val="17"/>
      </w:pPr>
      <w:r>
        <w:t>[46]</w:t>
      </w:r>
      <w:r>
        <w:tab/>
      </w:r>
      <w:r>
        <w:t>刘晓丽</w:t>
      </w:r>
      <w:r>
        <w:t xml:space="preserve">, </w:t>
      </w:r>
      <w:r>
        <w:t>曹志国</w:t>
      </w:r>
      <w:r>
        <w:t xml:space="preserve">, </w:t>
      </w:r>
      <w:r>
        <w:t>陈苏社</w:t>
      </w:r>
      <w:r>
        <w:t xml:space="preserve">, </w:t>
      </w:r>
      <w:r>
        <w:t>等</w:t>
      </w:r>
      <w:r>
        <w:t xml:space="preserve">. </w:t>
      </w:r>
      <w:r>
        <w:t>煤矿分布式地下水库</w:t>
      </w:r>
      <w:proofErr w:type="gramStart"/>
      <w:r>
        <w:t>渗流场</w:t>
      </w:r>
      <w:proofErr w:type="gramEnd"/>
      <w:r>
        <w:t>分析及优化调度</w:t>
      </w:r>
      <w:r>
        <w:t xml:space="preserve">[J]. </w:t>
      </w:r>
      <w:r>
        <w:t>煤炭学报</w:t>
      </w:r>
      <w:r>
        <w:t>, 2019, 44(12): 3693-3699. DOI: 10.13225/j.cnki.jccs.SH19.1167.</w:t>
      </w:r>
    </w:p>
    <w:p w14:paraId="1B2EBFFA" w14:textId="77777777" w:rsidR="00390073" w:rsidRDefault="00000000" w:rsidP="001D7DFF">
      <w:pPr>
        <w:pStyle w:val="17"/>
      </w:pPr>
      <w:r>
        <w:t>[47]</w:t>
      </w:r>
      <w:r>
        <w:tab/>
      </w:r>
      <w:r>
        <w:t>庞义辉</w:t>
      </w:r>
      <w:r>
        <w:t xml:space="preserve">, </w:t>
      </w:r>
      <w:r>
        <w:t>李全生</w:t>
      </w:r>
      <w:r>
        <w:t xml:space="preserve">, </w:t>
      </w:r>
      <w:r>
        <w:t>曹光明</w:t>
      </w:r>
      <w:r>
        <w:t xml:space="preserve">, </w:t>
      </w:r>
      <w:r>
        <w:t>等</w:t>
      </w:r>
      <w:r>
        <w:t xml:space="preserve">. </w:t>
      </w:r>
      <w:r>
        <w:t>煤矿地下水库储水空间构成分析及计算方法</w:t>
      </w:r>
      <w:r>
        <w:t xml:space="preserve">[J]. </w:t>
      </w:r>
      <w:r>
        <w:t>煤炭学报</w:t>
      </w:r>
      <w:r>
        <w:t>, 2019, 44(2): 557-566. DOI: 10.13225/j.cnki.jccs.2018.0417.</w:t>
      </w:r>
    </w:p>
    <w:p w14:paraId="6B8793E3" w14:textId="77777777" w:rsidR="00390073" w:rsidRDefault="00000000" w:rsidP="001D7DFF">
      <w:pPr>
        <w:pStyle w:val="17"/>
      </w:pPr>
      <w:r>
        <w:t>[48]</w:t>
      </w:r>
      <w:r>
        <w:tab/>
      </w:r>
      <w:r>
        <w:t>范立民</w:t>
      </w:r>
      <w:r>
        <w:t xml:space="preserve">, </w:t>
      </w:r>
      <w:proofErr w:type="gramStart"/>
      <w:r>
        <w:t>马雄德</w:t>
      </w:r>
      <w:proofErr w:type="gramEnd"/>
      <w:r>
        <w:t xml:space="preserve">, </w:t>
      </w:r>
      <w:r>
        <w:t>蒋泽泉</w:t>
      </w:r>
      <w:r>
        <w:t xml:space="preserve">, </w:t>
      </w:r>
      <w:r>
        <w:t>等</w:t>
      </w:r>
      <w:r>
        <w:t xml:space="preserve">. </w:t>
      </w:r>
      <w:r>
        <w:t>保</w:t>
      </w:r>
      <w:proofErr w:type="gramStart"/>
      <w:r>
        <w:t>水采煤研究</w:t>
      </w:r>
      <w:proofErr w:type="gramEnd"/>
      <w:r>
        <w:t>30</w:t>
      </w:r>
      <w:r>
        <w:t>年回顾与展望</w:t>
      </w:r>
      <w:r>
        <w:t xml:space="preserve">[J]. </w:t>
      </w:r>
      <w:r>
        <w:t>煤炭科学技术</w:t>
      </w:r>
      <w:r>
        <w:t>, 2019, 47(7): 1-30. DOI: 10.13199/j.cnki.cst.2019.07.001.</w:t>
      </w:r>
    </w:p>
    <w:p w14:paraId="4B4162E6" w14:textId="77777777" w:rsidR="00390073" w:rsidRDefault="00000000" w:rsidP="001D7DFF">
      <w:pPr>
        <w:pStyle w:val="17"/>
      </w:pPr>
      <w:r>
        <w:t>[49]</w:t>
      </w:r>
      <w:r>
        <w:tab/>
      </w:r>
      <w:r>
        <w:t>许家林</w:t>
      </w:r>
      <w:r>
        <w:t xml:space="preserve">, </w:t>
      </w:r>
      <w:r>
        <w:t>朱卫兵</w:t>
      </w:r>
      <w:r>
        <w:t xml:space="preserve">, </w:t>
      </w:r>
      <w:proofErr w:type="gramStart"/>
      <w:r>
        <w:t>王晓振</w:t>
      </w:r>
      <w:proofErr w:type="gramEnd"/>
      <w:r>
        <w:t xml:space="preserve">. </w:t>
      </w:r>
      <w:r>
        <w:t>基于关键层位置的导水裂隙带高度预计方法</w:t>
      </w:r>
      <w:r>
        <w:t xml:space="preserve">[J]. </w:t>
      </w:r>
      <w:r>
        <w:t>煤炭学报</w:t>
      </w:r>
      <w:r>
        <w:t>, 2012, 37(5): 762-769. DOI: 10.13225/j.cnki.jccs.2012.05.002.</w:t>
      </w:r>
    </w:p>
    <w:p w14:paraId="267C0013" w14:textId="77777777" w:rsidR="00390073" w:rsidRDefault="00000000" w:rsidP="001D7DFF">
      <w:pPr>
        <w:pStyle w:val="17"/>
      </w:pPr>
      <w:r>
        <w:t>[50]</w:t>
      </w:r>
      <w:r>
        <w:tab/>
      </w:r>
      <w:r>
        <w:t>郭小铭</w:t>
      </w:r>
      <w:r>
        <w:t xml:space="preserve">, </w:t>
      </w:r>
      <w:proofErr w:type="gramStart"/>
      <w:r>
        <w:t>董书宁</w:t>
      </w:r>
      <w:proofErr w:type="gramEnd"/>
      <w:r>
        <w:t xml:space="preserve">. </w:t>
      </w:r>
      <w:r>
        <w:t>深埋煤层开采顶板基岩含水层渗流规律及保水技术</w:t>
      </w:r>
      <w:r>
        <w:t xml:space="preserve">[J]. </w:t>
      </w:r>
      <w:r>
        <w:t>煤炭学报</w:t>
      </w:r>
      <w:r>
        <w:t>, 2019, 44(3): 804-811. DOI: 10.13225/j.cnki.jccs.2018.6025.</w:t>
      </w:r>
    </w:p>
    <w:sectPr w:rsidR="00390073"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4C007" w14:textId="77777777" w:rsidR="00080F5F" w:rsidRDefault="00080F5F" w:rsidP="00A31ACE">
      <w:pPr>
        <w:spacing w:after="0"/>
      </w:pPr>
      <w:r>
        <w:separator/>
      </w:r>
    </w:p>
  </w:endnote>
  <w:endnote w:type="continuationSeparator" w:id="0">
    <w:p w14:paraId="240534C8" w14:textId="77777777" w:rsidR="00080F5F" w:rsidRDefault="00080F5F"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0FC00" w14:textId="77777777" w:rsidR="00080F5F" w:rsidRDefault="00080F5F" w:rsidP="00A31ACE">
      <w:pPr>
        <w:spacing w:after="0"/>
      </w:pPr>
      <w:r>
        <w:separator/>
      </w:r>
    </w:p>
  </w:footnote>
  <w:footnote w:type="continuationSeparator" w:id="0">
    <w:p w14:paraId="60E68814" w14:textId="77777777" w:rsidR="00080F5F" w:rsidRDefault="00080F5F"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5F"/>
    <w:rsid w:val="00081B10"/>
    <w:rsid w:val="000B659F"/>
    <w:rsid w:val="0015074B"/>
    <w:rsid w:val="00195275"/>
    <w:rsid w:val="001C5C40"/>
    <w:rsid w:val="001D7DFF"/>
    <w:rsid w:val="00283D3A"/>
    <w:rsid w:val="0029639D"/>
    <w:rsid w:val="002D5CF2"/>
    <w:rsid w:val="003244EB"/>
    <w:rsid w:val="00326F90"/>
    <w:rsid w:val="00390073"/>
    <w:rsid w:val="003C20E3"/>
    <w:rsid w:val="0040007B"/>
    <w:rsid w:val="004D2816"/>
    <w:rsid w:val="00532DB1"/>
    <w:rsid w:val="0059553B"/>
    <w:rsid w:val="00633AE9"/>
    <w:rsid w:val="006A6807"/>
    <w:rsid w:val="006B0BC3"/>
    <w:rsid w:val="007E22B6"/>
    <w:rsid w:val="00801D65"/>
    <w:rsid w:val="008200F3"/>
    <w:rsid w:val="008D74B9"/>
    <w:rsid w:val="009330B5"/>
    <w:rsid w:val="00A046E0"/>
    <w:rsid w:val="00A249E2"/>
    <w:rsid w:val="00A31ACE"/>
    <w:rsid w:val="00A85C05"/>
    <w:rsid w:val="00AA1D8D"/>
    <w:rsid w:val="00AE7336"/>
    <w:rsid w:val="00B47730"/>
    <w:rsid w:val="00B66552"/>
    <w:rsid w:val="00BB307B"/>
    <w:rsid w:val="00CB0664"/>
    <w:rsid w:val="00D007CE"/>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BCD804"/>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tabs>
        <w:tab w:val="num" w:pos="360"/>
      </w:tabs>
      <w:spacing w:before="340" w:after="330" w:line="576" w:lineRule="auto"/>
      <w:ind w:left="360" w:hanging="360"/>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tabs>
        <w:tab w:val="clear" w:pos="360"/>
      </w:tabs>
      <w:spacing w:before="0" w:after="0" w:line="624" w:lineRule="atLeast"/>
      <w:ind w:left="0" w:firstLine="0"/>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16</Pages>
  <Words>11439</Words>
  <Characters>18648</Characters>
  <Application>Microsoft Office Word</Application>
  <DocSecurity>0</DocSecurity>
  <Lines>690</Lines>
  <Paragraphs>423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11</cp:revision>
  <dcterms:created xsi:type="dcterms:W3CDTF">2013-12-23T23:15:00Z</dcterms:created>
  <dcterms:modified xsi:type="dcterms:W3CDTF">2026-04-19T06:12:00Z</dcterms:modified>
  <cp:category/>
</cp:coreProperties>
</file>