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EAFD" w14:textId="77777777" w:rsidR="007E22B6" w:rsidRDefault="00D76BC3">
      <w:pPr>
        <w:pStyle w:val="02"/>
      </w:pPr>
      <w:r>
        <w:rPr>
          <w:rFonts w:ascii="宋体" w:eastAsia="宋体" w:hAnsi="宋体"/>
        </w:rPr>
        <w:t>覆岩扰动约束下采区协同规划方法</w:t>
      </w:r>
    </w:p>
    <w:p w14:paraId="6AEACE4A"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CF8D9AE" w14:textId="77777777" w:rsidR="007E22B6" w:rsidRDefault="00A249E2">
      <w:pPr>
        <w:pStyle w:val="04"/>
        <w:ind w:firstLine="300"/>
      </w:pPr>
      <w:r>
        <w:rPr>
          <w:rFonts w:ascii="宋体" w:eastAsia="宋体" w:hAnsi="宋体"/>
        </w:rPr>
        <w:t>（1. 中国矿业大学（北京） 能源与矿业学院，北京 100083）</w:t>
      </w:r>
    </w:p>
    <w:p w14:paraId="01C3B82A" w14:textId="77777777"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w:t>
      </w:r>
      <w:r>
        <w:t>overburden disturbance index</w:t>
      </w:r>
      <w:r>
        <w:t>，</w:t>
      </w:r>
      <w:r>
        <w:t>ODI</w:t>
      </w:r>
      <w:r>
        <w:t>）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w:r>
        <w:t>ODI&gt;0.70</w:t>
      </w:r>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和风险综合得分的联合判据，而非单一阈值下的超限比例最小。敏感性分析表明，在当前样例和候选集合范围内，</w:t>
      </w:r>
      <w:r>
        <w:t>C</w:t>
      </w:r>
      <w:r>
        <w:t>方案风险综合得分低于</w:t>
      </w:r>
      <w:r>
        <w:t>A</w:t>
      </w:r>
      <w:r>
        <w:t>、</w:t>
      </w:r>
      <w:r>
        <w:t>B</w:t>
      </w:r>
      <w:r>
        <w:t>方案。结果说明，</w:t>
      </w:r>
      <w:r>
        <w:t>ODI</w:t>
      </w:r>
      <w:r>
        <w:t>前置约束可将风险图层转化为可复核的方案级统计指标，为采区规划多目标比选和后续对象传递提供支撑；真实矿井优选仍需结合现场约束和多案例验证。</w:t>
      </w:r>
    </w:p>
    <w:p w14:paraId="4C7CCF77" w14:textId="77777777" w:rsidR="007E22B6" w:rsidRDefault="00A249E2">
      <w:pPr>
        <w:pStyle w:val="05"/>
        <w:spacing w:after="60"/>
      </w:pPr>
      <w:r>
        <w:t>关键词：覆岩扰动指数；采区规划；多目标比选；候选方案集合；风险前置约束；连续参数场</w:t>
      </w:r>
    </w:p>
    <w:p w14:paraId="6B2FE883" w14:textId="77777777" w:rsidR="007E22B6" w:rsidRDefault="00A249E2">
      <w:pPr>
        <w:pStyle w:val="05"/>
        <w:spacing w:after="60"/>
      </w:pPr>
      <w:r>
        <w:rPr>
          <w:rFonts w:ascii="宋体" w:eastAsia="宋体" w:hAnsi="宋体"/>
        </w:rPr>
        <w:t>中图分类号：TD822    文献标志码：A</w:t>
      </w:r>
    </w:p>
    <w:p w14:paraId="27F7EA18" w14:textId="77777777" w:rsidR="007E22B6" w:rsidRDefault="00A249E2">
      <w:pPr>
        <w:pStyle w:val="06"/>
        <w:spacing w:after="60"/>
      </w:pPr>
      <w:r>
        <w:rPr>
          <w:rFonts w:eastAsia="宋体"/>
        </w:rPr>
        <w:t>Collaborative planning method for mining districts constrained by overburden disturbance</w:t>
      </w:r>
    </w:p>
    <w:p w14:paraId="6CDC61F9"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5DA783B1"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7E740F6A"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458047D9" w14:textId="77777777" w:rsidR="00DE4743" w:rsidRDefault="00A249E2">
      <w:pPr>
        <w:pStyle w:val="09"/>
        <w:spacing w:after="60"/>
      </w:pPr>
      <w:r>
        <w:t>Keywords: overburden disturbance index; mining district planning; multi-objective selection; candidate set; risk pre-constraint; continuous parameter field</w:t>
      </w:r>
    </w:p>
    <w:p w14:paraId="655130DD"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lastRenderedPageBreak/>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76CC70BD" w14:textId="77777777" w:rsidR="007E22B6" w:rsidRDefault="007E22B6"/>
    <w:p w14:paraId="1C0DF66D" w14:textId="77777777" w:rsidR="007E22B6" w:rsidRPr="00A046E0" w:rsidRDefault="00A249E2" w:rsidP="00A046E0">
      <w:pPr>
        <w:pStyle w:val="11"/>
        <w:rPr>
          <w:rFonts w:ascii="宋体" w:hAnsi="宋体"/>
        </w:rPr>
      </w:pPr>
      <w:r>
        <w:rPr>
          <w:rFonts w:ascii="宋体" w:eastAsia="宋体" w:hAnsi="宋体"/>
          <w:sz w:val="21"/>
        </w:rPr>
        <w:t>0 引言</w:t>
      </w:r>
    </w:p>
    <w:p w14:paraId="5EB37F80"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272F2B6A"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57A15A26"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点不足：一是钻孔和分层信息具有离散样本属性，如何转化为可参与空间布置和方案筛选的连续参数场仍不充分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640C3912"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43F65C81"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约束，并在有效布置域、连续参数场和工作面布置对象之间建立可计算映射关系，使风险控制能够参与候选方案生成、筛选和排序过程。本文侧重方法论验证与内部对照，不以输出矿井定案设计参数为直接目标。</w:t>
      </w:r>
    </w:p>
    <w:p w14:paraId="5D478918"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统一风险表征方法，明确风险分量归一化、权重聚合、阈值统计和方案级指标口径；</w:t>
      </w:r>
      <w:r>
        <w:t>2</w:t>
      </w:r>
      <w:r>
        <w:t>）建立离散钻孔、连续参数场与工作面布局对象之间的规划映射机制，使地质参数由点状样本转化为空间变量；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前置约束在方案比选中的作用。本文仅验证方法链路和对象传递的可行性，不将单一样例扩展为真实矿井条件下的普适最优结论。</w:t>
      </w:r>
    </w:p>
    <w:p w14:paraId="1C633B75" w14:textId="77777777" w:rsidR="009330B5" w:rsidRDefault="009330B5">
      <w:pPr>
        <w:spacing w:after="60"/>
        <w:rPr>
          <w:rFonts w:ascii="黑体" w:eastAsia="黑体" w:hAnsi="黑体" w:hint="eastAsia"/>
          <w:b/>
          <w:sz w:val="26"/>
        </w:rPr>
      </w:pPr>
    </w:p>
    <w:p w14:paraId="25ECB3E6" w14:textId="77777777" w:rsidR="007E22B6" w:rsidRDefault="00A249E2" w:rsidP="00A046E0">
      <w:pPr>
        <w:pStyle w:val="11"/>
      </w:pPr>
      <w:r>
        <w:rPr>
          <w:rFonts w:ascii="宋体" w:eastAsia="宋体" w:hAnsi="宋体"/>
          <w:sz w:val="21"/>
        </w:rPr>
        <w:t>1 基于覆岩扰动指数约束的采区多目标协同规划方法</w:t>
      </w:r>
    </w:p>
    <w:p w14:paraId="04BE4178"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1E253F1" w14:textId="77777777" w:rsidR="00E05130" w:rsidRPr="00E05130" w:rsidRDefault="009330B5" w:rsidP="00E05130">
      <w:pPr>
        <w:pStyle w:val="10"/>
        <w:spacing w:after="40"/>
        <w:ind w:firstLine="420"/>
      </w:pPr>
      <w:r>
        <w:t>采区规划中的覆岩扰动风险由地表沉陷、含水层扰动、上行开采安全性和局部地质采矿条件共同作</w:t>
      </w:r>
      <w:r>
        <w:lastRenderedPageBreak/>
        <w:t>用形成。导水裂隙带高度、关键层控制、覆岩破坏充分采动程度、含水层富水性和保水采煤等研究表明，相关判据与岩层结构、采高、工作面尺度、含水层位置和水文地质条件密切相关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定义为面向采区规划的统一风险表征指标，而非新的覆岩力学机理参数，用于将多场景风险转化为可参与候选方案筛选和排序的无量纲统计量。</w:t>
      </w:r>
    </w:p>
    <w:p w14:paraId="32BAF2A2"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8FAFF87" w14:textId="77777777" w:rsidR="00195275" w:rsidRDefault="00A249E2">
      <w:pPr>
        <w:pStyle w:val="14"/>
      </w:pPr>
      <w:r>
        <w:t>图</w:t>
      </w:r>
      <w:r>
        <w:t>1 ODI</w:t>
      </w:r>
      <w:r>
        <w:t>风险约束逻辑示意图</w:t>
      </w:r>
      <w:r>
        <w:br/>
        <w:t>Fig.1 Schematic diagram of the ODI risk-constraint logic</w:t>
      </w:r>
    </w:p>
    <w:p w14:paraId="6029AD3E" w14:textId="77777777" w:rsidR="00E05130" w:rsidRDefault="009330B5" w:rsidP="00E05130">
      <w:pPr>
        <w:pStyle w:val="10"/>
        <w:spacing w:after="40"/>
        <w:ind w:firstLine="420"/>
      </w:pPr>
      <w:r>
        <w:t>设规划域为</w:t>
      </w:r>
      <w:r>
        <w:t>Ω</w:t>
      </w:r>
      <w:r>
        <w:t>，任意位置</w:t>
      </w:r>
      <w:r>
        <w:t>x</w:t>
      </w:r>
      <w:r>
        <w:t>处的风险分量包括地表沉陷扰动</w:t>
      </w:r>
      <w:r>
        <w:t>D_s(x)</w:t>
      </w:r>
      <w:r>
        <w:t>、含水层扰动</w:t>
      </w:r>
      <w:r>
        <w:t>D_a(x)</w:t>
      </w:r>
      <w:r>
        <w:t>和上行开采扰动</w:t>
      </w:r>
      <w:r>
        <w:t>D_u(x)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B67E5CF" w14:textId="77777777" w:rsidTr="00A3251E">
        <w:trPr>
          <w:jc w:val="center"/>
        </w:trPr>
        <w:tc>
          <w:tcPr>
            <w:tcW w:w="560" w:type="dxa"/>
            <w:vAlign w:val="center"/>
          </w:tcPr>
          <w:p w14:paraId="39E7FD23" w14:textId="77777777" w:rsidR="00390073" w:rsidRPr="00A3251E" w:rsidRDefault="00390073" w:rsidP="00A3251E">
            <w:pPr>
              <w:spacing w:before="0" w:after="0"/>
              <w:rPr>
                <w:sz w:val="21"/>
              </w:rPr>
            </w:pPr>
          </w:p>
        </w:tc>
        <w:tc>
          <w:tcPr>
            <w:tcW w:w="8300" w:type="dxa"/>
            <w:vAlign w:val="center"/>
          </w:tcPr>
          <w:p w14:paraId="13E70AD9" w14:textId="77777777" w:rsidR="00390073" w:rsidRPr="00A3251E" w:rsidRDefault="005E44A0" w:rsidP="00A3251E">
            <w:pPr>
              <w:spacing w:before="0" w:after="0"/>
              <w:jc w:val="center"/>
              <w:rPr>
                <w:sz w:val="21"/>
              </w:rPr>
            </w:pPr>
            <m:oMathPara>
              <m:oMath>
                <m:r>
                  <m:rPr>
                    <m:sty m:val="p"/>
                  </m:rPr>
                  <w:rPr>
                    <w:rFonts w:ascii="Cambria Math" w:hAnsi="Cambria Math"/>
                    <w:sz w:val="21"/>
                  </w:rPr>
                  <m:t>ODI</m:t>
                </m:r>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r>
                  <w:rPr>
                    <w:rFonts w:ascii="Cambria Math" w:hAnsi="Cambria Math"/>
                    <w:sz w:val="21"/>
                  </w:rPr>
                  <m:t>(</m:t>
                </m:r>
                <m:r>
                  <w:rPr>
                    <w:rFonts w:ascii="Cambria Math" w:hAnsi="Cambria Math"/>
                    <w:sz w:val="21"/>
                  </w:rPr>
                  <m:t>x</m:t>
                </m:r>
                <m:r>
                  <w:rPr>
                    <w:rFonts w:ascii="Cambria Math" w:hAnsi="Cambria Math"/>
                    <w:sz w:val="21"/>
                  </w:rPr>
                  <m:t>)</m:t>
                </m:r>
              </m:oMath>
            </m:oMathPara>
          </w:p>
        </w:tc>
        <w:tc>
          <w:tcPr>
            <w:tcW w:w="1040" w:type="dxa"/>
            <w:vAlign w:val="center"/>
          </w:tcPr>
          <w:p w14:paraId="2197E639" w14:textId="77777777" w:rsidR="00390073" w:rsidRPr="00A3251E" w:rsidRDefault="005E44A0" w:rsidP="00A3251E">
            <w:pPr>
              <w:spacing w:before="0" w:after="0"/>
              <w:jc w:val="right"/>
              <w:rPr>
                <w:sz w:val="21"/>
              </w:rPr>
            </w:pPr>
            <w:r w:rsidRPr="00A3251E">
              <w:rPr>
                <w:rFonts w:eastAsia="Times New Roman"/>
                <w:sz w:val="21"/>
              </w:rPr>
              <w:t>（1）</w:t>
            </w:r>
          </w:p>
        </w:tc>
      </w:tr>
    </w:tbl>
    <w:p w14:paraId="3BE80C84"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5F5E285" w14:textId="77777777" w:rsidTr="00A3251E">
        <w:trPr>
          <w:jc w:val="center"/>
        </w:trPr>
        <w:tc>
          <w:tcPr>
            <w:tcW w:w="560" w:type="dxa"/>
            <w:vAlign w:val="center"/>
          </w:tcPr>
          <w:p w14:paraId="50350762" w14:textId="77777777" w:rsidR="00390073" w:rsidRPr="00A3251E" w:rsidRDefault="00390073" w:rsidP="00A3251E">
            <w:pPr>
              <w:spacing w:before="0" w:after="0"/>
              <w:rPr>
                <w:sz w:val="21"/>
              </w:rPr>
            </w:pPr>
          </w:p>
        </w:tc>
        <w:tc>
          <w:tcPr>
            <w:tcW w:w="8300" w:type="dxa"/>
            <w:vAlign w:val="center"/>
          </w:tcPr>
          <w:p w14:paraId="1D6915DE"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6378A243" w14:textId="77777777" w:rsidR="00390073" w:rsidRPr="00A3251E" w:rsidRDefault="005E44A0" w:rsidP="00A3251E">
            <w:pPr>
              <w:spacing w:before="0" w:after="0"/>
              <w:jc w:val="right"/>
              <w:rPr>
                <w:sz w:val="21"/>
              </w:rPr>
            </w:pPr>
            <w:r w:rsidRPr="00A3251E">
              <w:rPr>
                <w:rFonts w:eastAsia="Times New Roman"/>
                <w:sz w:val="21"/>
              </w:rPr>
              <w:t>（2）</w:t>
            </w:r>
          </w:p>
        </w:tc>
      </w:tr>
    </w:tbl>
    <w:p w14:paraId="64FFDDA8" w14:textId="77777777" w:rsidR="009330B5" w:rsidRPr="009330B5" w:rsidRDefault="009330B5" w:rsidP="009330B5">
      <w:pPr>
        <w:pStyle w:val="10"/>
        <w:spacing w:after="40"/>
        <w:ind w:firstLine="420"/>
      </w:pPr>
      <w:r>
        <w:t>式中，</w:t>
      </w:r>
      <w:r>
        <w:t>w_s</w:t>
      </w:r>
      <w:r>
        <w:t>、</w:t>
      </w:r>
      <w:r>
        <w:t>w_a</w:t>
      </w:r>
      <w:r>
        <w:t>和</w:t>
      </w:r>
      <w:r>
        <w:t>w_u</w:t>
      </w:r>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46E771F6" w14:textId="77777777" w:rsidR="009330B5" w:rsidRDefault="009330B5" w:rsidP="009330B5">
      <w:pPr>
        <w:pStyle w:val="10"/>
        <w:spacing w:after="40"/>
        <w:ind w:firstLine="420"/>
      </w:pPr>
      <w:r>
        <w:t>对原始指标</w:t>
      </w:r>
      <w:r>
        <w:t>X_i(x)</w:t>
      </w:r>
      <w:r>
        <w:t>，正向风险指标按式（</w:t>
      </w:r>
      <w:r>
        <w:t>3</w:t>
      </w:r>
      <w:r>
        <w:t>）归一化，逆向风险指标按式（</w:t>
      </w:r>
      <w:r>
        <w:t>4</w:t>
      </w:r>
      <w:r>
        <w:t>）归一化；当工程经验或规范给出上下限时，优先采用工程阈值作为</w:t>
      </w:r>
      <w:r>
        <w:t>X_i,min</w:t>
      </w:r>
      <w:r>
        <w:t>和</w:t>
      </w:r>
      <w:r>
        <w:t>X_i,max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F8E05A7" w14:textId="77777777" w:rsidTr="00A3251E">
        <w:trPr>
          <w:jc w:val="center"/>
        </w:trPr>
        <w:tc>
          <w:tcPr>
            <w:tcW w:w="560" w:type="dxa"/>
            <w:vAlign w:val="center"/>
          </w:tcPr>
          <w:p w14:paraId="380BD4D7" w14:textId="77777777" w:rsidR="00390073" w:rsidRPr="00A3251E" w:rsidRDefault="00390073" w:rsidP="00A3251E">
            <w:pPr>
              <w:spacing w:before="0" w:after="0"/>
              <w:rPr>
                <w:sz w:val="21"/>
              </w:rPr>
            </w:pPr>
          </w:p>
        </w:tc>
        <w:tc>
          <w:tcPr>
            <w:tcW w:w="8300" w:type="dxa"/>
            <w:vAlign w:val="center"/>
          </w:tcPr>
          <w:p w14:paraId="38F11A37" w14:textId="77777777" w:rsidR="00390073" w:rsidRPr="00A3251E" w:rsidRDefault="005E44A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m:t>
                </m:r>
                <m:r>
                  <w:rPr>
                    <w:rFonts w:ascii="Cambria Math" w:hAnsi="Cambria Math"/>
                    <w:sz w:val="21"/>
                  </w:rPr>
                  <m:t>x</m:t>
                </m:r>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min</m:t>
                        </m:r>
                      </m:sub>
                    </m:sSub>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min</m:t>
                        </m:r>
                      </m:sub>
                    </m:sSub>
                  </m:den>
                </m:f>
              </m:oMath>
            </m:oMathPara>
          </w:p>
        </w:tc>
        <w:tc>
          <w:tcPr>
            <w:tcW w:w="1040" w:type="dxa"/>
            <w:vAlign w:val="center"/>
          </w:tcPr>
          <w:p w14:paraId="14878F38" w14:textId="77777777" w:rsidR="00390073" w:rsidRPr="00A3251E" w:rsidRDefault="005E44A0" w:rsidP="00A3251E">
            <w:pPr>
              <w:spacing w:before="0" w:after="0"/>
              <w:jc w:val="right"/>
              <w:rPr>
                <w:sz w:val="21"/>
              </w:rPr>
            </w:pPr>
            <w:r w:rsidRPr="00A3251E">
              <w:rPr>
                <w:rFonts w:eastAsia="Times New Roman"/>
                <w:sz w:val="21"/>
              </w:rPr>
              <w:t>（3）</w:t>
            </w:r>
          </w:p>
        </w:tc>
      </w:tr>
    </w:tbl>
    <w:p w14:paraId="767B94E2"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CFD08BE" w14:textId="77777777" w:rsidTr="00A3251E">
        <w:trPr>
          <w:jc w:val="center"/>
        </w:trPr>
        <w:tc>
          <w:tcPr>
            <w:tcW w:w="560" w:type="dxa"/>
            <w:vAlign w:val="center"/>
          </w:tcPr>
          <w:p w14:paraId="7E0B8B4C" w14:textId="77777777" w:rsidR="00390073" w:rsidRPr="00A3251E" w:rsidRDefault="00390073" w:rsidP="00A3251E">
            <w:pPr>
              <w:spacing w:before="0" w:after="0"/>
              <w:rPr>
                <w:sz w:val="21"/>
              </w:rPr>
            </w:pPr>
          </w:p>
        </w:tc>
        <w:tc>
          <w:tcPr>
            <w:tcW w:w="8300" w:type="dxa"/>
            <w:vAlign w:val="center"/>
          </w:tcPr>
          <w:p w14:paraId="1BEBE3B7" w14:textId="77777777" w:rsidR="00390073" w:rsidRPr="00A3251E" w:rsidRDefault="005E44A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m:t>
                </m:r>
                <m:r>
                  <w:rPr>
                    <w:rFonts w:ascii="Cambria Math" w:hAnsi="Cambria Math"/>
                    <w:sz w:val="21"/>
                  </w:rPr>
                  <m:t>x</m:t>
                </m:r>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m:t>
                    </m:r>
                    <m:r>
                      <w:rPr>
                        <w:rFonts w:ascii="Cambria Math" w:hAnsi="Cambria Math"/>
                        <w:sz w:val="21"/>
                      </w:rPr>
                      <m:t>x</m:t>
                    </m:r>
                    <m:r>
                      <w:rPr>
                        <w:rFonts w:ascii="Cambria Math" w:hAnsi="Cambria Math"/>
                        <w:sz w:val="21"/>
                      </w:rPr>
                      <m:t>)</m:t>
                    </m:r>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min</m:t>
                        </m:r>
                      </m:sub>
                    </m:sSub>
                  </m:den>
                </m:f>
              </m:oMath>
            </m:oMathPara>
          </w:p>
        </w:tc>
        <w:tc>
          <w:tcPr>
            <w:tcW w:w="1040" w:type="dxa"/>
            <w:vAlign w:val="center"/>
          </w:tcPr>
          <w:p w14:paraId="438B95C2" w14:textId="77777777" w:rsidR="00390073" w:rsidRPr="00A3251E" w:rsidRDefault="005E44A0" w:rsidP="00A3251E">
            <w:pPr>
              <w:spacing w:before="0" w:after="0"/>
              <w:jc w:val="right"/>
              <w:rPr>
                <w:sz w:val="21"/>
              </w:rPr>
            </w:pPr>
            <w:r w:rsidRPr="00A3251E">
              <w:rPr>
                <w:rFonts w:eastAsia="Times New Roman"/>
                <w:sz w:val="21"/>
              </w:rPr>
              <w:t>（4）</w:t>
            </w:r>
          </w:p>
        </w:tc>
      </w:tr>
    </w:tbl>
    <w:p w14:paraId="724555FC"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718D3B4" w14:textId="77777777" w:rsidTr="00A3251E">
        <w:trPr>
          <w:jc w:val="center"/>
        </w:trPr>
        <w:tc>
          <w:tcPr>
            <w:tcW w:w="560" w:type="dxa"/>
            <w:vAlign w:val="center"/>
          </w:tcPr>
          <w:p w14:paraId="69009324" w14:textId="77777777" w:rsidR="00390073" w:rsidRPr="00A3251E" w:rsidRDefault="00390073" w:rsidP="00A3251E">
            <w:pPr>
              <w:spacing w:before="0" w:after="0"/>
              <w:rPr>
                <w:sz w:val="21"/>
              </w:rPr>
            </w:pPr>
          </w:p>
        </w:tc>
        <w:tc>
          <w:tcPr>
            <w:tcW w:w="8300" w:type="dxa"/>
            <w:vAlign w:val="center"/>
          </w:tcPr>
          <w:p w14:paraId="5619A9D0"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sty m:val="p"/>
                          </m:rPr>
                          <w:rPr>
                            <w:rFonts w:ascii="Cambria Math" w:hAnsi="Cambria Math"/>
                            <w:sz w:val="21"/>
                          </w:rPr>
                          <m:t>ODI</m:t>
                        </m:r>
                        <m:r>
                          <w:rPr>
                            <w:rFonts w:ascii="Cambria Math" w:hAnsi="Cambria Math"/>
                            <w:sz w:val="21"/>
                          </w:rPr>
                          <m:t>(</m:t>
                        </m:r>
                        <m:r>
                          <w:rPr>
                            <w:rFonts w:ascii="Cambria Math" w:hAnsi="Cambria Math"/>
                            <w:sz w:val="21"/>
                          </w:rPr>
                          <m:t>x</m:t>
                        </m:r>
                        <m:r>
                          <w:rPr>
                            <w:rFonts w:ascii="Cambria Math" w:hAnsi="Cambria Math"/>
                            <w:sz w:val="21"/>
                          </w:rPr>
                          <m:t>)&gt;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31947352" w14:textId="77777777" w:rsidR="00390073" w:rsidRPr="00A3251E" w:rsidRDefault="005E44A0" w:rsidP="00A3251E">
            <w:pPr>
              <w:spacing w:before="0" w:after="0"/>
              <w:jc w:val="right"/>
              <w:rPr>
                <w:sz w:val="21"/>
              </w:rPr>
            </w:pPr>
            <w:r w:rsidRPr="00A3251E">
              <w:rPr>
                <w:rFonts w:eastAsia="Times New Roman"/>
                <w:sz w:val="21"/>
              </w:rPr>
              <w:t>（5）</w:t>
            </w:r>
          </w:p>
        </w:tc>
      </w:tr>
    </w:tbl>
    <w:p w14:paraId="7E7E5BBB" w14:textId="77777777" w:rsidR="009330B5" w:rsidRDefault="009330B5" w:rsidP="009330B5">
      <w:pPr>
        <w:pStyle w:val="10"/>
        <w:spacing w:after="40"/>
        <w:ind w:firstLine="420"/>
      </w:pPr>
      <w:r>
        <w:t>式中，</w:t>
      </w:r>
      <w:r>
        <w:t>π</w:t>
      </w:r>
      <w:r>
        <w:t>为候选规划方案，</w:t>
      </w:r>
      <w:r>
        <w:t>A_π</w:t>
      </w:r>
      <w:r>
        <w:t>为方案</w:t>
      </w:r>
      <w:r>
        <w:t>π</w:t>
      </w:r>
      <w:r>
        <w:t>对应的布置区域，</w:t>
      </w:r>
      <w:r>
        <w:t>N_π</w:t>
      </w:r>
      <w:r>
        <w:t>为方案区域内参与统计的采样或栅格总数，</w:t>
      </w:r>
      <w:r>
        <w:t>n_π(ODI(x)&gt;T_ODI)</w:t>
      </w:r>
      <w:r>
        <w:t>为满足</w:t>
      </w:r>
      <w:r>
        <w:t>ODI</w:t>
      </w:r>
      <w:r>
        <w:t>超过统计阈值条件的采样或栅格数量，</w:t>
      </w:r>
      <w:r>
        <w:t>T_ODI</w:t>
      </w:r>
      <w:r>
        <w:t>为扰动控制阈值。本文以</w:t>
      </w:r>
      <w:r>
        <w:t>ODI</w:t>
      </w:r>
      <w:r>
        <w:t>均值、</w:t>
      </w:r>
      <w:r>
        <w:t>Q_0.90</w:t>
      </w:r>
      <w:r>
        <w:t>和超阈值暴露比例</w:t>
      </w:r>
      <w:r>
        <w:t>E_π</w:t>
      </w:r>
      <w:r>
        <w:t>共同描述方案级风险：均值反映总体扰动水平，</w:t>
      </w:r>
      <w:r>
        <w:t>Q_0.90</w:t>
      </w:r>
      <w:r>
        <w:t>反映高值尾部风险，</w:t>
      </w:r>
      <w:r>
        <w:t>E_π</w:t>
      </w:r>
      <w:r>
        <w:t>反映超过统计阈值的空间暴露比例。阈值</w:t>
      </w:r>
      <w:r>
        <w:t>0.70</w:t>
      </w:r>
      <w:r>
        <w:t>和</w:t>
      </w:r>
      <w:r>
        <w:t>0.80</w:t>
      </w:r>
      <w:r>
        <w:t>分别作为样例内部预警统计线和高扰动统计线，并非行业安全红线。为降低阈值设定对结论的影响，本文设置</w:t>
      </w:r>
      <w:r>
        <w:t>0.65</w:t>
      </w:r>
      <w:r>
        <w:t>、</w:t>
      </w:r>
      <w:r>
        <w:t>0.70</w:t>
      </w:r>
      <w:r>
        <w:t>、</w:t>
      </w:r>
      <w:r>
        <w:t>0.75</w:t>
      </w:r>
      <w:r>
        <w:t>和</w:t>
      </w:r>
      <w:r>
        <w:t>0.80</w:t>
      </w:r>
      <w:r>
        <w:t>四组阈值开展敏感性分析；真实矿井应用中仍需结合历史观测、含水层保护等级、地表建构筑物敏感性和安全制度重新标定。</w:t>
      </w:r>
    </w:p>
    <w:p w14:paraId="50920FBE" w14:textId="77777777" w:rsidR="009330B5" w:rsidRDefault="009330B5">
      <w:pPr>
        <w:spacing w:after="60"/>
        <w:rPr>
          <w:rFonts w:ascii="宋体" w:hAnsi="宋体"/>
          <w:b/>
          <w:sz w:val="22"/>
        </w:rPr>
      </w:pPr>
    </w:p>
    <w:p w14:paraId="0E72BAC7" w14:textId="77777777" w:rsidR="007E22B6" w:rsidRDefault="00A249E2" w:rsidP="00A046E0">
      <w:pPr>
        <w:pStyle w:val="12"/>
      </w:pPr>
      <w:r>
        <w:rPr>
          <w:rFonts w:ascii="宋体" w:eastAsia="宋体" w:hAnsi="宋体"/>
          <w:sz w:val="21"/>
        </w:rPr>
        <w:t>1.2 有效布置域与连续参数场构建</w:t>
      </w:r>
    </w:p>
    <w:p w14:paraId="62741418"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1A33D894"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设原始采区边界为Ω_0，边界煤柱约束、区段煤柱约束及保护对象约束对应的缓冲集合分别为B_b、B_s和D_p，则有效布置域可写为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59DD3F9" w14:textId="77777777" w:rsidTr="00A3251E">
        <w:trPr>
          <w:jc w:val="center"/>
        </w:trPr>
        <w:tc>
          <w:tcPr>
            <w:tcW w:w="560" w:type="dxa"/>
            <w:vAlign w:val="center"/>
          </w:tcPr>
          <w:p w14:paraId="520862E8" w14:textId="77777777" w:rsidR="00390073" w:rsidRPr="00A3251E" w:rsidRDefault="00390073" w:rsidP="00A3251E">
            <w:pPr>
              <w:spacing w:before="0" w:after="0"/>
              <w:rPr>
                <w:sz w:val="21"/>
              </w:rPr>
            </w:pPr>
          </w:p>
        </w:tc>
        <w:tc>
          <w:tcPr>
            <w:tcW w:w="8300" w:type="dxa"/>
            <w:vAlign w:val="center"/>
          </w:tcPr>
          <w:p w14:paraId="26C74084"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0</m:t>
                    </m:r>
                  </m:sub>
                </m:sSub>
                <m:r>
                  <w:rPr>
                    <w:rFonts w:ascii="Cambria Math" w:hAnsi="Cambria Math"/>
                    <w:sz w:val="21"/>
                  </w:rPr>
                  <m:t>⧵</m:t>
                </m:r>
                <m:d>
                  <m:dPr>
                    <m:sep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e>
                  <m:e>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e>
                  <m:e>
                    <m:sSub>
                      <m:sSubPr>
                        <m:ctrlPr>
                          <w:rPr>
                            <w:rFonts w:ascii="Cambria Math" w:hAnsi="Cambria Math"/>
                            <w:sz w:val="21"/>
                          </w:rPr>
                        </m:ctrlPr>
                      </m:sSubPr>
                      <m:e>
                        <m:r>
                          <w:rPr>
                            <w:rFonts w:ascii="Cambria Math" w:hAnsi="Cambria Math"/>
                            <w:sz w:val="21"/>
                          </w:rPr>
                          <m:t>D</m:t>
                        </m:r>
                      </m:e>
                      <m:sub>
                        <m:r>
                          <w:rPr>
                            <w:rFonts w:ascii="Cambria Math" w:hAnsi="Cambria Math"/>
                            <w:sz w:val="21"/>
                          </w:rPr>
                          <m:t>p</m:t>
                        </m:r>
                      </m:sub>
                    </m:sSub>
                  </m:e>
                </m:d>
              </m:oMath>
            </m:oMathPara>
          </w:p>
        </w:tc>
        <w:tc>
          <w:tcPr>
            <w:tcW w:w="1040" w:type="dxa"/>
            <w:vAlign w:val="center"/>
          </w:tcPr>
          <w:p w14:paraId="4502C073" w14:textId="77777777" w:rsidR="00390073" w:rsidRPr="00A3251E" w:rsidRDefault="005E44A0" w:rsidP="00A3251E">
            <w:pPr>
              <w:spacing w:before="0" w:after="0"/>
              <w:jc w:val="right"/>
              <w:rPr>
                <w:sz w:val="21"/>
              </w:rPr>
            </w:pPr>
            <w:r w:rsidRPr="00A3251E">
              <w:rPr>
                <w:rFonts w:eastAsia="Times New Roman"/>
                <w:sz w:val="21"/>
              </w:rPr>
              <w:t>（6）</w:t>
            </w:r>
          </w:p>
        </w:tc>
      </w:tr>
    </w:tbl>
    <w:p w14:paraId="62D9A2EA" w14:textId="77777777" w:rsidR="009330B5" w:rsidRPr="009330B5" w:rsidRDefault="009330B5" w:rsidP="009330B5">
      <w:pPr>
        <w:pStyle w:val="10"/>
        <w:spacing w:after="40"/>
        <w:ind w:firstLine="420"/>
      </w:pPr>
      <w:r>
        <w:t>式中，</w:t>
      </w:r>
      <w:r>
        <w:t>Ω_0</w:t>
      </w:r>
      <w:r>
        <w:t>为原始采区边界，</w:t>
      </w:r>
      <w:r>
        <w:t>B_b</w:t>
      </w:r>
      <w:r>
        <w:t>为边界煤柱宽度，</w:t>
      </w:r>
      <w:r>
        <w:t>B_s</w:t>
      </w:r>
      <w:r>
        <w:t>为区段煤柱宽度，</w:t>
      </w:r>
      <w:r>
        <w:t>D_p</w:t>
      </w:r>
      <w:r>
        <w:t>为局部保护距离，</w:t>
      </w:r>
      <w:r>
        <w:t>Ω_e</w:t>
      </w:r>
      <w:r>
        <w:t>为经约束内缩和几何合法性处理后的有效布置域。若内缩后出现多连通域或局部狭长畸变，则保留主连通区域并采用降级内缩策略，以保证后续工作面布置具有几何可解性。</w:t>
      </w:r>
    </w:p>
    <w:p w14:paraId="524BD255" w14:textId="77777777" w:rsidR="009330B5" w:rsidRPr="009330B5" w:rsidRDefault="009330B5" w:rsidP="009330B5">
      <w:pPr>
        <w:pStyle w:val="10"/>
        <w:spacing w:after="40"/>
        <w:ind w:firstLine="420"/>
      </w:pPr>
      <w:r>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51AC147" w14:textId="77777777" w:rsidTr="00A3251E">
        <w:trPr>
          <w:jc w:val="center"/>
        </w:trPr>
        <w:tc>
          <w:tcPr>
            <w:tcW w:w="560" w:type="dxa"/>
            <w:vAlign w:val="center"/>
          </w:tcPr>
          <w:p w14:paraId="41D0F33A" w14:textId="77777777" w:rsidR="00390073" w:rsidRPr="00A3251E" w:rsidRDefault="00390073" w:rsidP="00A3251E">
            <w:pPr>
              <w:spacing w:before="0" w:after="0"/>
              <w:rPr>
                <w:sz w:val="21"/>
              </w:rPr>
            </w:pPr>
          </w:p>
        </w:tc>
        <w:tc>
          <w:tcPr>
            <w:tcW w:w="8300" w:type="dxa"/>
            <w:vAlign w:val="center"/>
          </w:tcPr>
          <w:p w14:paraId="080FC493" w14:textId="77777777" w:rsidR="00390073" w:rsidRPr="00A3251E" w:rsidRDefault="005E44A0" w:rsidP="00A3251E">
            <w:pPr>
              <w:spacing w:before="0" w:after="0"/>
              <w:jc w:val="center"/>
              <w:rPr>
                <w:sz w:val="21"/>
              </w:rPr>
            </w:pPr>
            <m:oMathPara>
              <m:oMath>
                <m:r>
                  <w:rPr>
                    <w:rFonts w:ascii="Cambria Math" w:hAnsi="Cambria Math"/>
                    <w:sz w:val="21"/>
                  </w:rPr>
                  <m:t>z</m:t>
                </m:r>
                <m:r>
                  <w:rPr>
                    <w:rFonts w:ascii="Cambria Math" w:hAnsi="Cambria Math"/>
                    <w:sz w:val="21"/>
                  </w:rPr>
                  <m:t>(</m:t>
                </m:r>
                <m:r>
                  <w:rPr>
                    <w:rFonts w:ascii="Cambria Math" w:hAnsi="Cambria Math"/>
                    <w:sz w:val="21"/>
                  </w:rPr>
                  <m:t>x</m:t>
                </m:r>
                <m:r>
                  <w:rPr>
                    <w:rFonts w:ascii="Cambria Math" w:hAnsi="Cambria Math"/>
                    <w:sz w:val="21"/>
                  </w:rPr>
                  <m:t>)=</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m:t>
                        </m:r>
                        <m:r>
                          <w:rPr>
                            <w:rFonts w:ascii="Cambria Math" w:hAnsi="Cambria Math"/>
                            <w:sz w:val="21"/>
                          </w:rPr>
                          <m:t>=1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m:t>
                    </m:r>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m:t>
                        </m:r>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m:t>
                        </m:r>
                        <m:r>
                          <w:rPr>
                            <w:rFonts w:ascii="Cambria Math" w:hAnsi="Cambria Math"/>
                            <w:sz w:val="21"/>
                          </w:rPr>
                          <m:t>=1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m:t>
                    </m:r>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m:t>
                        </m:r>
                        <m:r>
                          <w:rPr>
                            <w:rFonts w:ascii="Cambria Math" w:hAnsi="Cambria Math"/>
                            <w:sz w:val="21"/>
                          </w:rPr>
                          <m:t>p</m:t>
                        </m:r>
                      </m:sup>
                    </m:sSup>
                  </m:den>
                </m:f>
              </m:oMath>
            </m:oMathPara>
          </w:p>
        </w:tc>
        <w:tc>
          <w:tcPr>
            <w:tcW w:w="1040" w:type="dxa"/>
            <w:vAlign w:val="center"/>
          </w:tcPr>
          <w:p w14:paraId="5FF50056" w14:textId="77777777" w:rsidR="00390073" w:rsidRPr="00A3251E" w:rsidRDefault="005E44A0" w:rsidP="00A3251E">
            <w:pPr>
              <w:spacing w:before="0" w:after="0"/>
              <w:jc w:val="right"/>
              <w:rPr>
                <w:sz w:val="21"/>
              </w:rPr>
            </w:pPr>
            <w:r w:rsidRPr="00A3251E">
              <w:rPr>
                <w:rFonts w:eastAsia="Times New Roman"/>
                <w:sz w:val="21"/>
              </w:rPr>
              <w:t>（7）</w:t>
            </w:r>
          </w:p>
        </w:tc>
      </w:tr>
    </w:tbl>
    <w:p w14:paraId="7E75990E" w14:textId="77777777" w:rsidR="009330B5" w:rsidRPr="009330B5" w:rsidRDefault="009330B5" w:rsidP="009330B5">
      <w:pPr>
        <w:pStyle w:val="10"/>
        <w:spacing w:after="40"/>
        <w:ind w:firstLine="420"/>
      </w:pPr>
      <w:r>
        <w:t>式中，</w:t>
      </w:r>
      <w:r>
        <w:t>z(x)</w:t>
      </w:r>
      <w:r>
        <w:t>为规划位置</w:t>
      </w:r>
      <w:r>
        <w:t>x</w:t>
      </w:r>
      <w:r>
        <w:t>处的参数估计值，</w:t>
      </w:r>
      <w:r>
        <w:t>z_i</w:t>
      </w:r>
      <w:r>
        <w:t>为第</w:t>
      </w:r>
      <w:r>
        <w:t>i</w:t>
      </w:r>
      <w:r>
        <w:t>个钻孔样点观测值，</w:t>
      </w:r>
      <w:r>
        <w:t>d_i(x)</w:t>
      </w:r>
      <w:r>
        <w:t>为位置</w:t>
      </w:r>
      <w:r>
        <w:t>x</w:t>
      </w:r>
      <w:r>
        <w:t>与第</w:t>
      </w:r>
      <w:r>
        <w:t>i</w:t>
      </w:r>
      <w:r>
        <w:t>个钻孔的距离，</w:t>
      </w:r>
      <w:r>
        <w:t>p</w:t>
      </w:r>
      <w:r>
        <w:t>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p>
    <w:p w14:paraId="007DAD3E"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w:t>
      </w:r>
      <w:r>
        <w:t>ODI</w:t>
      </w:r>
      <w:r>
        <w:t>风险场采用</w:t>
      </w:r>
      <w:r>
        <w:t>80×56</w:t>
      </w:r>
      <w:r>
        <w:t>网格、共</w:t>
      </w:r>
      <w:r>
        <w:t>4480</w:t>
      </w:r>
      <w:r>
        <w:t>个栅格，该尺度仅用于样例内部统计和方案叠加。</w:t>
      </w:r>
    </w:p>
    <w:p w14:paraId="706BE070"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758E1C60" w14:textId="77777777" w:rsidR="007E22B6" w:rsidRDefault="00A249E2" w:rsidP="00A046E0">
      <w:pPr>
        <w:pStyle w:val="12"/>
      </w:pPr>
      <w:r>
        <w:rPr>
          <w:sz w:val="21"/>
        </w:rPr>
        <w:t xml:space="preserve">1.3 </w:t>
      </w:r>
      <w:r>
        <w:rPr>
          <w:sz w:val="21"/>
        </w:rPr>
        <w:t>候选方案生成与多目标比选模型</w:t>
      </w:r>
    </w:p>
    <w:p w14:paraId="67E385A2"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w:t>
      </w:r>
      <w:r>
        <w:lastRenderedPageBreak/>
        <w:t>制之间进行权衡。本文将规划问题定义为</w:t>
      </w:r>
      <w:r>
        <w:t>“</w:t>
      </w:r>
      <w:r>
        <w:t>候选方案集合生成</w:t>
      </w:r>
      <w:r>
        <w:t>—</w:t>
      </w:r>
      <w:r>
        <w:t>底线约束过滤</w:t>
      </w:r>
      <w:r>
        <w:t>—</w:t>
      </w:r>
      <w:r>
        <w:t>多目标排序</w:t>
      </w:r>
      <w:r>
        <w:t>—</w:t>
      </w:r>
      <w:r>
        <w:t>工程复核</w:t>
      </w:r>
      <w:r>
        <w:t>”</w:t>
      </w:r>
      <w:r>
        <w:t>的组合优化过程，而不是单一程序输出结果。</w:t>
      </w:r>
    </w:p>
    <w:p w14:paraId="1E8A944F"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、工作面宽度</w:t>
      </w:r>
      <w:r>
        <w:t>W_f</w:t>
      </w:r>
      <w:r>
        <w:t>、推进方向</w:t>
      </w:r>
      <w:r>
        <w:t>θ</w:t>
      </w:r>
      <w:r>
        <w:t>、边界煤柱宽度</w:t>
      </w:r>
      <w:r>
        <w:t>B_b</w:t>
      </w:r>
      <w:r>
        <w:t>、区段煤柱宽度</w:t>
      </w:r>
      <w:r>
        <w:t>B_s</w:t>
      </w:r>
      <w:r>
        <w:t>、工作面起止边界、巷道连接关系和方案选择变量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FFE03AD" w14:textId="77777777" w:rsidTr="00A3251E">
        <w:trPr>
          <w:jc w:val="center"/>
        </w:trPr>
        <w:tc>
          <w:tcPr>
            <w:tcW w:w="560" w:type="dxa"/>
            <w:vAlign w:val="center"/>
          </w:tcPr>
          <w:p w14:paraId="45686939" w14:textId="77777777" w:rsidR="00390073" w:rsidRPr="00A3251E" w:rsidRDefault="00390073" w:rsidP="00A3251E">
            <w:pPr>
              <w:spacing w:before="0" w:after="0"/>
              <w:rPr>
                <w:sz w:val="21"/>
              </w:rPr>
            </w:pPr>
          </w:p>
        </w:tc>
        <w:tc>
          <w:tcPr>
            <w:tcW w:w="8300" w:type="dxa"/>
            <w:vAlign w:val="center"/>
          </w:tcPr>
          <w:p w14:paraId="51999755" w14:textId="77777777" w:rsidR="00390073" w:rsidRPr="00A3251E" w:rsidRDefault="005E44A0" w:rsidP="00A3251E">
            <w:pPr>
              <w:spacing w:before="0" w:after="0"/>
              <w:jc w:val="center"/>
              <w:rPr>
                <w:sz w:val="21"/>
              </w:rPr>
            </w:pPr>
            <m:oMathPara>
              <m:oMath>
                <m:r>
                  <w:rPr>
                    <w:rFonts w:ascii="Cambria Math" w:hAnsi="Cambria Math"/>
                    <w:sz w:val="21"/>
                  </w:rPr>
                  <m:t>π</m:t>
                </m:r>
                <m:r>
                  <w:rPr>
                    <w:rFonts w:ascii="Cambria Math" w:hAnsi="Cambria Math"/>
                    <w:sz w:val="21"/>
                  </w:rPr>
                  <m:t>={</m:t>
                </m:r>
                <m:r>
                  <w:rPr>
                    <w:rFonts w:ascii="Cambria Math" w:hAnsi="Cambria Math"/>
                    <w:sz w:val="21"/>
                  </w:rPr>
                  <m:t>N</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r>
                  <w:rPr>
                    <w:rFonts w:ascii="Cambria Math" w:hAnsi="Cambria Math"/>
                    <w:sz w:val="21"/>
                  </w:rPr>
                  <m:t>θ</m:t>
                </m:r>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∈{0,1}</m:t>
                </m:r>
              </m:oMath>
            </m:oMathPara>
          </w:p>
        </w:tc>
        <w:tc>
          <w:tcPr>
            <w:tcW w:w="1040" w:type="dxa"/>
            <w:vAlign w:val="center"/>
          </w:tcPr>
          <w:p w14:paraId="0C4F79BD" w14:textId="77777777" w:rsidR="00390073" w:rsidRPr="00A3251E" w:rsidRDefault="005E44A0" w:rsidP="00A3251E">
            <w:pPr>
              <w:spacing w:before="0" w:after="0"/>
              <w:jc w:val="right"/>
              <w:rPr>
                <w:sz w:val="21"/>
              </w:rPr>
            </w:pPr>
            <w:r w:rsidRPr="00A3251E">
              <w:rPr>
                <w:rFonts w:eastAsia="Times New Roman"/>
                <w:sz w:val="21"/>
              </w:rPr>
              <w:t>（8）</w:t>
            </w:r>
          </w:p>
        </w:tc>
      </w:tr>
    </w:tbl>
    <w:p w14:paraId="2EDFF0A5" w14:textId="77777777" w:rsidR="009330B5" w:rsidRPr="009330B5" w:rsidRDefault="00A249E2">
      <w:pPr>
        <w:pStyle w:val="16"/>
        <w:tabs>
          <w:tab w:val="right" w:pos="8504"/>
        </w:tabs>
        <w:spacing w:after="60" w:line="240" w:lineRule="auto"/>
        <w:jc w:val="center"/>
        <w:rPr>
          <w:rFonts w:ascii="宋体" w:hAnsi="宋体"/>
        </w:rPr>
      </w:pPr>
      <w:r>
        <w:t>式中，</w:t>
      </w:r>
      <w:r>
        <w:t>N</w:t>
      </w:r>
      <w:r>
        <w:t>为工作面数量，</w:t>
      </w:r>
      <w:r>
        <w:t>W_f</w:t>
      </w:r>
      <w:r>
        <w:t>为工作面宽度，</w:t>
      </w:r>
      <w:r>
        <w:t>θ</w:t>
      </w:r>
      <w:r>
        <w:t>为推进方向，</w:t>
      </w:r>
      <w:r>
        <w:t>B_b</w:t>
      </w:r>
      <w:r>
        <w:t>和</w:t>
      </w:r>
      <w:r>
        <w:t>B_s</w:t>
      </w:r>
      <w:r>
        <w:t>分别为边界煤柱与区段煤柱宽度，</w:t>
      </w:r>
      <w:r>
        <w:t>A_π</w:t>
      </w:r>
      <w:r>
        <w:t>为方案</w:t>
      </w:r>
      <w:r>
        <w:t>π</w:t>
      </w:r>
      <w:r>
        <w:t>中工作面占用区域集合，</w:t>
      </w:r>
      <w:r>
        <w:t>L_π</w:t>
      </w:r>
      <w:r>
        <w:t>为各工作面推进长度集合，</w:t>
      </w:r>
      <w:r>
        <w:t>R_π</w:t>
      </w:r>
      <w:r>
        <w:t>为巷道连接与服务关系，</w:t>
      </w:r>
      <w:r>
        <w:t>y_π</w:t>
      </w:r>
      <w:r>
        <w:t>为候选方案选择变量。该变量定义将规划对象由单一几何图形扩展为包含数量、尺度、方向、煤柱、工作面区域和巷道关系的组合对象，可同时承接几何约束、风险统计和后续接续评价。</w:t>
      </w:r>
    </w:p>
    <w:p w14:paraId="601FB9E3"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4199046" w14:textId="77777777" w:rsidTr="00A3251E">
        <w:trPr>
          <w:jc w:val="center"/>
        </w:trPr>
        <w:tc>
          <w:tcPr>
            <w:tcW w:w="560" w:type="dxa"/>
            <w:vAlign w:val="center"/>
          </w:tcPr>
          <w:p w14:paraId="3C2B3266" w14:textId="77777777" w:rsidR="00390073" w:rsidRPr="00A3251E" w:rsidRDefault="00390073" w:rsidP="00A3251E">
            <w:pPr>
              <w:spacing w:before="0" w:after="0"/>
              <w:rPr>
                <w:sz w:val="21"/>
              </w:rPr>
            </w:pPr>
          </w:p>
        </w:tc>
        <w:tc>
          <w:tcPr>
            <w:tcW w:w="8300" w:type="dxa"/>
            <w:vAlign w:val="center"/>
          </w:tcPr>
          <w:p w14:paraId="60395356"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r>
                      <w:rPr>
                        <w:rFonts w:ascii="Cambria Math" w:hAnsi="Cambria Math"/>
                        <w:sz w:val="21"/>
                      </w:rPr>
                      <m:t>,</m:t>
                    </m:r>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r>
                      <w:rPr>
                        <w:rFonts w:ascii="Cambria Math" w:hAnsi="Cambria Math"/>
                        <w:sz w:val="21"/>
                      </w:rPr>
                      <m:t>,</m:t>
                    </m:r>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r>
                      <w:rPr>
                        <w:rFonts w:ascii="Cambria Math" w:hAnsi="Cambria Math"/>
                        <w:sz w:val="21"/>
                      </w:rPr>
                      <m:t>,</m:t>
                    </m:r>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r>
                      <w:rPr>
                        <w:rFonts w:ascii="Cambria Math" w:hAnsi="Cambria Math"/>
                        <w:sz w:val="21"/>
                      </w:rPr>
                      <m:t>,</m:t>
                    </m:r>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w:rPr>
                        <w:rFonts w:ascii="Cambria Math" w:hAnsi="Cambria Math"/>
                        <w:sz w:val="21"/>
                      </w:rPr>
                      <m:t>ODI</m:t>
                    </m:r>
                  </m:sub>
                </m:sSub>
              </m:oMath>
            </m:oMathPara>
          </w:p>
        </w:tc>
        <w:tc>
          <w:tcPr>
            <w:tcW w:w="1040" w:type="dxa"/>
            <w:vAlign w:val="center"/>
          </w:tcPr>
          <w:p w14:paraId="123EF3BF" w14:textId="77777777" w:rsidR="00390073" w:rsidRPr="00A3251E" w:rsidRDefault="005E44A0" w:rsidP="00A3251E">
            <w:pPr>
              <w:spacing w:before="0" w:after="0"/>
              <w:jc w:val="right"/>
              <w:rPr>
                <w:sz w:val="21"/>
              </w:rPr>
            </w:pPr>
            <w:r w:rsidRPr="00A3251E">
              <w:rPr>
                <w:rFonts w:eastAsia="Times New Roman"/>
                <w:sz w:val="21"/>
              </w:rPr>
              <w:t>（9）</w:t>
            </w:r>
          </w:p>
        </w:tc>
      </w:tr>
    </w:tbl>
    <w:p w14:paraId="33C09583" w14:textId="77777777" w:rsidR="009330B5" w:rsidRPr="009330B5" w:rsidRDefault="009330B5" w:rsidP="009330B5">
      <w:pPr>
        <w:pStyle w:val="10"/>
        <w:spacing w:after="40"/>
        <w:ind w:firstLine="420"/>
        <w:rPr>
          <w:rFonts w:ascii="宋体" w:hAnsi="宋体"/>
        </w:rPr>
      </w:pPr>
      <w:r>
        <w:t>式中，</w:t>
      </w:r>
      <w:r>
        <w:t>A_π⊂Ω_e</w:t>
      </w:r>
      <w:r>
        <w:t>为边界约束，</w:t>
      </w:r>
      <w:r>
        <w:t>B_b</w:t>
      </w:r>
      <w:r>
        <w:t>和</w:t>
      </w:r>
      <w:r>
        <w:t>B_s</w:t>
      </w:r>
      <w:r>
        <w:t>为煤柱约束，</w:t>
      </w:r>
      <w:r>
        <w:t>W_f</w:t>
      </w:r>
      <w:r>
        <w:t>为工作面宽度约束，</w:t>
      </w:r>
      <w:r>
        <w:t>A_i∩A_j=∅</w:t>
      </w:r>
      <w:r>
        <w:t>为工作面不重叠约束，</w:t>
      </w:r>
      <w:r>
        <w:t>C_L</w:t>
      </w:r>
      <w:r>
        <w:t>表示推进长度推荐区间或校核条件，</w:t>
      </w:r>
      <w:r>
        <w:t>I_ODI</w:t>
      </w:r>
      <w:r>
        <w:t>表示</w:t>
      </w:r>
      <w:r>
        <w:t>ODI</w:t>
      </w:r>
      <w:r>
        <w:t>暴露统计参与方案筛选与风险排序的指标口径。当前样例将边界、煤柱、工作面宽度和不重叠作为硬约束，将推进长度校核阈值与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7E349263"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r>
        <w:t>Π_all=Π_e∪Π_r∪Π_m</w:t>
      </w:r>
      <w:r>
        <w:t>，再在该集合上分别按工程效率、资源回收和扰动控制偏好进行排序与筛选，输出工程效率优先方案</w:t>
      </w:r>
      <w:r>
        <w:t>A</w:t>
      </w:r>
      <w:r>
        <w:t>、资源回收优先方案</w:t>
      </w:r>
      <w:r>
        <w:t>B</w:t>
      </w:r>
      <w:r>
        <w:t>和扰动控制优先方案</w:t>
      </w:r>
      <w:r>
        <w:t>C</w:t>
      </w:r>
      <w:r>
        <w:t>。推进方向不作黑箱</w:t>
      </w:r>
      <w:r>
        <w:t>“</w:t>
      </w:r>
      <w:r>
        <w:t>自动确定</w:t>
      </w:r>
      <w:r>
        <w:t>”</w:t>
      </w:r>
      <w:r>
        <w:t>，而是在工程允许方向集合</w:t>
      </w:r>
      <w:r>
        <w:t>Θ</w:t>
      </w:r>
      <w:r>
        <w:t>内与煤柱宽度、工作面宽度和边界内缩距离共同枚举，并由约束过滤和多目标排序确定推荐结果。</w:t>
      </w:r>
    </w:p>
    <w:p w14:paraId="41E0CAF6"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步：读取边界、钻孔参数场和规划控制参数，确定</w:t>
      </w:r>
      <w:r>
        <w:t>Θ</w:t>
      </w:r>
      <w:r>
        <w:t>、</w:t>
      </w:r>
      <w:r>
        <w:t>W_f</w:t>
      </w:r>
      <w:r>
        <w:t>、</w:t>
      </w:r>
      <w:r>
        <w:t>B_b</w:t>
      </w:r>
      <w:r>
        <w:t>、</w:t>
      </w:r>
      <w:r>
        <w:t>B_s</w:t>
      </w:r>
      <w:r>
        <w:t>及内缩距离取值；切分有效布置域并生成工作面区域、推进长度和巷道连接对象；按式（</w:t>
      </w:r>
      <w:r>
        <w:t>9</w:t>
      </w:r>
      <w:r>
        <w:t>）剔除越界、煤柱不足、宽度不符和工作面重叠等几何不合格方案，并记录推进长度与</w:t>
      </w:r>
      <w:r>
        <w:t>ODI</w:t>
      </w:r>
      <w:r>
        <w:t>暴露校核状态；计算覆盖率、煤厚覆盖、巷道组织、</w:t>
      </w:r>
      <w:r>
        <w:t>ODI</w:t>
      </w:r>
      <w:r>
        <w:t>均值、</w:t>
      </w:r>
      <w:r>
        <w:t>P90</w:t>
      </w:r>
      <w:r>
        <w:t>和超阈值暴露比例；最后依据方向、煤柱、工作面数量、边界和连接关系形成候选签名并合并重复方案。后续排序仅在该有限候选集合</w:t>
      </w:r>
      <w:r>
        <w:t>Π_all</w:t>
      </w:r>
      <w:r>
        <w:t>内成立。</w:t>
      </w:r>
    </w:p>
    <w:p w14:paraId="67D727E4"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，本文把工程效率、资源回收和扰动控制分别写成可复核的分项评分。工程效率评分采用覆盖率基础分扣减组织复杂度惩罚的形式；资源回收和扰动控制中的正向指标按式（</w:t>
      </w:r>
      <w:r>
        <w:t>3</w:t>
      </w:r>
      <w:r>
        <w:t>）归一化，成本型或风险型指标按式（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E591A4A" w14:textId="77777777" w:rsidTr="00A3251E">
        <w:trPr>
          <w:jc w:val="center"/>
        </w:trPr>
        <w:tc>
          <w:tcPr>
            <w:tcW w:w="560" w:type="dxa"/>
            <w:vAlign w:val="center"/>
          </w:tcPr>
          <w:p w14:paraId="44223E94" w14:textId="77777777" w:rsidR="00390073" w:rsidRPr="00A3251E" w:rsidRDefault="00390073" w:rsidP="00A3251E">
            <w:pPr>
              <w:spacing w:before="0" w:after="0"/>
              <w:rPr>
                <w:sz w:val="21"/>
              </w:rPr>
            </w:pPr>
          </w:p>
        </w:tc>
        <w:tc>
          <w:tcPr>
            <w:tcW w:w="8300" w:type="dxa"/>
            <w:vAlign w:val="center"/>
          </w:tcPr>
          <w:p w14:paraId="70C78B0E"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m:t>
                </m:r>
                <m:r>
                  <w:rPr>
                    <w:rFonts w:ascii="Cambria Math" w:hAnsi="Cambria Math"/>
                    <w:sz w:val="21"/>
                  </w:rPr>
                  <m:t>π</m:t>
                </m:r>
                <m:r>
                  <w:rPr>
                    <w:rFonts w:ascii="Cambria Math" w:hAnsi="Cambria Math"/>
                    <w:sz w:val="21"/>
                  </w:rPr>
                  <m:t>)=100</m:t>
                </m:r>
                <m:sSub>
                  <m:sSubPr>
                    <m:ctrlPr>
                      <w:rPr>
                        <w:rFonts w:ascii="Cambria Math" w:hAnsi="Cambria Math"/>
                        <w:sz w:val="21"/>
                      </w:rPr>
                    </m:ctrlPr>
                  </m:sSubPr>
                  <m:e>
                    <m:r>
                      <w:rPr>
                        <w:rFonts w:ascii="Cambria Math" w:hAnsi="Cambria Math"/>
                        <w:sz w:val="21"/>
                      </w:rPr>
                      <m:t>C</m:t>
                    </m:r>
                  </m:e>
                  <m:sub>
                    <m:r>
                      <m:rPr>
                        <m:sty m:val="p"/>
                      </m:rPr>
                      <w:rPr>
                        <w:rFonts w:ascii="Cambria Math" w:hAnsi="Cambria Math"/>
                        <w:sz w:val="21"/>
                      </w:rPr>
                      <m:t>cov</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r>
                  <w:rPr>
                    <w:rFonts w:ascii="Cambria Math" w:hAnsi="Cambria Math"/>
                    <w:sz w:val="21"/>
                  </w:rPr>
                  <m:t>(</m:t>
                </m:r>
                <m:r>
                  <w:rPr>
                    <w:rFonts w:ascii="Cambria Math" w:hAnsi="Cambria Math"/>
                    <w:sz w:val="21"/>
                  </w:rPr>
                  <m:t>π</m:t>
                </m:r>
                <m:r>
                  <w:rPr>
                    <w:rFonts w:ascii="Cambria Math" w:hAnsi="Cambria Math"/>
                    <w:sz w:val="21"/>
                  </w:rPr>
                  <m:t>)+10</m:t>
                </m:r>
                <m:sSub>
                  <m:sSubPr>
                    <m:ctrlPr>
                      <w:rPr>
                        <w:rFonts w:ascii="Cambria Math" w:hAnsi="Cambria Math"/>
                        <w:sz w:val="21"/>
                      </w:rPr>
                    </m:ctrlPr>
                  </m:sSubPr>
                  <m:e>
                    <m:r>
                      <m:rPr>
                        <m:sty m:val="p"/>
                      </m:rPr>
                      <w:rPr>
                        <w:rFonts w:ascii="Cambria Math" w:hAnsi="Cambria Math"/>
                        <w:sz w:val="21"/>
                      </w:rPr>
                      <m:t>CV</m:t>
                    </m:r>
                  </m:e>
                  <m:sub>
                    <m:r>
                      <w:rPr>
                        <w:rFonts w:ascii="Cambria Math" w:hAnsi="Cambria Math"/>
                        <w:sz w:val="21"/>
                      </w:rPr>
                      <m:t>L</m:t>
                    </m:r>
                  </m:sub>
                </m:sSub>
                <m:r>
                  <w:rPr>
                    <w:rFonts w:ascii="Cambria Math" w:hAnsi="Cambria Math"/>
                    <w:sz w:val="21"/>
                  </w:rPr>
                  <m:t>(</m:t>
                </m:r>
                <m:r>
                  <w:rPr>
                    <w:rFonts w:ascii="Cambria Math" w:hAnsi="Cambria Math"/>
                    <w:sz w:val="21"/>
                  </w:rPr>
                  <m:t>π</m:t>
                </m:r>
                <m:r>
                  <w:rPr>
                    <w:rFonts w:ascii="Cambria Math" w:hAnsi="Cambria Math"/>
                    <w:sz w:val="21"/>
                  </w:rPr>
                  <m:t>)+5</m:t>
                </m:r>
                <m:sSub>
                  <m:sSubPr>
                    <m:ctrlPr>
                      <w:rPr>
                        <w:rFonts w:ascii="Cambria Math" w:hAnsi="Cambria Math"/>
                        <w:sz w:val="21"/>
                      </w:rPr>
                    </m:ctrlPr>
                  </m:sSubPr>
                  <m:e>
                    <m:r>
                      <w:rPr>
                        <w:rFonts w:ascii="Cambria Math" w:hAnsi="Cambria Math"/>
                        <w:sz w:val="21"/>
                      </w:rPr>
                      <m:t>P</m:t>
                    </m:r>
                  </m:e>
                  <m:sub>
                    <m:r>
                      <m:rPr>
                        <m:sty m:val="p"/>
                      </m:rPr>
                      <w:rPr>
                        <w:rFonts w:ascii="Cambria Math" w:hAnsi="Cambria Math"/>
                        <w:sz w:val="21"/>
                      </w:rPr>
                      <m:t>short</m:t>
                    </m:r>
                  </m:sub>
                </m:sSub>
                <m:r>
                  <w:rPr>
                    <w:rFonts w:ascii="Cambria Math" w:hAnsi="Cambria Math"/>
                    <w:sz w:val="21"/>
                  </w:rPr>
                  <m:t>(</m:t>
                </m:r>
                <m:r>
                  <w:rPr>
                    <w:rFonts w:ascii="Cambria Math" w:hAnsi="Cambria Math"/>
                    <w:sz w:val="21"/>
                  </w:rPr>
                  <m:t>π</m:t>
                </m:r>
                <m:r>
                  <w:rPr>
                    <w:rFonts w:ascii="Cambria Math" w:hAnsi="Cambria Math"/>
                    <w:sz w:val="21"/>
                  </w:rPr>
                  <m:t>)]</m:t>
                </m:r>
              </m:oMath>
            </m:oMathPara>
          </w:p>
        </w:tc>
        <w:tc>
          <w:tcPr>
            <w:tcW w:w="1040" w:type="dxa"/>
            <w:vAlign w:val="center"/>
          </w:tcPr>
          <w:p w14:paraId="322E8961" w14:textId="77777777" w:rsidR="00390073" w:rsidRPr="00A3251E" w:rsidRDefault="005E44A0" w:rsidP="00A3251E">
            <w:pPr>
              <w:spacing w:before="0" w:after="0"/>
              <w:jc w:val="right"/>
              <w:rPr>
                <w:sz w:val="21"/>
              </w:rPr>
            </w:pPr>
            <w:r w:rsidRPr="00A3251E">
              <w:rPr>
                <w:rFonts w:eastAsia="Times New Roman"/>
                <w:sz w:val="21"/>
              </w:rPr>
              <w:t>（10）</w:t>
            </w:r>
          </w:p>
        </w:tc>
      </w:tr>
    </w:tbl>
    <w:p w14:paraId="7B5270BB" w14:textId="77777777" w:rsidR="009330B5" w:rsidRPr="009330B5" w:rsidRDefault="009330B5" w:rsidP="009330B5">
      <w:pPr>
        <w:pStyle w:val="10"/>
        <w:spacing w:after="40"/>
        <w:ind w:firstLine="420"/>
        <w:rPr>
          <w:rFonts w:ascii="宋体" w:hAnsi="宋体"/>
        </w:rPr>
      </w:pPr>
      <w:r>
        <w:t>式中，</w:t>
      </w:r>
      <w:r>
        <w:t>C_cov</w:t>
      </w:r>
      <w:r>
        <w:t>为有效覆盖率，</w:t>
      </w:r>
      <w:r>
        <w:t>P_N</w:t>
      </w:r>
      <w:r>
        <w:t>为工作面数量复杂度惩罚，</w:t>
      </w:r>
      <w:r>
        <w:t>CV_L</w:t>
      </w:r>
      <w:r>
        <w:t>为工作面推进长度变异系数，</w:t>
      </w:r>
      <w:r>
        <w:t>P_short</w:t>
      </w:r>
      <w:r>
        <w:t>为短推进惩罚项。当前样例工程效率评分采用程序导出的覆盖率基础分扣减组织复杂度惩罚口径，</w:t>
      </w:r>
      <w:r>
        <w:lastRenderedPageBreak/>
        <w:t>其中</w:t>
      </w:r>
      <w:r>
        <w:t>P_N=0.20N</w:t>
      </w:r>
      <w:r>
        <w:t>，</w:t>
      </w:r>
      <w:r>
        <w:t>CV_L</w:t>
      </w:r>
      <w:r>
        <w:t>项系数取</w:t>
      </w:r>
      <w:r>
        <w:t>10</w:t>
      </w:r>
      <w:r>
        <w:t>，短推进惩罚系数取</w:t>
      </w:r>
      <w:r>
        <w:t>5</w:t>
      </w:r>
      <w:r>
        <w:t>，短推进参考值取</w:t>
      </w:r>
      <w:r>
        <w:t>100 m</w:t>
      </w:r>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5B312A0" w14:textId="77777777" w:rsidTr="00A3251E">
        <w:trPr>
          <w:jc w:val="center"/>
        </w:trPr>
        <w:tc>
          <w:tcPr>
            <w:tcW w:w="560" w:type="dxa"/>
            <w:vAlign w:val="center"/>
          </w:tcPr>
          <w:p w14:paraId="24BBACB2" w14:textId="77777777" w:rsidR="00390073" w:rsidRPr="00A3251E" w:rsidRDefault="00390073" w:rsidP="00A3251E">
            <w:pPr>
              <w:spacing w:before="0" w:after="0"/>
              <w:rPr>
                <w:sz w:val="21"/>
              </w:rPr>
            </w:pPr>
          </w:p>
        </w:tc>
        <w:tc>
          <w:tcPr>
            <w:tcW w:w="8300" w:type="dxa"/>
            <w:vAlign w:val="center"/>
          </w:tcPr>
          <w:p w14:paraId="4EDCFEC2"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m:t>
                </m:r>
                <m:r>
                  <w:rPr>
                    <w:rFonts w:ascii="Cambria Math" w:hAnsi="Cambria Math"/>
                    <w:sz w:val="21"/>
                  </w:rPr>
                  <m:t>π</m:t>
                </m:r>
                <m:r>
                  <w:rPr>
                    <w:rFonts w:ascii="Cambria Math" w:hAnsi="Cambria Math"/>
                    <w:sz w:val="21"/>
                  </w:rPr>
                  <m:t>)=100[0.45+0.55(0.55</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ton</m:t>
                    </m:r>
                  </m:sub>
                </m:sSub>
                <m:r>
                  <w:rPr>
                    <w:rFonts w:ascii="Cambria Math" w:hAnsi="Cambria Math"/>
                    <w:sz w:val="21"/>
                  </w:rPr>
                  <m:t>(</m:t>
                </m:r>
                <m:r>
                  <w:rPr>
                    <w:rFonts w:ascii="Cambria Math" w:hAnsi="Cambria Math"/>
                    <w:sz w:val="21"/>
                  </w:rPr>
                  <m:t>π</m:t>
                </m:r>
                <m:r>
                  <w:rPr>
                    <w:rFonts w:ascii="Cambria Math" w:hAnsi="Cambria Math"/>
                    <w:sz w:val="21"/>
                  </w:rPr>
                  <m:t>)+0.30</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area</m:t>
                    </m:r>
                  </m:sub>
                </m:sSub>
                <m:r>
                  <w:rPr>
                    <w:rFonts w:ascii="Cambria Math" w:hAnsi="Cambria Math"/>
                    <w:sz w:val="21"/>
                  </w:rPr>
                  <m:t>(</m:t>
                </m:r>
                <m:r>
                  <w:rPr>
                    <w:rFonts w:ascii="Cambria Math" w:hAnsi="Cambria Math"/>
                    <w:sz w:val="21"/>
                  </w:rPr>
                  <m:t>π</m:t>
                </m:r>
                <m:r>
                  <w:rPr>
                    <w:rFonts w:ascii="Cambria Math" w:hAnsi="Cambria Math"/>
                    <w:sz w:val="21"/>
                  </w:rPr>
                  <m:t>)+0.15</m:t>
                </m:r>
                <m:sSub>
                  <m:sSubPr>
                    <m:ctrlPr>
                      <w:rPr>
                        <w:rFonts w:ascii="Cambria Math" w:hAnsi="Cambria Math"/>
                        <w:sz w:val="21"/>
                      </w:rPr>
                    </m:ctrlPr>
                  </m:sSubPr>
                  <m:e>
                    <m:r>
                      <w:rPr>
                        <w:rFonts w:ascii="Cambria Math" w:hAnsi="Cambria Math"/>
                        <w:sz w:val="21"/>
                      </w:rPr>
                      <m:t>S</m:t>
                    </m:r>
                  </m:e>
                  <m:sub>
                    <m:r>
                      <m:rPr>
                        <m:sty m:val="p"/>
                      </m:rPr>
                      <w:rPr>
                        <w:rFonts w:ascii="Cambria Math" w:hAnsi="Cambria Math"/>
                        <w:sz w:val="21"/>
                      </w:rPr>
                      <m:t>eng</m:t>
                    </m:r>
                  </m:sub>
                </m:sSub>
                <m:r>
                  <w:rPr>
                    <w:rFonts w:ascii="Cambria Math" w:hAnsi="Cambria Math"/>
                    <w:sz w:val="21"/>
                  </w:rPr>
                  <m:t>(</m:t>
                </m:r>
                <m:r>
                  <w:rPr>
                    <w:rFonts w:ascii="Cambria Math" w:hAnsi="Cambria Math"/>
                    <w:sz w:val="21"/>
                  </w:rPr>
                  <m:t>π</m:t>
                </m:r>
                <m:r>
                  <w:rPr>
                    <w:rFonts w:ascii="Cambria Math" w:hAnsi="Cambria Math"/>
                    <w:sz w:val="21"/>
                  </w:rPr>
                  <m:t>))]</m:t>
                </m:r>
              </m:oMath>
            </m:oMathPara>
          </w:p>
        </w:tc>
        <w:tc>
          <w:tcPr>
            <w:tcW w:w="1040" w:type="dxa"/>
            <w:vAlign w:val="center"/>
          </w:tcPr>
          <w:p w14:paraId="0F262701" w14:textId="77777777" w:rsidR="00390073" w:rsidRPr="00A3251E" w:rsidRDefault="005E44A0" w:rsidP="00A3251E">
            <w:pPr>
              <w:spacing w:before="0" w:after="0"/>
              <w:jc w:val="right"/>
              <w:rPr>
                <w:sz w:val="21"/>
              </w:rPr>
            </w:pPr>
            <w:r w:rsidRPr="00A3251E">
              <w:rPr>
                <w:rFonts w:eastAsia="Times New Roman"/>
                <w:sz w:val="21"/>
              </w:rPr>
              <w:t>（11）</w:t>
            </w:r>
          </w:p>
        </w:tc>
      </w:tr>
    </w:tbl>
    <w:p w14:paraId="01DE65FC" w14:textId="77777777" w:rsidR="009330B5" w:rsidRPr="009330B5" w:rsidRDefault="009330B5" w:rsidP="009330B5">
      <w:pPr>
        <w:pStyle w:val="10"/>
        <w:spacing w:after="40"/>
        <w:ind w:firstLine="420"/>
        <w:rPr>
          <w:rFonts w:ascii="宋体" w:hAnsi="宋体"/>
        </w:rPr>
      </w:pPr>
      <w:r>
        <w:t>式中，</w:t>
      </w:r>
      <w:r>
        <w:t>R_ton</w:t>
      </w:r>
      <w:r>
        <w:t>为吨煤量或煤厚场覆盖贡献，</w:t>
      </w:r>
      <w:r>
        <w:t>R_area</w:t>
      </w:r>
      <w:r>
        <w:t>为布置面积或有效覆盖面积得分，</w:t>
      </w:r>
      <w:r>
        <w:t>S_eng</w:t>
      </w:r>
      <w:r>
        <w:t>为工程组织辅助得分。当前样例资源回收评分采用</w:t>
      </w:r>
      <w:r>
        <w:t>0.55/0.30/0.15</w:t>
      </w:r>
      <w:r>
        <w:t>的吨煤量、覆盖率和工程组织权重，并进行显示标定；因此，</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9B9E347" w14:textId="77777777" w:rsidTr="00A3251E">
        <w:trPr>
          <w:jc w:val="center"/>
        </w:trPr>
        <w:tc>
          <w:tcPr>
            <w:tcW w:w="560" w:type="dxa"/>
            <w:vAlign w:val="center"/>
          </w:tcPr>
          <w:p w14:paraId="4BFB3090" w14:textId="77777777" w:rsidR="00390073" w:rsidRPr="00A3251E" w:rsidRDefault="00390073" w:rsidP="00A3251E">
            <w:pPr>
              <w:spacing w:before="0" w:after="0"/>
              <w:rPr>
                <w:sz w:val="21"/>
              </w:rPr>
            </w:pPr>
          </w:p>
        </w:tc>
        <w:tc>
          <w:tcPr>
            <w:tcW w:w="8300" w:type="dxa"/>
            <w:vAlign w:val="center"/>
          </w:tcPr>
          <w:p w14:paraId="7E82F11B"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sty m:val="p"/>
                      </m:rPr>
                      <w:rPr>
                        <w:rFonts w:ascii="Cambria Math" w:hAnsi="Cambria Math"/>
                        <w:sz w:val="21"/>
                      </w:rPr>
                      <m:t>ODI</m:t>
                    </m:r>
                  </m:e>
                  <m:sub>
                    <m:r>
                      <m:rPr>
                        <m:sty m:val="p"/>
                      </m:rPr>
                      <w:rPr>
                        <w:rFonts w:ascii="Cambria Math" w:hAnsi="Cambria Math"/>
                        <w:sz w:val="21"/>
                      </w:rPr>
                      <m:t>mean</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)=100[1-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m:t>
                </m:r>
              </m:oMath>
            </m:oMathPara>
          </w:p>
        </w:tc>
        <w:tc>
          <w:tcPr>
            <w:tcW w:w="1040" w:type="dxa"/>
            <w:vAlign w:val="center"/>
          </w:tcPr>
          <w:p w14:paraId="0068A621" w14:textId="77777777" w:rsidR="00390073" w:rsidRPr="00A3251E" w:rsidRDefault="005E44A0" w:rsidP="00A3251E">
            <w:pPr>
              <w:spacing w:before="0" w:after="0"/>
              <w:jc w:val="right"/>
              <w:rPr>
                <w:sz w:val="21"/>
              </w:rPr>
            </w:pPr>
            <w:r w:rsidRPr="00A3251E">
              <w:rPr>
                <w:rFonts w:eastAsia="Times New Roman"/>
                <w:sz w:val="21"/>
              </w:rPr>
              <w:t>（12）</w:t>
            </w:r>
          </w:p>
        </w:tc>
      </w:tr>
    </w:tbl>
    <w:p w14:paraId="7B5109D6" w14:textId="77777777" w:rsidR="009330B5" w:rsidRPr="009330B5" w:rsidRDefault="009330B5" w:rsidP="009330B5">
      <w:pPr>
        <w:pStyle w:val="10"/>
        <w:spacing w:after="40"/>
        <w:ind w:firstLine="420"/>
        <w:rPr>
          <w:rFonts w:ascii="宋体" w:hAnsi="宋体"/>
        </w:rPr>
      </w:pPr>
      <w:r>
        <w:t>式中，</w:t>
      </w:r>
      <w:r>
        <w:t>H_m</w:t>
      </w:r>
      <w:r>
        <w:t>为扰动风险综合量，数值越小表示风险暴露越低；</w:t>
      </w:r>
      <w:r>
        <w:t>S_m</w:t>
      </w:r>
      <w:r>
        <w:t>为转化后的扰动控制评分，数值越大越优。本文敏感性分析中取</w:t>
      </w:r>
      <w:r>
        <w:t>c_1/c_2/c_3=0.50/0.35/0.15</w:t>
      </w:r>
      <w:r>
        <w:t>，并直接报告</w:t>
      </w:r>
      <w:r>
        <w:t>H_m</w:t>
      </w:r>
      <w:r>
        <w:t>排序，以避免把风险分数解释为现场安全等级。</w:t>
      </w:r>
    </w:p>
    <w:p w14:paraId="6EF3464F"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05DD3060"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4384D63" w14:textId="77777777" w:rsidTr="00A3251E">
        <w:trPr>
          <w:jc w:val="center"/>
        </w:trPr>
        <w:tc>
          <w:tcPr>
            <w:tcW w:w="560" w:type="dxa"/>
            <w:vAlign w:val="center"/>
          </w:tcPr>
          <w:p w14:paraId="1195871A" w14:textId="77777777" w:rsidR="00390073" w:rsidRPr="00A3251E" w:rsidRDefault="00390073" w:rsidP="00A3251E">
            <w:pPr>
              <w:spacing w:before="0" w:after="0"/>
              <w:rPr>
                <w:sz w:val="21"/>
              </w:rPr>
            </w:pPr>
          </w:p>
        </w:tc>
        <w:tc>
          <w:tcPr>
            <w:tcW w:w="8300" w:type="dxa"/>
            <w:vAlign w:val="center"/>
          </w:tcPr>
          <w:p w14:paraId="306CBB13" w14:textId="77777777" w:rsidR="00390073" w:rsidRPr="00A3251E" w:rsidRDefault="005E44A0" w:rsidP="00A3251E">
            <w:pPr>
              <w:spacing w:before="0" w:after="0"/>
              <w:jc w:val="center"/>
              <w:rPr>
                <w:sz w:val="21"/>
              </w:rPr>
            </w:pPr>
            <m:oMathPara>
              <m:oMath>
                <m:r>
                  <w:rPr>
                    <w:rFonts w:ascii="Cambria Math" w:hAnsi="Cambria Math"/>
                    <w:sz w:val="21"/>
                  </w:rPr>
                  <m:t>F</m:t>
                </m:r>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56519E72" w14:textId="77777777" w:rsidR="00390073" w:rsidRPr="00A3251E" w:rsidRDefault="005E44A0" w:rsidP="00A3251E">
            <w:pPr>
              <w:spacing w:before="0" w:after="0"/>
              <w:jc w:val="right"/>
              <w:rPr>
                <w:sz w:val="21"/>
              </w:rPr>
            </w:pPr>
            <w:r w:rsidRPr="00A3251E">
              <w:rPr>
                <w:rFonts w:eastAsia="Times New Roman"/>
                <w:sz w:val="21"/>
              </w:rPr>
              <w:t>（13）</w:t>
            </w:r>
          </w:p>
        </w:tc>
      </w:tr>
    </w:tbl>
    <w:p w14:paraId="4EFD9DDD" w14:textId="77777777" w:rsidR="00D007CE" w:rsidRDefault="00A249E2">
      <w:r>
        <w:rPr>
          <w:sz w:val="21"/>
        </w:rPr>
        <w:t>为降低单一加权排序对权重的依赖，本文在加权排序前引入非支配排序和拥挤距离选择形成</w:t>
      </w:r>
      <w:r>
        <w:rPr>
          <w:sz w:val="21"/>
        </w:rPr>
        <w:t>Top-K</w:t>
      </w:r>
      <w:r>
        <w:rPr>
          <w:sz w:val="21"/>
        </w:rPr>
        <w:t>候选方案，当前样例</w:t>
      </w:r>
      <w:r>
        <w:rPr>
          <w:sz w:val="21"/>
        </w:rPr>
        <w:t>Top-K</w:t>
      </w:r>
      <w:r>
        <w:rPr>
          <w:sz w:val="21"/>
        </w:rPr>
        <w:t>取</w:t>
      </w:r>
      <w:r>
        <w:rPr>
          <w:sz w:val="21"/>
        </w:rPr>
        <w:t>10</w:t>
      </w:r>
      <w:r>
        <w:rPr>
          <w:sz w:val="21"/>
        </w:rPr>
        <w:t>。非支配排序以</w:t>
      </w:r>
      <w:r>
        <w:rPr>
          <w:sz w:val="21"/>
        </w:rPr>
        <w:t>S_e</w:t>
      </w:r>
      <w:r>
        <w:rPr>
          <w:sz w:val="21"/>
        </w:rPr>
        <w:t>、</w:t>
      </w:r>
      <w:r>
        <w:rPr>
          <w:sz w:val="21"/>
        </w:rPr>
        <w:t>S_r</w:t>
      </w:r>
      <w:r>
        <w:rPr>
          <w:sz w:val="21"/>
        </w:rPr>
        <w:t>和</w:t>
      </w:r>
      <w:r>
        <w:rPr>
          <w:sz w:val="21"/>
        </w:rPr>
        <w:t>S_m</w:t>
      </w:r>
      <w:r>
        <w:rPr>
          <w:sz w:val="21"/>
        </w:rPr>
        <w:t>为目标向量，优先保留不存在其他方案同时优于它的候选；同一非支配层候选数量超过输出数量时，采用拥挤距离保持解集多样性，再依据</w:t>
      </w:r>
      <w:r>
        <w:rPr>
          <w:sz w:val="21"/>
        </w:rPr>
        <w:t>F(π)</w:t>
      </w:r>
      <w:r>
        <w:rPr>
          <w:sz w:val="21"/>
        </w:rPr>
        <w:t>推荐排序。</w:t>
      </w:r>
      <w:r>
        <w:rPr>
          <w:sz w:val="21"/>
        </w:rPr>
        <w:t>A</w:t>
      </w:r>
      <w:r>
        <w:rPr>
          <w:sz w:val="21"/>
        </w:rPr>
        <w:t>、</w:t>
      </w:r>
      <w:r>
        <w:rPr>
          <w:sz w:val="21"/>
        </w:rPr>
        <w:t>B</w:t>
      </w:r>
      <w:r>
        <w:rPr>
          <w:sz w:val="21"/>
        </w:rPr>
        <w:t>、</w:t>
      </w:r>
      <w:r>
        <w:rPr>
          <w:sz w:val="21"/>
        </w:rPr>
        <w:t>C</w:t>
      </w:r>
      <w:r>
        <w:rPr>
          <w:sz w:val="21"/>
        </w:rPr>
        <w:t>三种偏好模式中，</w:t>
      </w:r>
      <w:r>
        <w:rPr>
          <w:sz w:val="21"/>
        </w:rPr>
        <w:t>λ_e/λ_r/λ_m</w:t>
      </w:r>
      <w:r>
        <w:rPr>
          <w:sz w:val="21"/>
        </w:rPr>
        <w:t>分别取</w:t>
      </w:r>
      <w:r>
        <w:rPr>
          <w:sz w:val="21"/>
        </w:rPr>
        <w:t>1/0/0</w:t>
      </w:r>
      <w:r>
        <w:rPr>
          <w:sz w:val="21"/>
        </w:rPr>
        <w:t>、</w:t>
      </w:r>
      <w:r>
        <w:rPr>
          <w:sz w:val="21"/>
        </w:rPr>
        <w:t>0/1/0</w:t>
      </w:r>
      <w:r>
        <w:rPr>
          <w:sz w:val="21"/>
        </w:rPr>
        <w:t>和</w:t>
      </w:r>
      <w:r>
        <w:rPr>
          <w:sz w:val="21"/>
        </w:rPr>
        <w:t>0/0/1</w:t>
      </w:r>
      <w:r>
        <w:rPr>
          <w:sz w:val="21"/>
        </w:rPr>
        <w:t>；综合权衡模式备用权重取</w:t>
      </w:r>
      <w:r>
        <w:rPr>
          <w:sz w:val="21"/>
        </w:rPr>
        <w:t>0.34/0.33/0.33</w:t>
      </w:r>
      <w:r>
        <w:rPr>
          <w:sz w:val="21"/>
        </w:rPr>
        <w:t>，本文不将其未达标回退结果作为最终推荐方案。</w:t>
      </w:r>
    </w:p>
    <w:p w14:paraId="729E0B63" w14:textId="77777777" w:rsidR="00D007CE" w:rsidRDefault="00A249E2" w:rsidP="001D7DFF">
      <w:pPr>
        <w:pStyle w:val="10"/>
        <w:spacing w:after="40"/>
        <w:ind w:firstLine="420"/>
      </w:pPr>
      <w:r>
        <w:t>非支配关系具体定义为：若候选方案</w:t>
      </w:r>
      <w:r>
        <w:t>π_i</w:t>
      </w:r>
      <w:r>
        <w:t>在</w:t>
      </w:r>
      <w:r>
        <w:t>S_e</w:t>
      </w:r>
      <w:r>
        <w:t>、</w:t>
      </w:r>
      <w:r>
        <w:t>S_r</w:t>
      </w:r>
      <w:r>
        <w:t>和</w:t>
      </w:r>
      <w:r>
        <w:t>S_m</w:t>
      </w:r>
      <w:r>
        <w:t>三个目标上均不劣于</w:t>
      </w:r>
      <w:r>
        <w:t>π_j</w:t>
      </w:r>
      <w:r>
        <w:t>，且至少一个目标严格优于</w:t>
      </w:r>
      <w:r>
        <w:t>π_j</w:t>
      </w:r>
      <w:r>
        <w:t>，则</w:t>
      </w:r>
      <w:r>
        <w:t>π_i</w:t>
      </w:r>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3427C895" w14:textId="77777777" w:rsidR="00D007CE" w:rsidRDefault="00A249E2" w:rsidP="001D7DFF">
      <w:pPr>
        <w:pStyle w:val="10"/>
        <w:spacing w:after="40"/>
        <w:ind w:firstLine="420"/>
      </w:pPr>
      <w:r>
        <w:t>不同偏好模式通过</w:t>
      </w:r>
      <w:r>
        <w:t>λ_e</w:t>
      </w:r>
      <w:r>
        <w:t>、</w:t>
      </w:r>
      <w:r>
        <w:t>λ_r</w:t>
      </w:r>
      <w:r>
        <w:t>和</w:t>
      </w:r>
      <w:r>
        <w:t>λ_m</w:t>
      </w:r>
      <w:r>
        <w:t>体现：工程效率优先模式提高</w:t>
      </w:r>
      <w:r>
        <w:t>λ_e</w:t>
      </w:r>
      <w:r>
        <w:t>，资源回收优先模式提高</w:t>
      </w:r>
      <w:r>
        <w:t>λ_r</w:t>
      </w:r>
      <w:r>
        <w:t>，扰动控制优先模式提高</w:t>
      </w:r>
      <w:r>
        <w:t>λ_m</w:t>
      </w:r>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546BA17" w14:textId="77777777" w:rsidR="007E22B6" w:rsidRDefault="007E22B6"/>
    <w:p w14:paraId="355E0CE0" w14:textId="77777777" w:rsidR="00E05130" w:rsidRPr="00E05130" w:rsidRDefault="00E05130" w:rsidP="00A046E0">
      <w:pPr>
        <w:pStyle w:val="12"/>
      </w:pPr>
      <w:r>
        <w:rPr>
          <w:rFonts w:ascii="宋体" w:eastAsia="宋体" w:hAnsi="宋体"/>
          <w:sz w:val="21"/>
        </w:rPr>
        <w:t>1.4 方案传递与评价流程</w:t>
      </w:r>
    </w:p>
    <w:p w14:paraId="7420C56A"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；地下水库和矿井水调度研究也表明，采动空间对象、储水空间和水量调控需在规划与运行阶段连续组织</w:t>
      </w:r>
      <w:r>
        <w:t>[42-47]</w:t>
      </w:r>
      <w:r>
        <w:t>。因此，采区规划形成的工作</w:t>
      </w:r>
      <w:r>
        <w:lastRenderedPageBreak/>
        <w:t>面边界、巷道结构、覆盖范围和扰动统计量，既是当前求解输出，也是后续生产组织与经济测算的上游输入。</w:t>
      </w:r>
    </w:p>
    <w:p w14:paraId="28425DC2"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1513A4D6"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BC5D7A5" w14:textId="77777777" w:rsidTr="00A3251E">
        <w:trPr>
          <w:jc w:val="center"/>
        </w:trPr>
        <w:tc>
          <w:tcPr>
            <w:tcW w:w="560" w:type="dxa"/>
            <w:vAlign w:val="center"/>
          </w:tcPr>
          <w:p w14:paraId="2DA7528D" w14:textId="77777777" w:rsidR="00390073" w:rsidRPr="00A3251E" w:rsidRDefault="00390073" w:rsidP="00A3251E">
            <w:pPr>
              <w:spacing w:before="0" w:after="0"/>
              <w:rPr>
                <w:sz w:val="21"/>
              </w:rPr>
            </w:pPr>
          </w:p>
        </w:tc>
        <w:tc>
          <w:tcPr>
            <w:tcW w:w="8300" w:type="dxa"/>
            <w:vAlign w:val="center"/>
          </w:tcPr>
          <w:p w14:paraId="0716B688" w14:textId="77777777" w:rsidR="00390073" w:rsidRPr="00A3251E" w:rsidRDefault="005E44A0" w:rsidP="00A3251E">
            <w:pPr>
              <w:spacing w:before="0" w:after="0"/>
              <w:jc w:val="center"/>
              <w:rPr>
                <w:sz w:val="21"/>
              </w:rPr>
            </w:pPr>
            <m:oMathPara>
              <m:oMath>
                <m:r>
                  <w:rPr>
                    <w:rFonts w:ascii="Cambria Math" w:hAnsi="Cambria Math"/>
                    <w:sz w:val="21"/>
                  </w:rPr>
                  <m:t>G</m:t>
                </m:r>
                <m:r>
                  <w:rPr>
                    <w:rFonts w:ascii="Cambria Math" w:hAnsi="Cambria Math"/>
                    <w:sz w:val="21"/>
                  </w:rPr>
                  <m:t>(</m:t>
                </m:r>
                <m:r>
                  <w:rPr>
                    <w:rFonts w:ascii="Cambria Math" w:hAnsi="Cambria Math"/>
                    <w:sz w:val="21"/>
                  </w:rPr>
                  <m:t>s</m:t>
                </m:r>
                <m:r>
                  <w:rPr>
                    <w:rFonts w:ascii="Cambria Math" w:hAnsi="Cambria Math"/>
                    <w:sz w:val="21"/>
                  </w:rPr>
                  <m:t>)=</m:t>
                </m:r>
                <m:r>
                  <w:rPr>
                    <w:rFonts w:ascii="Cambria Math" w:hAnsi="Cambria Math"/>
                    <w:sz w:val="21"/>
                  </w:rPr>
                  <m:t>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m:t>
                </m:r>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m:t>
                </m:r>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m:t>
                </m:r>
                <m:r>
                  <w:rPr>
                    <w:rFonts w:ascii="Cambria Math" w:hAnsi="Cambria Math"/>
                    <w:sz w:val="21"/>
                  </w:rPr>
                  <m:t>α</m:t>
                </m:r>
                <m:r>
                  <w:rPr>
                    <w:rFonts w:ascii="Cambria Math" w:hAnsi="Cambria Math"/>
                    <w:sz w:val="21"/>
                  </w:rPr>
                  <m:t>+</m:t>
                </m:r>
                <m:r>
                  <w:rPr>
                    <w:rFonts w:ascii="Cambria Math" w:hAnsi="Cambria Math"/>
                    <w:sz w:val="21"/>
                  </w:rPr>
                  <m:t>β</m:t>
                </m:r>
                <m:r>
                  <w:rPr>
                    <w:rFonts w:ascii="Cambria Math" w:hAnsi="Cambria Math"/>
                    <w:sz w:val="21"/>
                  </w:rPr>
                  <m:t>+</m:t>
                </m:r>
                <m:r>
                  <w:rPr>
                    <w:rFonts w:ascii="Cambria Math" w:hAnsi="Cambria Math"/>
                    <w:sz w:val="21"/>
                  </w:rPr>
                  <m:t>γ</m:t>
                </m:r>
                <m:r>
                  <w:rPr>
                    <w:rFonts w:ascii="Cambria Math" w:hAnsi="Cambria Math"/>
                    <w:sz w:val="21"/>
                  </w:rPr>
                  <m:t>=1</m:t>
                </m:r>
              </m:oMath>
            </m:oMathPara>
          </w:p>
        </w:tc>
        <w:tc>
          <w:tcPr>
            <w:tcW w:w="1040" w:type="dxa"/>
            <w:vAlign w:val="center"/>
          </w:tcPr>
          <w:p w14:paraId="0D652194" w14:textId="77777777" w:rsidR="00390073" w:rsidRPr="00A3251E" w:rsidRDefault="005E44A0" w:rsidP="00A3251E">
            <w:pPr>
              <w:spacing w:before="0" w:after="0"/>
              <w:jc w:val="right"/>
              <w:rPr>
                <w:sz w:val="21"/>
              </w:rPr>
            </w:pPr>
            <w:r w:rsidRPr="00A3251E">
              <w:rPr>
                <w:rFonts w:eastAsia="Times New Roman"/>
                <w:sz w:val="21"/>
              </w:rPr>
              <w:t>（14）</w:t>
            </w:r>
          </w:p>
        </w:tc>
      </w:tr>
    </w:tbl>
    <w:p w14:paraId="6FEECD93"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37516B53"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65A0DA7" w14:textId="77777777" w:rsidTr="00A3251E">
        <w:trPr>
          <w:jc w:val="center"/>
        </w:trPr>
        <w:tc>
          <w:tcPr>
            <w:tcW w:w="560" w:type="dxa"/>
            <w:vAlign w:val="center"/>
          </w:tcPr>
          <w:p w14:paraId="498F30C9" w14:textId="77777777" w:rsidR="00390073" w:rsidRPr="00A3251E" w:rsidRDefault="00390073" w:rsidP="00A3251E">
            <w:pPr>
              <w:spacing w:before="0" w:after="0"/>
              <w:rPr>
                <w:sz w:val="21"/>
              </w:rPr>
            </w:pPr>
          </w:p>
        </w:tc>
        <w:tc>
          <w:tcPr>
            <w:tcW w:w="8300" w:type="dxa"/>
            <w:vAlign w:val="center"/>
          </w:tcPr>
          <w:p w14:paraId="154F5C80"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m:rPr>
                        <m:sty m:val="p"/>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209C46EF" w14:textId="77777777" w:rsidR="00390073" w:rsidRPr="00A3251E" w:rsidRDefault="005E44A0" w:rsidP="00A3251E">
            <w:pPr>
              <w:spacing w:before="0" w:after="0"/>
              <w:jc w:val="right"/>
              <w:rPr>
                <w:sz w:val="21"/>
              </w:rPr>
            </w:pPr>
            <w:r w:rsidRPr="00A3251E">
              <w:rPr>
                <w:rFonts w:eastAsia="Times New Roman"/>
                <w:sz w:val="21"/>
              </w:rPr>
              <w:t>（15）</w:t>
            </w:r>
          </w:p>
        </w:tc>
      </w:tr>
    </w:tbl>
    <w:p w14:paraId="67CA7670" w14:textId="77777777" w:rsidR="004D2816" w:rsidRPr="00E05130" w:rsidRDefault="004D2816" w:rsidP="00E05130">
      <w:pPr>
        <w:pStyle w:val="10"/>
        <w:spacing w:after="40"/>
        <w:ind w:firstLine="420"/>
      </w:pPr>
      <w:r>
        <w:rPr>
          <w:rFonts w:ascii="宋体" w:eastAsia="宋体" w:hAnsi="宋体"/>
        </w:rPr>
        <w:t>式中，Rev_t为第t月收入，Cost_t为常规成本，RiskCost_t为风险联动成本，NCF_t为第t月净现金流。该式用于说明经济评价可接收规划与接续结果形成的月度输入。</w:t>
      </w:r>
    </w:p>
    <w:p w14:paraId="5D2E9E6C"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6080791D"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3BB32C3F" w14:textId="77777777" w:rsidR="007E22B6" w:rsidRDefault="00A249E2" w:rsidP="00A046E0">
      <w:pPr>
        <w:pStyle w:val="11"/>
      </w:pPr>
      <w:r>
        <w:rPr>
          <w:rFonts w:ascii="宋体" w:eastAsia="宋体" w:hAnsi="宋体"/>
          <w:sz w:val="21"/>
        </w:rPr>
        <w:t>2 工程案例与结果分析</w:t>
      </w:r>
    </w:p>
    <w:p w14:paraId="63B53724" w14:textId="77777777" w:rsidR="007E22B6" w:rsidRDefault="00A249E2" w:rsidP="00A046E0">
      <w:pPr>
        <w:pStyle w:val="12"/>
      </w:pPr>
      <w:r>
        <w:rPr>
          <w:rFonts w:ascii="宋体" w:eastAsia="宋体" w:hAnsi="宋体"/>
          <w:sz w:val="21"/>
        </w:rPr>
        <w:t>2.1 研究区概况与输入数据</w:t>
      </w:r>
    </w:p>
    <w:p w14:paraId="3A113A25" w14:textId="77777777" w:rsidR="007E22B6" w:rsidRDefault="00801D65">
      <w:pPr>
        <w:pStyle w:val="10"/>
        <w:spacing w:after="40"/>
        <w:ind w:firstLine="420"/>
        <w:rPr>
          <w:rFonts w:ascii="宋体" w:hAnsi="宋体"/>
        </w:rPr>
      </w:pPr>
      <w:r>
        <w:t>为验证所提方法在采区规划场景中的适用性，选取敏东研究区样例开展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，具有厚煤层、软弱围岩和多源扰动约束并存的工程特征。当前计算采用样例化规划域，以</w:t>
      </w:r>
      <w:r>
        <w:t>6</w:t>
      </w:r>
      <w:r>
        <w:t>个边界点、</w:t>
      </w:r>
      <w:r>
        <w:t>15</w:t>
      </w:r>
      <w:r>
        <w:t>个钻孔样点和规划控制参数为输入，原始边界面积为</w:t>
      </w:r>
      <w:r>
        <w:t>255250.00 m²</w:t>
      </w:r>
      <w:r>
        <w:t>。验证目标限定为样例条件下的数据组织、风险表征与规划对象生成，不解释为真实矿井工业级优选结论。</w:t>
      </w:r>
    </w:p>
    <w:p w14:paraId="41F05DA8" w14:textId="77777777" w:rsidR="007E22B6" w:rsidRDefault="00801D65">
      <w:pPr>
        <w:pStyle w:val="10"/>
        <w:spacing w:after="40"/>
        <w:ind w:firstLine="420"/>
        <w:rPr>
          <w:rFonts w:ascii="宋体" w:hAnsi="宋体"/>
        </w:rPr>
      </w:pPr>
      <w:r>
        <w:t>工程约束方面，样例已纳入边界煤柱、区段煤柱、工作面宽度、推进长度校核阈值、走向长壁后退式开采方向和</w:t>
      </w:r>
      <w:r>
        <w:t>ODI</w:t>
      </w:r>
      <w:r>
        <w:t>统计阈值等规划参数；但尚未完整纳入断层展布、既有巷道系统、通风运输能力、设备能力和生产制度等现场闭环约束。因此，案例定位为方法验证型工程样例，而非矿井定案设计文件。</w:t>
      </w:r>
    </w:p>
    <w:p w14:paraId="3D45C30F" w14:textId="77777777" w:rsidR="00390073" w:rsidRDefault="005E44A0">
      <w:pPr>
        <w:pStyle w:val="10"/>
        <w:spacing w:after="40"/>
        <w:ind w:firstLine="420"/>
      </w:pPr>
      <w:r>
        <w:t>为避免验证目标泛化，本文将样例验证限定为</w:t>
      </w:r>
      <w:r>
        <w:t>3</w:t>
      </w:r>
      <w:r>
        <w:t>个可复核问题：离散钻孔和边界约束能否转化为统一坐标下的连续参数场和有效布置域；多场景扰动风险能否转化为同一</w:t>
      </w:r>
      <w:r>
        <w:t>ODI</w:t>
      </w:r>
      <w:r>
        <w:t>统计口径，并在全域栅格和候选方案区域内复算；不同目标偏好下的候选方案能否在同一基础输入、同一几何底线约束、同一</w:t>
      </w:r>
      <w:r>
        <w:t>ODI</w:t>
      </w:r>
      <w:r>
        <w:t>风险场和同一评分口径下比较。后文</w:t>
      </w:r>
      <w:r>
        <w:t>A</w:t>
      </w:r>
      <w:r>
        <w:t>、</w:t>
      </w:r>
      <w:r>
        <w:t>B</w:t>
      </w:r>
      <w:r>
        <w:t>、</w:t>
      </w:r>
      <w:r>
        <w:t>C</w:t>
      </w:r>
      <w:r>
        <w:t>方案对比、阈值敏感性和权重敏感性均围绕上述问题展开。</w:t>
      </w:r>
    </w:p>
    <w:p w14:paraId="3858E5CD"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4574AAA9" w14:textId="77777777" w:rsidR="00195275" w:rsidRDefault="00A249E2">
      <w:pPr>
        <w:jc w:val="center"/>
      </w:pPr>
      <w:r>
        <w:rPr>
          <w:rFonts w:ascii="宋体" w:eastAsia="宋体" w:hAnsi="宋体"/>
          <w:noProof/>
        </w:rPr>
        <w:lastRenderedPageBreak/>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27C3F049" w14:textId="77777777" w:rsidR="00195275" w:rsidRDefault="00A249E2">
      <w:pPr>
        <w:pStyle w:val="14"/>
      </w:pPr>
      <w:r>
        <w:t>图</w:t>
      </w:r>
      <w:r>
        <w:t xml:space="preserve">2 </w:t>
      </w:r>
      <w:r>
        <w:t>研究区钻孔空间分布图</w:t>
      </w:r>
      <w:r>
        <w:br/>
        <w:t>Fig.2 Spatial distribution of boreholes in the study area</w:t>
      </w:r>
    </w:p>
    <w:p w14:paraId="22E5E0A9"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67E87973"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5C882A9C"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6ED789D8"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460"/>
        <w:gridCol w:w="460"/>
        <w:gridCol w:w="1322"/>
        <w:gridCol w:w="2917"/>
        <w:gridCol w:w="460"/>
        <w:gridCol w:w="900"/>
        <w:gridCol w:w="3139"/>
      </w:tblGrid>
      <w:tr w:rsidR="00D007CE" w:rsidRPr="006A6807" w14:paraId="0BC442B3" w14:textId="77777777" w:rsidTr="006A6807">
        <w:trPr>
          <w:jc w:val="center"/>
        </w:trPr>
        <w:tc>
          <w:tcPr>
            <w:tcW w:w="273" w:type="pct"/>
            <w:tcBorders>
              <w:top w:val="single" w:sz="8" w:space="0" w:color="000000"/>
              <w:bottom w:val="single" w:sz="6" w:space="0" w:color="000000"/>
            </w:tcBorders>
            <w:vAlign w:val="center"/>
          </w:tcPr>
          <w:p w14:paraId="5DD0283D"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15A4A745"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68B1C640"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070F6A55"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756EF3A0"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3C853C88"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5E700D8A"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4C15A4A7" w14:textId="77777777" w:rsidTr="006A6807">
        <w:trPr>
          <w:jc w:val="center"/>
        </w:trPr>
        <w:tc>
          <w:tcPr>
            <w:tcW w:w="273" w:type="pct"/>
            <w:vAlign w:val="center"/>
          </w:tcPr>
          <w:p w14:paraId="033F7F29"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35FDE8DD"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8DB3D21"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3DC4F979"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8A372AB"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4172F0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183104F" w14:textId="77777777" w:rsidR="00D007CE" w:rsidRPr="006A6807" w:rsidRDefault="00A249E2">
            <w:pPr>
              <w:spacing w:before="0" w:after="0"/>
              <w:jc w:val="center"/>
              <w:rPr>
                <w:sz w:val="14"/>
              </w:rPr>
            </w:pPr>
            <w:r w:rsidRPr="006A6807">
              <w:rPr>
                <w:rFonts w:ascii="宋体" w:eastAsia="宋体" w:hAnsi="宋体"/>
                <w:sz w:val="14"/>
              </w:rPr>
              <w:t>钻孔/设计结果</w:t>
            </w:r>
          </w:p>
        </w:tc>
      </w:tr>
      <w:tr w:rsidR="00D007CE" w:rsidRPr="006A6807" w14:paraId="7BF762B0" w14:textId="77777777" w:rsidTr="006A6807">
        <w:trPr>
          <w:jc w:val="center"/>
        </w:trPr>
        <w:tc>
          <w:tcPr>
            <w:tcW w:w="273" w:type="pct"/>
            <w:vAlign w:val="center"/>
          </w:tcPr>
          <w:p w14:paraId="755A818B"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C289A66"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2CB7F9E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28FB956C"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56A01D09"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786C313"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7F6A3D0"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14D3FBEC" w14:textId="77777777" w:rsidTr="006A6807">
        <w:trPr>
          <w:jc w:val="center"/>
        </w:trPr>
        <w:tc>
          <w:tcPr>
            <w:tcW w:w="273" w:type="pct"/>
            <w:vAlign w:val="center"/>
          </w:tcPr>
          <w:p w14:paraId="5C91EB01"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4F162F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1B6DD919"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602E5F3C"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6E0861C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29B049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00C598B"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11304F45" w14:textId="77777777" w:rsidTr="006A6807">
        <w:trPr>
          <w:jc w:val="center"/>
        </w:trPr>
        <w:tc>
          <w:tcPr>
            <w:tcW w:w="273" w:type="pct"/>
            <w:vAlign w:val="center"/>
          </w:tcPr>
          <w:p w14:paraId="237438B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3CB0B639"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624B7834"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044F5862"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72FE53E2"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1E4EC5B"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64C1E39"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3D05FEE3" w14:textId="77777777" w:rsidTr="006A6807">
        <w:trPr>
          <w:jc w:val="center"/>
        </w:trPr>
        <w:tc>
          <w:tcPr>
            <w:tcW w:w="273" w:type="pct"/>
            <w:vAlign w:val="center"/>
          </w:tcPr>
          <w:p w14:paraId="055DC663"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79907FE7"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3787CD1C"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6FD47F50"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6251F97"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939C3B1" w14:textId="77777777" w:rsidR="00D007CE" w:rsidRPr="006A6807" w:rsidRDefault="00A249E2">
            <w:pPr>
              <w:spacing w:before="0" w:after="0"/>
              <w:jc w:val="center"/>
              <w:rPr>
                <w:sz w:val="14"/>
              </w:rPr>
            </w:pPr>
            <w:r w:rsidRPr="006A6807">
              <w:rPr>
                <w:rFonts w:ascii="宋体" w:eastAsia="宋体" w:hAnsi="宋体"/>
                <w:sz w:val="14"/>
              </w:rPr>
              <w:t>当前样例采用值；规则范围20-50 m</w:t>
            </w:r>
          </w:p>
        </w:tc>
        <w:tc>
          <w:tcPr>
            <w:tcW w:w="1837" w:type="pct"/>
            <w:vAlign w:val="center"/>
          </w:tcPr>
          <w:p w14:paraId="58151CFD"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241DDF56" w14:textId="77777777" w:rsidTr="006A6807">
        <w:trPr>
          <w:jc w:val="center"/>
        </w:trPr>
        <w:tc>
          <w:tcPr>
            <w:tcW w:w="273" w:type="pct"/>
            <w:vAlign w:val="center"/>
          </w:tcPr>
          <w:p w14:paraId="2A10104D"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454E188A"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6010334F"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688D3AFC"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0D1CB4DC"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1531133" w14:textId="77777777" w:rsidR="00D007CE" w:rsidRPr="006A6807" w:rsidRDefault="00A249E2">
            <w:pPr>
              <w:spacing w:before="0" w:after="0"/>
              <w:jc w:val="center"/>
              <w:rPr>
                <w:sz w:val="14"/>
              </w:rPr>
            </w:pPr>
            <w:r w:rsidRPr="006A6807">
              <w:rPr>
                <w:rFonts w:ascii="宋体" w:eastAsia="宋体" w:hAnsi="宋体"/>
                <w:sz w:val="14"/>
              </w:rPr>
              <w:t>当前样例采用值；规则范围15-30 m</w:t>
            </w:r>
          </w:p>
        </w:tc>
        <w:tc>
          <w:tcPr>
            <w:tcW w:w="1837" w:type="pct"/>
            <w:vAlign w:val="center"/>
          </w:tcPr>
          <w:p w14:paraId="0AC78A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AB2C5F9" w14:textId="77777777" w:rsidTr="006A6807">
        <w:trPr>
          <w:jc w:val="center"/>
        </w:trPr>
        <w:tc>
          <w:tcPr>
            <w:tcW w:w="273" w:type="pct"/>
            <w:vAlign w:val="center"/>
          </w:tcPr>
          <w:p w14:paraId="290DBD76"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0F2A1BD5"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5D7A6430"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3B626CEA"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49F920ED"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75710EB8" w14:textId="77777777" w:rsidR="00D007CE" w:rsidRPr="006A6807" w:rsidRDefault="00A249E2">
            <w:pPr>
              <w:spacing w:before="0" w:after="0"/>
              <w:jc w:val="center"/>
              <w:rPr>
                <w:sz w:val="14"/>
              </w:rPr>
            </w:pPr>
            <w:r w:rsidRPr="006A6807">
              <w:rPr>
                <w:rFonts w:ascii="宋体" w:eastAsia="宋体" w:hAnsi="宋体"/>
                <w:sz w:val="14"/>
              </w:rPr>
              <w:t>由6个边界点计算</w:t>
            </w:r>
          </w:p>
        </w:tc>
        <w:tc>
          <w:tcPr>
            <w:tcW w:w="1837" w:type="pct"/>
            <w:vAlign w:val="center"/>
          </w:tcPr>
          <w:p w14:paraId="0D4E94E5"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207A4AEA" w14:textId="77777777" w:rsidTr="006A6807">
        <w:trPr>
          <w:jc w:val="center"/>
        </w:trPr>
        <w:tc>
          <w:tcPr>
            <w:tcW w:w="273" w:type="pct"/>
            <w:vAlign w:val="center"/>
          </w:tcPr>
          <w:p w14:paraId="57619E73"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57087612"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7AA677A3"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F48A605"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0115E6C3"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0426B41"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4F198118"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0964172B" w14:textId="77777777" w:rsidTr="006A6807">
        <w:trPr>
          <w:jc w:val="center"/>
        </w:trPr>
        <w:tc>
          <w:tcPr>
            <w:tcW w:w="273" w:type="pct"/>
            <w:vAlign w:val="center"/>
          </w:tcPr>
          <w:p w14:paraId="0E98BAA5"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143CF1EF"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011A14D3"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609DA291" w14:textId="77777777" w:rsidR="00D007CE" w:rsidRPr="006A6807" w:rsidRDefault="00A249E2">
            <w:pPr>
              <w:spacing w:before="0" w:after="0"/>
              <w:jc w:val="center"/>
              <w:rPr>
                <w:sz w:val="14"/>
              </w:rPr>
            </w:pPr>
            <w:r w:rsidRPr="006A6807">
              <w:rPr>
                <w:rFonts w:ascii="宋体" w:eastAsia="宋体" w:hAnsi="宋体"/>
                <w:sz w:val="14"/>
              </w:rPr>
              <w:t>120-260，推荐200</w:t>
            </w:r>
          </w:p>
        </w:tc>
        <w:tc>
          <w:tcPr>
            <w:tcW w:w="272" w:type="pct"/>
            <w:vAlign w:val="center"/>
          </w:tcPr>
          <w:p w14:paraId="1A726C32"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32AD7F19"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44F1C01E"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7F3F188" w14:textId="77777777" w:rsidTr="006A6807">
        <w:trPr>
          <w:jc w:val="center"/>
        </w:trPr>
        <w:tc>
          <w:tcPr>
            <w:tcW w:w="273" w:type="pct"/>
            <w:vAlign w:val="center"/>
          </w:tcPr>
          <w:p w14:paraId="5FD97F0C"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5EBD29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32F9CB09"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33EEE140"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6E442AF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8303F75" w14:textId="77777777" w:rsidR="00D007CE" w:rsidRPr="006A6807" w:rsidRDefault="00A249E2">
            <w:pPr>
              <w:spacing w:before="0" w:after="0"/>
              <w:jc w:val="center"/>
              <w:rPr>
                <w:sz w:val="14"/>
              </w:rPr>
            </w:pPr>
            <w:r w:rsidRPr="006A6807">
              <w:rPr>
                <w:rFonts w:ascii="宋体" w:eastAsia="宋体" w:hAnsi="宋体"/>
                <w:sz w:val="14"/>
              </w:rPr>
              <w:t>推荐/校核阈值；当前样例用于提示方案修正，不作为硬性达标结果</w:t>
            </w:r>
          </w:p>
        </w:tc>
        <w:tc>
          <w:tcPr>
            <w:tcW w:w="1837" w:type="pct"/>
            <w:vAlign w:val="center"/>
          </w:tcPr>
          <w:p w14:paraId="7DFF5885"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5C6FCA02" w14:textId="77777777" w:rsidTr="006A6807">
        <w:trPr>
          <w:jc w:val="center"/>
        </w:trPr>
        <w:tc>
          <w:tcPr>
            <w:tcW w:w="273" w:type="pct"/>
            <w:vAlign w:val="center"/>
          </w:tcPr>
          <w:p w14:paraId="7485DB20"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4E3449F8"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470685EF"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604D0FAB" w14:textId="77777777" w:rsidR="00D007CE" w:rsidRPr="006A6807" w:rsidRDefault="00A249E2">
            <w:pPr>
              <w:spacing w:before="0" w:after="0"/>
              <w:jc w:val="center"/>
              <w:rPr>
                <w:sz w:val="14"/>
              </w:rPr>
            </w:pPr>
            <w:r w:rsidRPr="006A6807">
              <w:rPr>
                <w:rFonts w:ascii="宋体" w:eastAsia="宋体" w:hAnsi="宋体"/>
                <w:sz w:val="14"/>
              </w:rPr>
              <w:t>走向长壁布置，走向: 180.0°</w:t>
            </w:r>
          </w:p>
        </w:tc>
        <w:tc>
          <w:tcPr>
            <w:tcW w:w="272" w:type="pct"/>
            <w:vAlign w:val="center"/>
          </w:tcPr>
          <w:p w14:paraId="075EF7E7"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61591828"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32009C0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58A93F1E" w14:textId="77777777" w:rsidTr="006A6807">
        <w:trPr>
          <w:jc w:val="center"/>
        </w:trPr>
        <w:tc>
          <w:tcPr>
            <w:tcW w:w="273" w:type="pct"/>
            <w:vAlign w:val="center"/>
          </w:tcPr>
          <w:p w14:paraId="47A59168"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35C82517" w14:textId="77777777" w:rsidR="00D007CE" w:rsidRPr="006A6807" w:rsidRDefault="00A249E2">
            <w:pPr>
              <w:spacing w:before="0" w:after="0"/>
              <w:jc w:val="center"/>
              <w:rPr>
                <w:sz w:val="14"/>
              </w:rPr>
            </w:pPr>
            <w:r w:rsidRPr="006A6807">
              <w:rPr>
                <w:rFonts w:ascii="宋体" w:eastAsia="宋体" w:hAnsi="宋体"/>
                <w:sz w:val="14"/>
              </w:rPr>
              <w:t>ODI权重</w:t>
            </w:r>
          </w:p>
        </w:tc>
        <w:tc>
          <w:tcPr>
            <w:tcW w:w="912" w:type="pct"/>
            <w:vAlign w:val="center"/>
          </w:tcPr>
          <w:p w14:paraId="5A43A2D2" w14:textId="77777777" w:rsidR="00D007CE" w:rsidRPr="006A6807" w:rsidRDefault="00A249E2">
            <w:pPr>
              <w:spacing w:before="0" w:after="0"/>
              <w:rPr>
                <w:sz w:val="14"/>
              </w:rPr>
            </w:pPr>
            <w:r w:rsidRPr="006A6807">
              <w:rPr>
                <w:sz w:val="14"/>
              </w:rPr>
              <w:t>w_s/w_a/w_u</w:t>
            </w:r>
          </w:p>
        </w:tc>
        <w:tc>
          <w:tcPr>
            <w:tcW w:w="948" w:type="pct"/>
            <w:vAlign w:val="center"/>
          </w:tcPr>
          <w:p w14:paraId="6FCA265B" w14:textId="77777777" w:rsidR="00D007CE" w:rsidRPr="006A6807" w:rsidRDefault="00A249E2">
            <w:pPr>
              <w:spacing w:before="0" w:after="0"/>
              <w:rPr>
                <w:sz w:val="14"/>
              </w:rPr>
            </w:pPr>
            <w:r w:rsidRPr="006A6807">
              <w:rPr>
                <w:sz w:val="14"/>
              </w:rPr>
              <w:t>0.45/0.30/0.25</w:t>
            </w:r>
          </w:p>
        </w:tc>
        <w:tc>
          <w:tcPr>
            <w:tcW w:w="272" w:type="pct"/>
            <w:vAlign w:val="center"/>
          </w:tcPr>
          <w:p w14:paraId="392E699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496B647"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64DBA080" w14:textId="77777777" w:rsidR="00D007CE" w:rsidRPr="006A6807" w:rsidRDefault="00A249E2">
            <w:pPr>
              <w:spacing w:before="0" w:after="0"/>
              <w:jc w:val="center"/>
              <w:rPr>
                <w:sz w:val="14"/>
              </w:rPr>
            </w:pPr>
            <w:r w:rsidRPr="006A6807">
              <w:rPr>
                <w:rFonts w:ascii="宋体" w:eastAsia="宋体" w:hAnsi="宋体"/>
                <w:sz w:val="14"/>
              </w:rPr>
              <w:t>ODI场结果</w:t>
            </w:r>
          </w:p>
        </w:tc>
      </w:tr>
      <w:tr w:rsidR="00D007CE" w:rsidRPr="006A6807" w14:paraId="306CB096" w14:textId="77777777" w:rsidTr="006A6807">
        <w:trPr>
          <w:jc w:val="center"/>
        </w:trPr>
        <w:tc>
          <w:tcPr>
            <w:tcW w:w="273" w:type="pct"/>
            <w:vAlign w:val="center"/>
          </w:tcPr>
          <w:p w14:paraId="6FE73BF6"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14F432F2" w14:textId="77777777" w:rsidR="00D007CE" w:rsidRPr="006A6807" w:rsidRDefault="00A249E2">
            <w:pPr>
              <w:spacing w:before="0" w:after="0"/>
              <w:jc w:val="center"/>
              <w:rPr>
                <w:sz w:val="14"/>
              </w:rPr>
            </w:pPr>
            <w:r w:rsidRPr="006A6807">
              <w:rPr>
                <w:rFonts w:ascii="宋体" w:eastAsia="宋体" w:hAnsi="宋体"/>
                <w:sz w:val="14"/>
              </w:rPr>
              <w:t>ODI统计阈值</w:t>
            </w:r>
          </w:p>
        </w:tc>
        <w:tc>
          <w:tcPr>
            <w:tcW w:w="912" w:type="pct"/>
            <w:vAlign w:val="center"/>
          </w:tcPr>
          <w:p w14:paraId="77533B03"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4F0BDEC5"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56E0F00"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3A4227E6" w14:textId="77777777" w:rsidR="00D007CE" w:rsidRPr="006A6807" w:rsidRDefault="00A249E2">
            <w:pPr>
              <w:spacing w:before="0" w:after="0"/>
              <w:rPr>
                <w:sz w:val="14"/>
              </w:rPr>
            </w:pPr>
            <w:r w:rsidRPr="006A6807">
              <w:rPr>
                <w:sz w:val="14"/>
              </w:rPr>
              <w:t>用于方案级超阈值暴露统</w:t>
            </w:r>
            <w:r w:rsidRPr="006A6807">
              <w:rPr>
                <w:sz w:val="14"/>
              </w:rPr>
              <w:lastRenderedPageBreak/>
              <w:t>计；真实工程需结合现场阈值标定</w:t>
            </w:r>
          </w:p>
        </w:tc>
        <w:tc>
          <w:tcPr>
            <w:tcW w:w="1837" w:type="pct"/>
            <w:vAlign w:val="center"/>
          </w:tcPr>
          <w:p w14:paraId="1701858A" w14:textId="77777777" w:rsidR="00D007CE" w:rsidRPr="006A6807" w:rsidRDefault="00A249E2">
            <w:pPr>
              <w:spacing w:before="0" w:after="0"/>
              <w:jc w:val="center"/>
              <w:rPr>
                <w:sz w:val="14"/>
              </w:rPr>
            </w:pPr>
            <w:r w:rsidRPr="006A6807">
              <w:rPr>
                <w:rFonts w:ascii="宋体" w:eastAsia="宋体" w:hAnsi="宋体"/>
                <w:sz w:val="14"/>
              </w:rPr>
              <w:lastRenderedPageBreak/>
              <w:t>本文统计口径</w:t>
            </w:r>
          </w:p>
        </w:tc>
      </w:tr>
      <w:tr w:rsidR="00D007CE" w:rsidRPr="006A6807" w14:paraId="71D0E5E1" w14:textId="77777777" w:rsidTr="006A6807">
        <w:trPr>
          <w:jc w:val="center"/>
        </w:trPr>
        <w:tc>
          <w:tcPr>
            <w:tcW w:w="273" w:type="pct"/>
            <w:vAlign w:val="center"/>
          </w:tcPr>
          <w:p w14:paraId="54BF3FD6" w14:textId="77777777" w:rsidR="00D007CE" w:rsidRPr="006A6807" w:rsidRDefault="00A249E2">
            <w:pPr>
              <w:spacing w:before="0" w:after="0"/>
              <w:jc w:val="center"/>
              <w:rPr>
                <w:sz w:val="14"/>
              </w:rPr>
            </w:pPr>
            <w:r w:rsidRPr="006A6807">
              <w:rPr>
                <w:rFonts w:ascii="宋体" w:eastAsia="宋体" w:hAnsi="宋体"/>
                <w:sz w:val="14"/>
              </w:rPr>
              <w:t>评分口径</w:t>
            </w:r>
          </w:p>
        </w:tc>
        <w:tc>
          <w:tcPr>
            <w:tcW w:w="344" w:type="pct"/>
            <w:vAlign w:val="center"/>
          </w:tcPr>
          <w:p w14:paraId="4800CA4F" w14:textId="77777777" w:rsidR="00D007CE" w:rsidRPr="006A6807" w:rsidRDefault="00A249E2">
            <w:pPr>
              <w:spacing w:before="0" w:after="0"/>
              <w:jc w:val="center"/>
              <w:rPr>
                <w:sz w:val="14"/>
              </w:rPr>
            </w:pPr>
            <w:r w:rsidRPr="006A6807">
              <w:rPr>
                <w:rFonts w:ascii="宋体" w:eastAsia="宋体" w:hAnsi="宋体"/>
                <w:sz w:val="14"/>
              </w:rPr>
              <w:t>资源回收评分权重</w:t>
            </w:r>
          </w:p>
        </w:tc>
        <w:tc>
          <w:tcPr>
            <w:tcW w:w="912" w:type="pct"/>
            <w:vAlign w:val="center"/>
          </w:tcPr>
          <w:p w14:paraId="615E232C" w14:textId="77777777" w:rsidR="00D007CE" w:rsidRPr="006A6807" w:rsidRDefault="00A249E2">
            <w:pPr>
              <w:spacing w:before="0" w:after="0"/>
              <w:jc w:val="center"/>
              <w:rPr>
                <w:sz w:val="14"/>
              </w:rPr>
            </w:pPr>
            <w:r w:rsidRPr="006A6807">
              <w:rPr>
                <w:rFonts w:ascii="宋体" w:eastAsia="宋体" w:hAnsi="宋体"/>
                <w:sz w:val="14"/>
              </w:rPr>
              <w:t>w_t/w_c/w_e</w:t>
            </w:r>
          </w:p>
        </w:tc>
        <w:tc>
          <w:tcPr>
            <w:tcW w:w="948" w:type="pct"/>
            <w:vAlign w:val="center"/>
          </w:tcPr>
          <w:p w14:paraId="73782D17" w14:textId="77777777" w:rsidR="00D007CE" w:rsidRPr="006A6807" w:rsidRDefault="00A249E2">
            <w:pPr>
              <w:spacing w:before="0" w:after="0"/>
              <w:jc w:val="center"/>
              <w:rPr>
                <w:sz w:val="14"/>
              </w:rPr>
            </w:pPr>
            <w:r w:rsidRPr="006A6807">
              <w:rPr>
                <w:rFonts w:ascii="宋体" w:eastAsia="宋体" w:hAnsi="宋体"/>
                <w:sz w:val="14"/>
              </w:rPr>
              <w:t>0.55/0.30/0.15</w:t>
            </w:r>
          </w:p>
        </w:tc>
        <w:tc>
          <w:tcPr>
            <w:tcW w:w="272" w:type="pct"/>
            <w:vAlign w:val="center"/>
          </w:tcPr>
          <w:p w14:paraId="6466D0F3"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576AF562" w14:textId="77777777" w:rsidR="00D007CE" w:rsidRPr="006A6807" w:rsidRDefault="00A249E2">
            <w:pPr>
              <w:spacing w:before="0" w:after="0"/>
              <w:jc w:val="center"/>
              <w:rPr>
                <w:sz w:val="14"/>
              </w:rPr>
            </w:pPr>
            <w:r w:rsidRPr="006A6807">
              <w:rPr>
                <w:rFonts w:ascii="宋体" w:eastAsia="宋体" w:hAnsi="宋体"/>
                <w:sz w:val="14"/>
              </w:rPr>
              <w:t>吨煤量/覆盖率/工程组织；用于资源回收分项评分</w:t>
            </w:r>
          </w:p>
        </w:tc>
        <w:tc>
          <w:tcPr>
            <w:tcW w:w="1837" w:type="pct"/>
            <w:vAlign w:val="center"/>
          </w:tcPr>
          <w:p w14:paraId="3D549B26" w14:textId="77777777" w:rsidR="00D007CE" w:rsidRPr="006A6807" w:rsidRDefault="00A249E2">
            <w:pPr>
              <w:spacing w:before="0" w:after="0"/>
              <w:jc w:val="center"/>
              <w:rPr>
                <w:sz w:val="14"/>
              </w:rPr>
            </w:pPr>
            <w:r w:rsidRPr="006A6807">
              <w:rPr>
                <w:rFonts w:ascii="宋体" w:eastAsia="宋体" w:hAnsi="宋体"/>
                <w:sz w:val="14"/>
              </w:rPr>
              <w:t>planningResults</w:t>
            </w:r>
          </w:p>
        </w:tc>
      </w:tr>
      <w:tr w:rsidR="00D007CE" w:rsidRPr="006A6807" w14:paraId="481166C6" w14:textId="77777777" w:rsidTr="006A6807">
        <w:trPr>
          <w:jc w:val="center"/>
        </w:trPr>
        <w:tc>
          <w:tcPr>
            <w:tcW w:w="273" w:type="pct"/>
            <w:tcBorders>
              <w:bottom w:val="single" w:sz="8" w:space="0" w:color="000000"/>
            </w:tcBorders>
            <w:vAlign w:val="center"/>
          </w:tcPr>
          <w:p w14:paraId="760FEA36" w14:textId="77777777" w:rsidR="00D007CE" w:rsidRPr="006A6807" w:rsidRDefault="00A249E2">
            <w:pPr>
              <w:spacing w:before="0" w:after="0"/>
              <w:rPr>
                <w:sz w:val="14"/>
              </w:rPr>
            </w:pPr>
            <w:r w:rsidRPr="006A6807">
              <w:rPr>
                <w:sz w:val="14"/>
              </w:rPr>
              <w:t>候选集合</w:t>
            </w:r>
          </w:p>
        </w:tc>
        <w:tc>
          <w:tcPr>
            <w:tcW w:w="344" w:type="pct"/>
            <w:tcBorders>
              <w:bottom w:val="single" w:sz="8" w:space="0" w:color="000000"/>
            </w:tcBorders>
            <w:vAlign w:val="center"/>
          </w:tcPr>
          <w:p w14:paraId="5B991506" w14:textId="77777777" w:rsidR="00D007CE" w:rsidRPr="006A6807" w:rsidRDefault="00A249E2">
            <w:pPr>
              <w:spacing w:before="0" w:after="0"/>
              <w:rPr>
                <w:sz w:val="14"/>
              </w:rPr>
            </w:pPr>
            <w:r w:rsidRPr="006A6807">
              <w:rPr>
                <w:sz w:val="14"/>
              </w:rPr>
              <w:t>模式有效候选数</w:t>
            </w:r>
          </w:p>
        </w:tc>
        <w:tc>
          <w:tcPr>
            <w:tcW w:w="912" w:type="pct"/>
            <w:tcBorders>
              <w:bottom w:val="single" w:sz="8" w:space="0" w:color="000000"/>
            </w:tcBorders>
            <w:vAlign w:val="center"/>
          </w:tcPr>
          <w:p w14:paraId="1AC86751" w14:textId="77777777" w:rsidR="00D007CE" w:rsidRPr="006A6807" w:rsidRDefault="00A249E2">
            <w:pPr>
              <w:spacing w:before="0" w:after="0"/>
              <w:rPr>
                <w:sz w:val="14"/>
              </w:rPr>
            </w:pPr>
            <w:r w:rsidRPr="006A6807">
              <w:rPr>
                <w:sz w:val="14"/>
              </w:rPr>
              <w:t>N_e/N_r/N_m</w:t>
            </w:r>
          </w:p>
        </w:tc>
        <w:tc>
          <w:tcPr>
            <w:tcW w:w="948" w:type="pct"/>
            <w:tcBorders>
              <w:bottom w:val="single" w:sz="8" w:space="0" w:color="000000"/>
            </w:tcBorders>
            <w:vAlign w:val="center"/>
          </w:tcPr>
          <w:p w14:paraId="153043A1" w14:textId="77777777" w:rsidR="00D007CE" w:rsidRPr="006A6807" w:rsidRDefault="00A249E2">
            <w:pPr>
              <w:spacing w:before="0" w:after="0"/>
              <w:rPr>
                <w:sz w:val="14"/>
              </w:rPr>
            </w:pPr>
            <w:r w:rsidRPr="006A6807">
              <w:rPr>
                <w:sz w:val="14"/>
              </w:rPr>
              <w:t>2417/1149/374</w:t>
            </w:r>
            <w:r w:rsidRPr="006A6807">
              <w:rPr>
                <w:sz w:val="14"/>
              </w:rPr>
              <w:t>（扰动合格</w:t>
            </w:r>
            <w:r w:rsidRPr="006A6807">
              <w:rPr>
                <w:sz w:val="14"/>
              </w:rPr>
              <w:t>88</w:t>
            </w:r>
            <w:r w:rsidRPr="006A6807">
              <w:rPr>
                <w:sz w:val="14"/>
              </w:rPr>
              <w:t>）</w:t>
            </w:r>
          </w:p>
        </w:tc>
        <w:tc>
          <w:tcPr>
            <w:tcW w:w="272" w:type="pct"/>
            <w:tcBorders>
              <w:bottom w:val="single" w:sz="8" w:space="0" w:color="000000"/>
            </w:tcBorders>
            <w:vAlign w:val="center"/>
          </w:tcPr>
          <w:p w14:paraId="779F299D"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300C59BB" w14:textId="77777777" w:rsidR="00D007CE" w:rsidRPr="006A6807" w:rsidRDefault="00A249E2">
            <w:pPr>
              <w:spacing w:before="0" w:after="0"/>
              <w:rPr>
                <w:sz w:val="14"/>
              </w:rPr>
            </w:pPr>
            <w:r w:rsidRPr="006A6807">
              <w:rPr>
                <w:sz w:val="14"/>
              </w:rPr>
              <w:t>统一基础输入下工程效率</w:t>
            </w:r>
            <w:r w:rsidRPr="006A6807">
              <w:rPr>
                <w:sz w:val="14"/>
              </w:rPr>
              <w:t>/</w:t>
            </w:r>
            <w:r w:rsidRPr="006A6807">
              <w:rPr>
                <w:sz w:val="14"/>
              </w:rPr>
              <w:t>资源回收</w:t>
            </w:r>
            <w:r w:rsidRPr="006A6807">
              <w:rPr>
                <w:sz w:val="14"/>
              </w:rPr>
              <w:t>/</w:t>
            </w:r>
            <w:r w:rsidRPr="006A6807">
              <w:rPr>
                <w:sz w:val="14"/>
              </w:rPr>
              <w:t>扰动控制偏好筛选后的有效候选记录</w:t>
            </w:r>
          </w:p>
        </w:tc>
        <w:tc>
          <w:tcPr>
            <w:tcW w:w="1837" w:type="pct"/>
            <w:tcBorders>
              <w:bottom w:val="single" w:sz="8" w:space="0" w:color="000000"/>
            </w:tcBorders>
            <w:vAlign w:val="center"/>
          </w:tcPr>
          <w:p w14:paraId="64DB31C6" w14:textId="77777777" w:rsidR="00D007CE" w:rsidRPr="006A6807" w:rsidRDefault="00A249E2">
            <w:pPr>
              <w:spacing w:before="0" w:after="0"/>
              <w:rPr>
                <w:sz w:val="14"/>
              </w:rPr>
            </w:pPr>
            <w:r w:rsidRPr="006A6807">
              <w:rPr>
                <w:sz w:val="14"/>
              </w:rPr>
              <w:t>planningResults</w:t>
            </w:r>
          </w:p>
        </w:tc>
      </w:tr>
      <w:tr w:rsidR="00390073" w14:paraId="6926B656" w14:textId="77777777">
        <w:trPr>
          <w:jc w:val="center"/>
        </w:trPr>
        <w:tc>
          <w:tcPr>
            <w:tcW w:w="528" w:type="dxa"/>
          </w:tcPr>
          <w:p w14:paraId="5EA09EB5" w14:textId="77777777" w:rsidR="00390073" w:rsidRDefault="005E44A0">
            <w:r>
              <w:t>候选集合</w:t>
            </w:r>
          </w:p>
        </w:tc>
        <w:tc>
          <w:tcPr>
            <w:tcW w:w="665" w:type="dxa"/>
          </w:tcPr>
          <w:p w14:paraId="52F56B5B" w14:textId="77777777" w:rsidR="00390073" w:rsidRDefault="005E44A0">
            <w:r>
              <w:t>统一候选集合</w:t>
            </w:r>
          </w:p>
        </w:tc>
        <w:tc>
          <w:tcPr>
            <w:tcW w:w="1763" w:type="dxa"/>
          </w:tcPr>
          <w:p w14:paraId="2C246797" w14:textId="77777777" w:rsidR="00390073" w:rsidRDefault="005E44A0">
            <w:r>
              <w:t>Π_all</w:t>
            </w:r>
          </w:p>
        </w:tc>
        <w:tc>
          <w:tcPr>
            <w:tcW w:w="1831" w:type="dxa"/>
          </w:tcPr>
          <w:p w14:paraId="0BA6C40E" w14:textId="77777777" w:rsidR="00390073" w:rsidRDefault="005E44A0">
            <w:r>
              <w:t>Π_e∪Π_r∪Π_m</w:t>
            </w:r>
          </w:p>
        </w:tc>
        <w:tc>
          <w:tcPr>
            <w:tcW w:w="525" w:type="dxa"/>
          </w:tcPr>
          <w:p w14:paraId="17BC0968" w14:textId="77777777" w:rsidR="00390073" w:rsidRDefault="005E44A0">
            <w:r>
              <w:t>—</w:t>
            </w:r>
          </w:p>
        </w:tc>
        <w:tc>
          <w:tcPr>
            <w:tcW w:w="798" w:type="dxa"/>
          </w:tcPr>
          <w:p w14:paraId="23C196BA" w14:textId="77777777" w:rsidR="00390073" w:rsidRDefault="005E44A0">
            <w:r>
              <w:t>统一输入、几何底线约束和</w:t>
            </w:r>
            <w:r>
              <w:t>ODI</w:t>
            </w:r>
            <w:r>
              <w:t>场下的模式候选集合并入口径</w:t>
            </w:r>
          </w:p>
        </w:tc>
        <w:tc>
          <w:tcPr>
            <w:tcW w:w="3548" w:type="dxa"/>
          </w:tcPr>
          <w:p w14:paraId="54C01D09" w14:textId="77777777" w:rsidR="00390073" w:rsidRDefault="005E44A0">
            <w:r>
              <w:t>planningResults</w:t>
            </w:r>
          </w:p>
        </w:tc>
      </w:tr>
    </w:tbl>
    <w:p w14:paraId="0D2DF9CE" w14:textId="77777777" w:rsidR="00A046E0" w:rsidRPr="00801D65" w:rsidRDefault="00A046E0">
      <w:pPr>
        <w:spacing w:after="40"/>
        <w:ind w:firstLine="420"/>
      </w:pPr>
    </w:p>
    <w:p w14:paraId="37D51147" w14:textId="77777777" w:rsidR="007E22B6" w:rsidRDefault="00A249E2" w:rsidP="00A046E0">
      <w:pPr>
        <w:pStyle w:val="12"/>
      </w:pPr>
      <w:r>
        <w:rPr>
          <w:rFonts w:ascii="宋体" w:eastAsia="宋体" w:hAnsi="宋体"/>
          <w:sz w:val="21"/>
        </w:rPr>
        <w:t>2.2 连续参数场构建结果及煤厚场示例</w:t>
      </w:r>
    </w:p>
    <w:p w14:paraId="0404A88A"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r>
        <w:t>风险场和工作面布局叠加分析的连续参数场。该处理思路与透明工作面、智能精准开采地质模型和采煤工作面三维模型动态修正研究强调的多源地质信息统一表达一致</w:t>
      </w:r>
      <w:r>
        <w:t>[30-32]</w:t>
      </w:r>
      <w:r>
        <w:t>。</w:t>
      </w:r>
    </w:p>
    <w:p w14:paraId="41C25E25"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w:t>
      </w:r>
      <w:r>
        <w:lastRenderedPageBreak/>
        <w:t>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58A28B2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6EC05B16" w14:textId="77777777" w:rsidR="00195275" w:rsidRDefault="00A249E2">
      <w:pPr>
        <w:pStyle w:val="14"/>
      </w:pPr>
      <w:r>
        <w:t>图</w:t>
      </w:r>
      <w:r>
        <w:t xml:space="preserve">3 </w:t>
      </w:r>
      <w:r>
        <w:t>研究区主要地质参数场分布图</w:t>
      </w:r>
      <w:r>
        <w:br/>
        <w:t>Fig.3 Distribution of main geological parameter fields in the study area</w:t>
      </w:r>
    </w:p>
    <w:p w14:paraId="64733C9F"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33E993AD"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22D32D9D"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1A89AABE"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2E67F22C" w14:textId="77777777" w:rsidR="007E22B6" w:rsidRDefault="007E22B6"/>
    <w:p w14:paraId="64C24FD5" w14:textId="77777777" w:rsidR="007E22B6" w:rsidRDefault="00A249E2" w:rsidP="00A046E0">
      <w:pPr>
        <w:pStyle w:val="12"/>
      </w:pPr>
      <w:r>
        <w:rPr>
          <w:rFonts w:ascii="宋体" w:eastAsia="宋体" w:hAnsi="宋体"/>
          <w:sz w:val="21"/>
        </w:rPr>
        <w:t>2.3 多场景 ODI 风险表征结果</w:t>
      </w:r>
    </w:p>
    <w:p w14:paraId="0D7D9405"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w:t>
      </w:r>
      <w:r>
        <w:t>[22-25,33-37,39-41,45,48-50]</w:t>
      </w:r>
      <w:r>
        <w:t>。若各场景以独立判据参与规划，容易造成尺度不统一和结果难复用。本文引入</w:t>
      </w:r>
      <w:r>
        <w:t>ODI</w:t>
      </w:r>
      <w:r>
        <w:t>作为统一风险组织口径，以支撑多场景风险在同一规划框架中的表达、比较与传递。</w:t>
      </w:r>
    </w:p>
    <w:p w14:paraId="25A43E0A"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。上述结果表明，风险信息已由概念性指标转化为可计算、可统计并可进入规划比选的空间场。</w:t>
      </w:r>
    </w:p>
    <w:p w14:paraId="28ECBE48" w14:textId="77777777" w:rsidR="00195275" w:rsidRDefault="00A249E2">
      <w:pPr>
        <w:jc w:val="center"/>
      </w:pPr>
      <w:r>
        <w:rPr>
          <w:rFonts w:ascii="宋体" w:eastAsia="宋体" w:hAnsi="宋体"/>
          <w:noProof/>
        </w:rPr>
        <w:lastRenderedPageBreak/>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1D4C8FEC" w14:textId="77777777" w:rsidR="00195275" w:rsidRDefault="00A249E2">
      <w:pPr>
        <w:pStyle w:val="14"/>
      </w:pPr>
      <w:r>
        <w:t>图</w:t>
      </w:r>
      <w:r>
        <w:t xml:space="preserve">4 </w:t>
      </w:r>
      <w:r>
        <w:t>多场景</w:t>
      </w:r>
      <w:r>
        <w:t>ODI</w:t>
      </w:r>
      <w:r>
        <w:t>分布结果对比图</w:t>
      </w:r>
      <w:r>
        <w:br/>
        <w:t>Fig.4 Comparison of multi-scenario ODI distribution results</w:t>
      </w:r>
    </w:p>
    <w:p w14:paraId="1D3A1A5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w:t>
      </w:r>
      <w:r>
        <w:t>[22-25,34-37,40-41,45,49-50]</w:t>
      </w:r>
      <w:r>
        <w:t>。统一为</w:t>
      </w:r>
      <w:r>
        <w:t>ODI</w:t>
      </w:r>
      <w:r>
        <w:t>后，各场景可在同一统计口径下进入方案筛选。</w:t>
      </w:r>
    </w:p>
    <w:p w14:paraId="59105723"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方案为在已保存候选池内按统一</w:t>
      </w:r>
      <w:r>
        <w:t>ODI</w:t>
      </w:r>
      <w:r>
        <w:t>场重新筛选得到的合格低风险候选。</w:t>
      </w:r>
    </w:p>
    <w:p w14:paraId="62EBBF04"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090BEC79"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56E7C8BE"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97BA6A4"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07B49C67"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36E0BF16"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70F7426"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BCE4A6A" w14:textId="77777777" w:rsidTr="006A6807">
        <w:trPr>
          <w:tblCellSpacing w:w="15" w:type="dxa"/>
          <w:jc w:val="center"/>
        </w:trPr>
        <w:tc>
          <w:tcPr>
            <w:tcW w:w="892" w:type="pct"/>
            <w:vAlign w:val="center"/>
            <w:hideMark/>
          </w:tcPr>
          <w:p w14:paraId="150D134B"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31A9D7CC"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5BC885C0"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36BFEC05"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76932D62" w14:textId="77777777" w:rsidTr="006A6807">
        <w:trPr>
          <w:tblCellSpacing w:w="15" w:type="dxa"/>
          <w:jc w:val="center"/>
        </w:trPr>
        <w:tc>
          <w:tcPr>
            <w:tcW w:w="892" w:type="pct"/>
            <w:vAlign w:val="center"/>
            <w:hideMark/>
          </w:tcPr>
          <w:p w14:paraId="3409B31A"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7328CA2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7EE12977"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1F00A3A8"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40652171" w14:textId="77777777" w:rsidTr="006A6807">
        <w:trPr>
          <w:tblCellSpacing w:w="15" w:type="dxa"/>
          <w:jc w:val="center"/>
        </w:trPr>
        <w:tc>
          <w:tcPr>
            <w:tcW w:w="892" w:type="pct"/>
            <w:vAlign w:val="center"/>
            <w:hideMark/>
          </w:tcPr>
          <w:p w14:paraId="07410224"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63FBC42A"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4CA17C17"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6A22495B"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6C361ED7" w14:textId="77777777" w:rsidTr="006A6807">
        <w:trPr>
          <w:tblCellSpacing w:w="15" w:type="dxa"/>
          <w:jc w:val="center"/>
        </w:trPr>
        <w:tc>
          <w:tcPr>
            <w:tcW w:w="892" w:type="pct"/>
            <w:tcBorders>
              <w:bottom w:val="single" w:sz="8" w:space="0" w:color="000000"/>
            </w:tcBorders>
            <w:vAlign w:val="center"/>
            <w:hideMark/>
          </w:tcPr>
          <w:p w14:paraId="02C0CFC9" w14:textId="77777777" w:rsidR="00D007CE" w:rsidRPr="006A6807" w:rsidRDefault="00A249E2">
            <w:pPr>
              <w:spacing w:before="0" w:after="0"/>
              <w:jc w:val="center"/>
              <w:rPr>
                <w:sz w:val="14"/>
              </w:rPr>
            </w:pPr>
            <w:r w:rsidRPr="006A6807">
              <w:rPr>
                <w:rFonts w:ascii="宋体" w:eastAsia="宋体" w:hAnsi="宋体"/>
                <w:sz w:val="14"/>
              </w:rPr>
              <w:t>综合ODI</w:t>
            </w:r>
          </w:p>
        </w:tc>
        <w:tc>
          <w:tcPr>
            <w:tcW w:w="1206" w:type="pct"/>
            <w:tcBorders>
              <w:bottom w:val="single" w:sz="8" w:space="0" w:color="000000"/>
            </w:tcBorders>
            <w:vAlign w:val="center"/>
            <w:hideMark/>
          </w:tcPr>
          <w:p w14:paraId="39EFFC6E"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B3DA76"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7CD0AAD1"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734A1550" w14:textId="77777777" w:rsidR="00A046E0" w:rsidRPr="00A046E0" w:rsidRDefault="00A046E0" w:rsidP="00801D65">
      <w:pPr>
        <w:spacing w:after="40"/>
        <w:ind w:firstLine="420"/>
        <w:rPr>
          <w:rFonts w:ascii="宋体" w:hAnsi="宋体"/>
        </w:rPr>
      </w:pPr>
    </w:p>
    <w:p w14:paraId="7C209DF6" w14:textId="77777777" w:rsidR="00DE4743" w:rsidRDefault="00DE4743" w:rsidP="00A046E0">
      <w:pPr>
        <w:pStyle w:val="11"/>
      </w:pPr>
      <w:r>
        <w:rPr>
          <w:sz w:val="21"/>
        </w:rPr>
        <w:t xml:space="preserve">3 </w:t>
      </w:r>
      <w:r>
        <w:rPr>
          <w:sz w:val="21"/>
        </w:rPr>
        <w:t>候选方案对比与风险统计</w:t>
      </w:r>
    </w:p>
    <w:p w14:paraId="0A58E8F9" w14:textId="77777777" w:rsidR="007E22B6" w:rsidRDefault="00DE4743" w:rsidP="00A046E0">
      <w:pPr>
        <w:pStyle w:val="12"/>
      </w:pPr>
      <w:r>
        <w:rPr>
          <w:sz w:val="21"/>
        </w:rPr>
        <w:t xml:space="preserve">3.1 </w:t>
      </w:r>
      <w:r>
        <w:rPr>
          <w:sz w:val="21"/>
        </w:rPr>
        <w:t>候选方案生成结果与对比</w:t>
      </w:r>
    </w:p>
    <w:p w14:paraId="0FEE3CA7"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风险场共同作用下，本文进一步提取工程效率优先、资源回收优先和扰动控制优先等候选结果，用于说明不同目标偏好下方案指标的变化。与仅展示单一导出样例相比，候选方案对比能够更直接回答</w:t>
      </w:r>
      <w:r>
        <w:t>“ODI</w:t>
      </w:r>
      <w:r>
        <w:t>约束如何影响方案筛选</w:t>
      </w:r>
      <w:r>
        <w:t>”</w:t>
      </w:r>
      <w:r>
        <w:t>的问题。</w:t>
      </w:r>
    </w:p>
    <w:p w14:paraId="41997BE1"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r>
        <w:t>风险场和几何底线约束下比较。</w:t>
      </w:r>
      <w:r>
        <w:t>A</w:t>
      </w:r>
      <w:r>
        <w:t>方案代表工程效率偏好，强调工作面数量、推进长度均衡性和组织效率；</w:t>
      </w:r>
      <w:r>
        <w:t>B</w:t>
      </w:r>
      <w:r>
        <w:t>方案代表资源回收偏好，强调覆盖率和煤厚场利用；</w:t>
      </w:r>
      <w:r>
        <w:t>C</w:t>
      </w:r>
      <w:r>
        <w:t>方案代表</w:t>
      </w:r>
      <w:r>
        <w:t>ODI</w:t>
      </w:r>
      <w:r>
        <w:t>风险约束偏好，强调低扰动暴露。该对照属于统一候选集合内的目标偏好对照，而非独立人工经验方案与自动方案的现场对照。</w:t>
      </w:r>
    </w:p>
    <w:p w14:paraId="38323CD5"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导出记录中，工程效率、资源回收和扰动控制模式的有效候选数分别为</w:t>
      </w:r>
      <w:r>
        <w:t>2417</w:t>
      </w:r>
      <w:r>
        <w:t>、</w:t>
      </w:r>
      <w:r>
        <w:t>1149</w:t>
      </w:r>
      <w:r>
        <w:t>和</w:t>
      </w:r>
      <w:r>
        <w:t>374</w:t>
      </w:r>
      <w:r>
        <w:t>，</w:t>
      </w:r>
      <w:r>
        <w:lastRenderedPageBreak/>
        <w:t>其中扰动控制模式合格候选数为</w:t>
      </w:r>
      <w:r>
        <w:t>88</w:t>
      </w:r>
      <w:r>
        <w:t>。该设置可支撑方法内部有效性判断，但不能替代真实人工经验方案与本文方法之间的外部工程对照。</w:t>
      </w:r>
    </w:p>
    <w:p w14:paraId="7A5485E7" w14:textId="77777777" w:rsidR="00DE4743" w:rsidRPr="00DE4743" w:rsidRDefault="00DE4743" w:rsidP="00DE4743">
      <w:pPr>
        <w:pStyle w:val="10"/>
        <w:spacing w:after="40"/>
        <w:ind w:firstLine="360"/>
        <w:rPr>
          <w:rFonts w:ascii="宋体" w:hAnsi="宋体"/>
        </w:rPr>
      </w:pPr>
      <w:r>
        <w:rPr>
          <w:sz w:val="18"/>
        </w:rPr>
        <w:t>表</w:t>
      </w:r>
      <w:r>
        <w:rPr>
          <w:sz w:val="18"/>
        </w:rPr>
        <w:t>3</w:t>
      </w:r>
      <w:r>
        <w:rPr>
          <w:sz w:val="18"/>
        </w:rPr>
        <w:t>列出了当前已复核的候选方案。工程效率优先方案</w:t>
      </w:r>
      <w:r>
        <w:rPr>
          <w:sz w:val="18"/>
        </w:rPr>
        <w:t>A</w:t>
      </w:r>
      <w:r>
        <w:rPr>
          <w:sz w:val="18"/>
        </w:rPr>
        <w:t>来自</w:t>
      </w:r>
      <w:r>
        <w:rPr>
          <w:sz w:val="18"/>
        </w:rPr>
        <w:t>efficiency</w:t>
      </w:r>
      <w:r>
        <w:rPr>
          <w:sz w:val="18"/>
        </w:rPr>
        <w:t>模式，覆盖率为</w:t>
      </w:r>
      <w:r>
        <w:rPr>
          <w:sz w:val="18"/>
        </w:rPr>
        <w:t>89.34%</w:t>
      </w:r>
      <w:r>
        <w:rPr>
          <w:sz w:val="18"/>
        </w:rPr>
        <w:t>，工程效率分项评分为</w:t>
      </w:r>
      <w:r>
        <w:rPr>
          <w:sz w:val="18"/>
        </w:rPr>
        <w:t>87.82</w:t>
      </w:r>
      <w:r>
        <w:rPr>
          <w:sz w:val="18"/>
        </w:rPr>
        <w:t>；资源回收优先方案</w:t>
      </w:r>
      <w:r>
        <w:rPr>
          <w:sz w:val="18"/>
        </w:rPr>
        <w:t>B</w:t>
      </w:r>
      <w:r>
        <w:rPr>
          <w:sz w:val="18"/>
        </w:rPr>
        <w:t>来自</w:t>
      </w:r>
      <w:r>
        <w:rPr>
          <w:sz w:val="18"/>
        </w:rPr>
        <w:t>recovery</w:t>
      </w:r>
      <w:r>
        <w:rPr>
          <w:sz w:val="18"/>
        </w:rPr>
        <w:t>模式，覆盖率为</w:t>
      </w:r>
      <w:r>
        <w:rPr>
          <w:sz w:val="18"/>
        </w:rPr>
        <w:t>98.52%</w:t>
      </w:r>
      <w:r>
        <w:rPr>
          <w:sz w:val="18"/>
        </w:rPr>
        <w:t>，资源回收分项评分为</w:t>
      </w:r>
      <w:r>
        <w:rPr>
          <w:sz w:val="18"/>
        </w:rPr>
        <w:t>89.76</w:t>
      </w:r>
      <w:r>
        <w:rPr>
          <w:sz w:val="18"/>
        </w:rPr>
        <w:t>；</w:t>
      </w:r>
      <w:r>
        <w:rPr>
          <w:sz w:val="18"/>
        </w:rPr>
        <w:t>ODI</w:t>
      </w:r>
      <w:r>
        <w:rPr>
          <w:sz w:val="18"/>
        </w:rPr>
        <w:t>筛选方案</w:t>
      </w:r>
      <w:r>
        <w:rPr>
          <w:sz w:val="18"/>
        </w:rPr>
        <w:t>C</w:t>
      </w:r>
      <w:r>
        <w:rPr>
          <w:sz w:val="18"/>
        </w:rPr>
        <w:t>来自统一候选集合复核，覆盖率为</w:t>
      </w:r>
      <w:r>
        <w:rPr>
          <w:sz w:val="18"/>
        </w:rPr>
        <w:t>80.67%</w:t>
      </w:r>
      <w:r>
        <w:rPr>
          <w:sz w:val="18"/>
        </w:rPr>
        <w:t>，工程效率分项评分为</w:t>
      </w:r>
      <w:r>
        <w:rPr>
          <w:sz w:val="18"/>
        </w:rPr>
        <w:t>79.27</w:t>
      </w:r>
      <w:r>
        <w:rPr>
          <w:sz w:val="18"/>
        </w:rPr>
        <w:t>，</w:t>
      </w:r>
      <w:r>
        <w:rPr>
          <w:sz w:val="18"/>
        </w:rPr>
        <w:t>ODI</w:t>
      </w:r>
      <w:r>
        <w:rPr>
          <w:sz w:val="18"/>
        </w:rPr>
        <w:t>均值为</w:t>
      </w:r>
      <w:r>
        <w:rPr>
          <w:sz w:val="18"/>
        </w:rPr>
        <w:t>0.4416</w:t>
      </w:r>
      <w:r>
        <w:rPr>
          <w:sz w:val="18"/>
        </w:rPr>
        <w:t>，</w:t>
      </w:r>
      <w:r>
        <w:rPr>
          <w:sz w:val="18"/>
        </w:rPr>
        <w:t>P90</w:t>
      </w:r>
      <w:r>
        <w:rPr>
          <w:sz w:val="18"/>
        </w:rPr>
        <w:t>为</w:t>
      </w:r>
      <w:r>
        <w:rPr>
          <w:sz w:val="18"/>
        </w:rPr>
        <w:t>0.6353</w:t>
      </w:r>
      <w:r>
        <w:rPr>
          <w:sz w:val="18"/>
        </w:rPr>
        <w:t>，</w:t>
      </w:r>
      <w:r>
        <w:rPr>
          <w:sz w:val="18"/>
        </w:rPr>
        <w:t>ODI&gt;0.70</w:t>
      </w:r>
      <w:r>
        <w:rPr>
          <w:sz w:val="18"/>
        </w:rPr>
        <w:t>比例为</w:t>
      </w:r>
      <w:r>
        <w:rPr>
          <w:sz w:val="18"/>
        </w:rPr>
        <w:t>1.22%</w:t>
      </w:r>
      <w:r>
        <w:rPr>
          <w:sz w:val="18"/>
        </w:rPr>
        <w:t>。需要指出，本文对低扰动候选的判定并非依据单一阈值下的超限比例最小，而是依据</w:t>
      </w:r>
      <w:r>
        <w:rPr>
          <w:sz w:val="18"/>
        </w:rPr>
        <w:t>ODI</w:t>
      </w:r>
      <w:r>
        <w:rPr>
          <w:sz w:val="18"/>
        </w:rPr>
        <w:t>均值、</w:t>
      </w:r>
      <w:r>
        <w:rPr>
          <w:sz w:val="18"/>
        </w:rPr>
        <w:t>P90</w:t>
      </w:r>
      <w:r>
        <w:rPr>
          <w:sz w:val="18"/>
        </w:rPr>
        <w:t>与风险综合得分的联合判据。</w:t>
      </w:r>
    </w:p>
    <w:p w14:paraId="17A1D68C" w14:textId="77777777" w:rsidR="00DE4743" w:rsidRPr="00DE4743"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收益取舍。旧</w:t>
      </w:r>
      <w:r>
        <w:t>disturbance</w:t>
      </w:r>
      <w:r>
        <w:t>保存结果中的候选</w:t>
      </w:r>
      <w:r>
        <w:t>C_old</w:t>
      </w:r>
      <w:r>
        <w:t>在统一</w:t>
      </w:r>
      <w:r>
        <w:t>ODI</w:t>
      </w:r>
      <w:r>
        <w:t>场下均值为</w:t>
      </w:r>
      <w:r>
        <w:t>0.4560</w:t>
      </w:r>
      <w:r>
        <w:t>、</w:t>
      </w:r>
      <w:r>
        <w:t>P90</w:t>
      </w:r>
      <w:r>
        <w:t>为</w:t>
      </w:r>
      <w:r>
        <w:t>0.6472</w:t>
      </w:r>
      <w:r>
        <w:t>，不作为统一口径下的</w:t>
      </w:r>
      <w:r>
        <w:t>ODI</w:t>
      </w:r>
      <w:r>
        <w:t>筛选方案。</w:t>
      </w:r>
    </w:p>
    <w:p w14:paraId="36B0746E" w14:textId="77777777"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方案覆盖率最高且资源回收评分较高，说明连续参数场推动方案向资源富集区域扩展；</w:t>
      </w:r>
      <w:r>
        <w:t>C</w:t>
      </w:r>
      <w:r>
        <w:t>方案覆盖率较低，且在</w:t>
      </w:r>
      <w:r>
        <w:t>T_ODI=0.70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方案，说明联合判据下总体扰动暴露较低。该结果符合采区规划中资源利用与风险控制相互制约的工程常识，也说明本文方法能够将图层风险差异转化为方案级统计证据。</w:t>
      </w:r>
    </w:p>
    <w:p w14:paraId="2A6F62F3" w14:textId="77777777" w:rsidR="00D007CE" w:rsidRDefault="00A249E2">
      <w:pPr>
        <w:pStyle w:val="15"/>
      </w:pPr>
      <w:r>
        <w:t>表</w:t>
      </w:r>
      <w:r>
        <w:t xml:space="preserve">3 </w:t>
      </w:r>
      <w:r>
        <w:t>候选方案对比与数据复核状态（低扰动判定基于</w:t>
      </w:r>
      <w:r>
        <w:t>ODI</w:t>
      </w:r>
      <w:r>
        <w:t>均值、</w:t>
      </w:r>
      <w:r>
        <w:t>P90</w:t>
      </w:r>
      <w:r>
        <w:t>和风险综合得分联合判据）</w:t>
      </w:r>
      <w:r>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1BAF80C" w14:textId="77777777" w:rsidTr="006A6807">
        <w:trPr>
          <w:jc w:val="center"/>
        </w:trPr>
        <w:tc>
          <w:tcPr>
            <w:tcW w:w="557" w:type="pct"/>
            <w:tcBorders>
              <w:top w:val="single" w:sz="8" w:space="0" w:color="000000"/>
              <w:bottom w:val="single" w:sz="6" w:space="0" w:color="000000"/>
            </w:tcBorders>
            <w:vAlign w:val="center"/>
          </w:tcPr>
          <w:p w14:paraId="0E33C698" w14:textId="77777777" w:rsidR="00390073" w:rsidRDefault="005E44A0">
            <w:r>
              <w:rPr>
                <w:sz w:val="14"/>
              </w:rPr>
              <w:t>方案</w:t>
            </w:r>
          </w:p>
        </w:tc>
        <w:tc>
          <w:tcPr>
            <w:tcW w:w="1107" w:type="pct"/>
            <w:tcBorders>
              <w:top w:val="single" w:sz="8" w:space="0" w:color="000000"/>
              <w:bottom w:val="single" w:sz="6" w:space="0" w:color="000000"/>
            </w:tcBorders>
            <w:vAlign w:val="center"/>
          </w:tcPr>
          <w:p w14:paraId="73565F2D" w14:textId="77777777" w:rsidR="00390073" w:rsidRDefault="005E44A0">
            <w:r>
              <w:rPr>
                <w:sz w:val="14"/>
              </w:rPr>
              <w:t>来源</w:t>
            </w:r>
            <w:r>
              <w:rPr>
                <w:sz w:val="14"/>
              </w:rPr>
              <w:t>/</w:t>
            </w:r>
            <w:r>
              <w:rPr>
                <w:sz w:val="14"/>
              </w:rPr>
              <w:t>含义</w:t>
            </w:r>
          </w:p>
        </w:tc>
        <w:tc>
          <w:tcPr>
            <w:tcW w:w="918" w:type="pct"/>
            <w:tcBorders>
              <w:top w:val="single" w:sz="8" w:space="0" w:color="000000"/>
              <w:bottom w:val="single" w:sz="6" w:space="0" w:color="000000"/>
            </w:tcBorders>
            <w:vAlign w:val="center"/>
          </w:tcPr>
          <w:p w14:paraId="538E36C2" w14:textId="77777777" w:rsidR="00390073" w:rsidRDefault="005E44A0">
            <w:r>
              <w:rPr>
                <w:sz w:val="14"/>
              </w:rPr>
              <w:t>关键指标</w:t>
            </w:r>
          </w:p>
        </w:tc>
        <w:tc>
          <w:tcPr>
            <w:tcW w:w="1139" w:type="pct"/>
            <w:tcBorders>
              <w:top w:val="single" w:sz="8" w:space="0" w:color="000000"/>
              <w:bottom w:val="single" w:sz="6" w:space="0" w:color="000000"/>
            </w:tcBorders>
            <w:vAlign w:val="center"/>
          </w:tcPr>
          <w:p w14:paraId="11D7A298" w14:textId="77777777" w:rsidR="00390073" w:rsidRDefault="005E44A0">
            <w:r>
              <w:rPr>
                <w:sz w:val="14"/>
              </w:rPr>
              <w:t>ODI</w:t>
            </w:r>
            <w:r>
              <w:rPr>
                <w:sz w:val="14"/>
              </w:rPr>
              <w:t>统计</w:t>
            </w:r>
          </w:p>
        </w:tc>
        <w:tc>
          <w:tcPr>
            <w:tcW w:w="1280" w:type="pct"/>
            <w:tcBorders>
              <w:top w:val="single" w:sz="8" w:space="0" w:color="000000"/>
              <w:bottom w:val="single" w:sz="6" w:space="0" w:color="000000"/>
            </w:tcBorders>
            <w:vAlign w:val="center"/>
          </w:tcPr>
          <w:p w14:paraId="18856D33" w14:textId="77777777" w:rsidR="00390073" w:rsidRDefault="005E44A0">
            <w:r>
              <w:rPr>
                <w:sz w:val="14"/>
              </w:rPr>
              <w:t>复核状态</w:t>
            </w:r>
          </w:p>
        </w:tc>
      </w:tr>
      <w:tr w:rsidR="00D007CE" w:rsidRPr="006A6807" w14:paraId="3E08EFDD" w14:textId="77777777" w:rsidTr="006A6807">
        <w:trPr>
          <w:jc w:val="center"/>
        </w:trPr>
        <w:tc>
          <w:tcPr>
            <w:tcW w:w="557" w:type="pct"/>
            <w:vAlign w:val="center"/>
          </w:tcPr>
          <w:p w14:paraId="0CCAB8E2" w14:textId="77777777" w:rsidR="00390073" w:rsidRDefault="005E44A0">
            <w:r>
              <w:rPr>
                <w:sz w:val="14"/>
              </w:rPr>
              <w:t>A</w:t>
            </w:r>
          </w:p>
        </w:tc>
        <w:tc>
          <w:tcPr>
            <w:tcW w:w="1107" w:type="pct"/>
            <w:vAlign w:val="center"/>
          </w:tcPr>
          <w:p w14:paraId="58236561" w14:textId="77777777" w:rsidR="00390073" w:rsidRDefault="005E44A0">
            <w:r>
              <w:rPr>
                <w:sz w:val="14"/>
              </w:rPr>
              <w:t>efficiency</w:t>
            </w:r>
            <w:r>
              <w:rPr>
                <w:sz w:val="14"/>
              </w:rPr>
              <w:t>；工程效率优先</w:t>
            </w:r>
          </w:p>
        </w:tc>
        <w:tc>
          <w:tcPr>
            <w:tcW w:w="918" w:type="pct"/>
            <w:vAlign w:val="center"/>
          </w:tcPr>
          <w:p w14:paraId="60F52BAE" w14:textId="77777777" w:rsidR="00390073" w:rsidRDefault="005E44A0">
            <w:r>
              <w:rPr>
                <w:sz w:val="14"/>
              </w:rPr>
              <w:t>工作面</w:t>
            </w:r>
            <w:r>
              <w:rPr>
                <w:sz w:val="14"/>
              </w:rPr>
              <w:t>5</w:t>
            </w:r>
            <w:r>
              <w:rPr>
                <w:sz w:val="14"/>
              </w:rPr>
              <w:t>个；覆盖率</w:t>
            </w:r>
            <w:r>
              <w:rPr>
                <w:sz w:val="14"/>
              </w:rPr>
              <w:t>89.34%</w:t>
            </w:r>
            <w:r>
              <w:rPr>
                <w:sz w:val="14"/>
              </w:rPr>
              <w:t>；工程效率评分</w:t>
            </w:r>
            <w:r>
              <w:rPr>
                <w:sz w:val="14"/>
              </w:rPr>
              <w:t>87.82</w:t>
            </w:r>
          </w:p>
        </w:tc>
        <w:tc>
          <w:tcPr>
            <w:tcW w:w="1139" w:type="pct"/>
            <w:vAlign w:val="center"/>
          </w:tcPr>
          <w:p w14:paraId="38998C33" w14:textId="77777777" w:rsidR="00390073" w:rsidRDefault="005E44A0">
            <w:r>
              <w:rPr>
                <w:sz w:val="14"/>
              </w:rPr>
              <w:t>均值</w:t>
            </w:r>
            <w:r>
              <w:rPr>
                <w:sz w:val="14"/>
              </w:rPr>
              <w:t>0.4463</w:t>
            </w:r>
            <w:r>
              <w:rPr>
                <w:sz w:val="14"/>
              </w:rPr>
              <w:t>；</w:t>
            </w:r>
            <w:r>
              <w:rPr>
                <w:sz w:val="14"/>
              </w:rPr>
              <w:t>P90=0.6407</w:t>
            </w:r>
            <w:r>
              <w:rPr>
                <w:sz w:val="14"/>
              </w:rPr>
              <w:t>；</w:t>
            </w:r>
            <w:r>
              <w:rPr>
                <w:sz w:val="14"/>
              </w:rPr>
              <w:t>ODI&gt;0.70</w:t>
            </w:r>
            <w:r>
              <w:rPr>
                <w:sz w:val="14"/>
              </w:rPr>
              <w:t>为</w:t>
            </w:r>
            <w:r>
              <w:rPr>
                <w:sz w:val="14"/>
              </w:rPr>
              <w:t>0.44%</w:t>
            </w:r>
          </w:p>
        </w:tc>
        <w:tc>
          <w:tcPr>
            <w:tcW w:w="1280" w:type="pct"/>
            <w:vAlign w:val="center"/>
          </w:tcPr>
          <w:p w14:paraId="75A46022" w14:textId="77777777" w:rsidR="00390073" w:rsidRDefault="005E44A0">
            <w:r>
              <w:rPr>
                <w:sz w:val="14"/>
              </w:rPr>
              <w:t>统一</w:t>
            </w:r>
            <w:r>
              <w:rPr>
                <w:sz w:val="14"/>
              </w:rPr>
              <w:t>ODI</w:t>
            </w:r>
            <w:r>
              <w:rPr>
                <w:sz w:val="14"/>
              </w:rPr>
              <w:t>场已复核；</w:t>
            </w:r>
            <w:r>
              <w:rPr>
                <w:sz w:val="14"/>
              </w:rPr>
              <w:t>A</w:t>
            </w:r>
            <w:r>
              <w:rPr>
                <w:sz w:val="14"/>
              </w:rPr>
              <w:t>按工程效率分项排序</w:t>
            </w:r>
          </w:p>
        </w:tc>
      </w:tr>
      <w:tr w:rsidR="00D007CE" w:rsidRPr="006A6807" w14:paraId="58049680" w14:textId="77777777" w:rsidTr="006A6807">
        <w:trPr>
          <w:jc w:val="center"/>
        </w:trPr>
        <w:tc>
          <w:tcPr>
            <w:tcW w:w="557" w:type="pct"/>
            <w:vAlign w:val="center"/>
          </w:tcPr>
          <w:p w14:paraId="77E6C055" w14:textId="77777777" w:rsidR="00390073" w:rsidRDefault="005E44A0">
            <w:r>
              <w:rPr>
                <w:sz w:val="14"/>
              </w:rPr>
              <w:t>B</w:t>
            </w:r>
          </w:p>
        </w:tc>
        <w:tc>
          <w:tcPr>
            <w:tcW w:w="1107" w:type="pct"/>
            <w:vAlign w:val="center"/>
          </w:tcPr>
          <w:p w14:paraId="6A6D6EEB" w14:textId="77777777" w:rsidR="00390073" w:rsidRDefault="005E44A0">
            <w:r>
              <w:rPr>
                <w:sz w:val="14"/>
              </w:rPr>
              <w:t>recovery</w:t>
            </w:r>
            <w:r>
              <w:rPr>
                <w:sz w:val="14"/>
              </w:rPr>
              <w:t>；资源回收优先</w:t>
            </w:r>
          </w:p>
        </w:tc>
        <w:tc>
          <w:tcPr>
            <w:tcW w:w="918" w:type="pct"/>
            <w:vAlign w:val="center"/>
          </w:tcPr>
          <w:p w14:paraId="034518E6" w14:textId="77777777" w:rsidR="00390073" w:rsidRDefault="005E44A0">
            <w:r>
              <w:rPr>
                <w:sz w:val="14"/>
              </w:rPr>
              <w:t>工作面</w:t>
            </w:r>
            <w:r>
              <w:rPr>
                <w:sz w:val="14"/>
              </w:rPr>
              <w:t>9</w:t>
            </w:r>
            <w:r>
              <w:rPr>
                <w:sz w:val="14"/>
              </w:rPr>
              <w:t>个；覆盖率</w:t>
            </w:r>
            <w:r>
              <w:rPr>
                <w:sz w:val="14"/>
              </w:rPr>
              <w:t>98.52%</w:t>
            </w:r>
            <w:r>
              <w:rPr>
                <w:sz w:val="14"/>
              </w:rPr>
              <w:t>；资源回收评分</w:t>
            </w:r>
            <w:r>
              <w:rPr>
                <w:sz w:val="14"/>
              </w:rPr>
              <w:t>89.76</w:t>
            </w:r>
          </w:p>
        </w:tc>
        <w:tc>
          <w:tcPr>
            <w:tcW w:w="1139" w:type="pct"/>
            <w:vAlign w:val="center"/>
          </w:tcPr>
          <w:p w14:paraId="0CD8D5C6" w14:textId="77777777" w:rsidR="00390073" w:rsidRDefault="005E44A0">
            <w:r>
              <w:rPr>
                <w:sz w:val="14"/>
              </w:rPr>
              <w:t>均值</w:t>
            </w:r>
            <w:r>
              <w:rPr>
                <w:sz w:val="14"/>
              </w:rPr>
              <w:t>0.4552</w:t>
            </w:r>
            <w:r>
              <w:rPr>
                <w:sz w:val="14"/>
              </w:rPr>
              <w:t>；</w:t>
            </w:r>
            <w:r>
              <w:rPr>
                <w:sz w:val="14"/>
              </w:rPr>
              <w:t>P90=0.6462</w:t>
            </w:r>
            <w:r>
              <w:rPr>
                <w:sz w:val="14"/>
              </w:rPr>
              <w:t>；</w:t>
            </w:r>
            <w:r>
              <w:rPr>
                <w:sz w:val="14"/>
              </w:rPr>
              <w:t>ODI&gt;0.70</w:t>
            </w:r>
            <w:r>
              <w:rPr>
                <w:sz w:val="14"/>
              </w:rPr>
              <w:t>为</w:t>
            </w:r>
            <w:r>
              <w:rPr>
                <w:sz w:val="14"/>
              </w:rPr>
              <w:t>0.56%</w:t>
            </w:r>
          </w:p>
        </w:tc>
        <w:tc>
          <w:tcPr>
            <w:tcW w:w="1280" w:type="pct"/>
            <w:vAlign w:val="center"/>
          </w:tcPr>
          <w:p w14:paraId="758DB278" w14:textId="77777777" w:rsidR="00390073" w:rsidRDefault="005E44A0">
            <w:r>
              <w:rPr>
                <w:sz w:val="14"/>
              </w:rPr>
              <w:t>统一</w:t>
            </w:r>
            <w:r>
              <w:rPr>
                <w:sz w:val="14"/>
              </w:rPr>
              <w:t>ODI</w:t>
            </w:r>
            <w:r>
              <w:rPr>
                <w:sz w:val="14"/>
              </w:rPr>
              <w:t>场已复核；</w:t>
            </w:r>
            <w:r>
              <w:rPr>
                <w:sz w:val="14"/>
              </w:rPr>
              <w:t>B</w:t>
            </w:r>
            <w:r>
              <w:rPr>
                <w:sz w:val="14"/>
              </w:rPr>
              <w:t>按资源回收分项排序</w:t>
            </w:r>
          </w:p>
        </w:tc>
      </w:tr>
      <w:tr w:rsidR="00D007CE" w:rsidRPr="006A6807" w14:paraId="274D2B75" w14:textId="77777777" w:rsidTr="006A6807">
        <w:trPr>
          <w:jc w:val="center"/>
        </w:trPr>
        <w:tc>
          <w:tcPr>
            <w:tcW w:w="557" w:type="pct"/>
            <w:vAlign w:val="center"/>
          </w:tcPr>
          <w:p w14:paraId="430E933A" w14:textId="77777777" w:rsidR="00390073" w:rsidRDefault="005E44A0">
            <w:r>
              <w:rPr>
                <w:sz w:val="14"/>
              </w:rPr>
              <w:t>C</w:t>
            </w:r>
          </w:p>
        </w:tc>
        <w:tc>
          <w:tcPr>
            <w:tcW w:w="1107" w:type="pct"/>
            <w:vAlign w:val="center"/>
          </w:tcPr>
          <w:p w14:paraId="2132F309" w14:textId="77777777" w:rsidR="00390073" w:rsidRDefault="005E44A0">
            <w:r>
              <w:rPr>
                <w:sz w:val="14"/>
              </w:rPr>
              <w:t>统一</w:t>
            </w:r>
            <w:r>
              <w:rPr>
                <w:sz w:val="14"/>
              </w:rPr>
              <w:t>ODI</w:t>
            </w:r>
            <w:r>
              <w:rPr>
                <w:sz w:val="14"/>
              </w:rPr>
              <w:t>筛选；联合判据下低扰动候选</w:t>
            </w:r>
          </w:p>
        </w:tc>
        <w:tc>
          <w:tcPr>
            <w:tcW w:w="918" w:type="pct"/>
            <w:vAlign w:val="center"/>
          </w:tcPr>
          <w:p w14:paraId="3AA26761" w14:textId="77777777" w:rsidR="00390073" w:rsidRDefault="005E44A0">
            <w:r>
              <w:rPr>
                <w:sz w:val="14"/>
              </w:rPr>
              <w:t>工作面</w:t>
            </w:r>
            <w:r>
              <w:rPr>
                <w:sz w:val="14"/>
              </w:rPr>
              <w:t>4</w:t>
            </w:r>
            <w:r>
              <w:rPr>
                <w:sz w:val="14"/>
              </w:rPr>
              <w:t>个；覆盖率</w:t>
            </w:r>
            <w:r>
              <w:rPr>
                <w:sz w:val="14"/>
              </w:rPr>
              <w:t>80.67%</w:t>
            </w:r>
            <w:r>
              <w:rPr>
                <w:sz w:val="14"/>
              </w:rPr>
              <w:t>；工程效率评分</w:t>
            </w:r>
            <w:r>
              <w:rPr>
                <w:sz w:val="14"/>
              </w:rPr>
              <w:t>79.27</w:t>
            </w:r>
          </w:p>
        </w:tc>
        <w:tc>
          <w:tcPr>
            <w:tcW w:w="1139" w:type="pct"/>
            <w:vAlign w:val="center"/>
          </w:tcPr>
          <w:p w14:paraId="0364B62E" w14:textId="77777777" w:rsidR="00390073" w:rsidRDefault="005E44A0">
            <w:r>
              <w:rPr>
                <w:sz w:val="14"/>
              </w:rPr>
              <w:t>均值</w:t>
            </w:r>
            <w:r>
              <w:rPr>
                <w:sz w:val="14"/>
              </w:rPr>
              <w:t>0.4416</w:t>
            </w:r>
            <w:r>
              <w:rPr>
                <w:sz w:val="14"/>
              </w:rPr>
              <w:t>；</w:t>
            </w:r>
            <w:r>
              <w:rPr>
                <w:sz w:val="14"/>
              </w:rPr>
              <w:t>P90=0.6353</w:t>
            </w:r>
            <w:r>
              <w:rPr>
                <w:sz w:val="14"/>
              </w:rPr>
              <w:t>；</w:t>
            </w:r>
            <w:r>
              <w:rPr>
                <w:sz w:val="14"/>
              </w:rPr>
              <w:t>ODI&gt;0.70</w:t>
            </w:r>
            <w:r>
              <w:rPr>
                <w:sz w:val="14"/>
              </w:rPr>
              <w:t>为</w:t>
            </w:r>
            <w:r>
              <w:rPr>
                <w:sz w:val="14"/>
              </w:rPr>
              <w:t>1.22%</w:t>
            </w:r>
          </w:p>
        </w:tc>
        <w:tc>
          <w:tcPr>
            <w:tcW w:w="1280" w:type="pct"/>
            <w:vAlign w:val="center"/>
          </w:tcPr>
          <w:p w14:paraId="49ADB031" w14:textId="77777777" w:rsidR="00390073" w:rsidRDefault="005E44A0">
            <w:r>
              <w:rPr>
                <w:sz w:val="14"/>
              </w:rPr>
              <w:t>联合判据下低扰动较优</w:t>
            </w:r>
          </w:p>
        </w:tc>
      </w:tr>
      <w:tr w:rsidR="00D007CE" w:rsidRPr="006A6807" w14:paraId="5388A53C" w14:textId="77777777" w:rsidTr="006A6807">
        <w:trPr>
          <w:jc w:val="center"/>
        </w:trPr>
        <w:tc>
          <w:tcPr>
            <w:tcW w:w="557" w:type="pct"/>
            <w:vAlign w:val="center"/>
          </w:tcPr>
          <w:p w14:paraId="5688F14F" w14:textId="77777777" w:rsidR="00390073" w:rsidRDefault="005E44A0">
            <w:r>
              <w:rPr>
                <w:sz w:val="14"/>
              </w:rPr>
              <w:t>C_old</w:t>
            </w:r>
          </w:p>
        </w:tc>
        <w:tc>
          <w:tcPr>
            <w:tcW w:w="1107" w:type="pct"/>
            <w:vAlign w:val="center"/>
          </w:tcPr>
          <w:p w14:paraId="5E9E3A51" w14:textId="77777777" w:rsidR="00390073" w:rsidRDefault="005E44A0">
            <w:r>
              <w:rPr>
                <w:sz w:val="14"/>
              </w:rPr>
              <w:t>旧</w:t>
            </w:r>
            <w:r>
              <w:rPr>
                <w:sz w:val="14"/>
              </w:rPr>
              <w:t>disturbance</w:t>
            </w:r>
            <w:r>
              <w:rPr>
                <w:sz w:val="14"/>
              </w:rPr>
              <w:t>保存候选</w:t>
            </w:r>
          </w:p>
        </w:tc>
        <w:tc>
          <w:tcPr>
            <w:tcW w:w="918" w:type="pct"/>
            <w:vAlign w:val="center"/>
          </w:tcPr>
          <w:p w14:paraId="77300E5D" w14:textId="77777777" w:rsidR="00390073" w:rsidRDefault="005E44A0">
            <w:r>
              <w:rPr>
                <w:sz w:val="14"/>
              </w:rPr>
              <w:t>工作面</w:t>
            </w:r>
            <w:r>
              <w:rPr>
                <w:sz w:val="14"/>
              </w:rPr>
              <w:t>13</w:t>
            </w:r>
            <w:r>
              <w:rPr>
                <w:sz w:val="14"/>
              </w:rPr>
              <w:t>个；覆盖率</w:t>
            </w:r>
            <w:r>
              <w:rPr>
                <w:sz w:val="14"/>
              </w:rPr>
              <w:t>75.06%</w:t>
            </w:r>
            <w:r>
              <w:rPr>
                <w:sz w:val="14"/>
              </w:rPr>
              <w:t>；工程效率评分</w:t>
            </w:r>
            <w:r>
              <w:rPr>
                <w:sz w:val="14"/>
              </w:rPr>
              <w:t>71.17</w:t>
            </w:r>
          </w:p>
        </w:tc>
        <w:tc>
          <w:tcPr>
            <w:tcW w:w="1139" w:type="pct"/>
            <w:vAlign w:val="center"/>
          </w:tcPr>
          <w:p w14:paraId="09A3F6EE" w14:textId="77777777" w:rsidR="00390073" w:rsidRDefault="005E44A0">
            <w:r>
              <w:rPr>
                <w:sz w:val="14"/>
              </w:rPr>
              <w:t>均值</w:t>
            </w:r>
            <w:r>
              <w:rPr>
                <w:sz w:val="14"/>
              </w:rPr>
              <w:t>0.4560</w:t>
            </w:r>
            <w:r>
              <w:rPr>
                <w:sz w:val="14"/>
              </w:rPr>
              <w:t>；</w:t>
            </w:r>
            <w:r>
              <w:rPr>
                <w:sz w:val="14"/>
              </w:rPr>
              <w:t>P90=0.6472</w:t>
            </w:r>
            <w:r>
              <w:rPr>
                <w:sz w:val="14"/>
              </w:rPr>
              <w:t>；</w:t>
            </w:r>
            <w:r>
              <w:rPr>
                <w:sz w:val="14"/>
              </w:rPr>
              <w:t>ODI&gt;0.70</w:t>
            </w:r>
            <w:r>
              <w:rPr>
                <w:sz w:val="14"/>
              </w:rPr>
              <w:t>为</w:t>
            </w:r>
            <w:r>
              <w:rPr>
                <w:sz w:val="14"/>
              </w:rPr>
              <w:t>0.80%</w:t>
            </w:r>
          </w:p>
        </w:tc>
        <w:tc>
          <w:tcPr>
            <w:tcW w:w="1280" w:type="pct"/>
            <w:vAlign w:val="center"/>
          </w:tcPr>
          <w:p w14:paraId="7244C6B9" w14:textId="77777777" w:rsidR="00390073" w:rsidRDefault="005E44A0">
            <w:r>
              <w:rPr>
                <w:sz w:val="14"/>
              </w:rPr>
              <w:t>旧口径候选，不作为本文</w:t>
            </w:r>
            <w:r>
              <w:rPr>
                <w:sz w:val="14"/>
              </w:rPr>
              <w:t>C</w:t>
            </w:r>
            <w:r>
              <w:rPr>
                <w:sz w:val="14"/>
              </w:rPr>
              <w:t>方案</w:t>
            </w:r>
          </w:p>
        </w:tc>
      </w:tr>
    </w:tbl>
    <w:p w14:paraId="3C37DCB8" w14:textId="77777777" w:rsidR="00A046E0" w:rsidRDefault="00A046E0" w:rsidP="00A046E0">
      <w:pPr>
        <w:spacing w:after="40"/>
        <w:rPr>
          <w:rFonts w:ascii="宋体" w:hAnsi="宋体"/>
        </w:rPr>
      </w:pPr>
    </w:p>
    <w:p w14:paraId="461B443A" w14:textId="77777777" w:rsidR="00DE4743" w:rsidRPr="00DE4743" w:rsidRDefault="00DE4743" w:rsidP="00A046E0">
      <w:pPr>
        <w:pStyle w:val="12"/>
      </w:pPr>
      <w:r>
        <w:rPr>
          <w:sz w:val="21"/>
        </w:rPr>
        <w:t xml:space="preserve">3.2 </w:t>
      </w:r>
      <w:r>
        <w:rPr>
          <w:sz w:val="21"/>
        </w:rPr>
        <w:t>阈值与权重敏感性分析</w:t>
      </w:r>
    </w:p>
    <w:p w14:paraId="1F15468E"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r>
        <w:t>四组阈值下统计</w:t>
      </w:r>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E407521"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9DA27A9"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w:t>
      </w:r>
      <w:r>
        <w:lastRenderedPageBreak/>
        <w:t>适工程常数属性。因此，本文把敏感性分析作为方案排序可靠性的内部校核，用于回应权重和阈值人为设定可能导致结论波动的问题。</w:t>
      </w:r>
    </w:p>
    <w:p w14:paraId="213072D6"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5AB2398F"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栅格统计，但仍不宜把单一样例结果表述为真实矿井条件下的最终优选结论。</w:t>
      </w:r>
    </w:p>
    <w:p w14:paraId="0256F72C"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r>
        <w:t>风险场和候选方案对象可在同一口径下计算与比较，并揭示不同目标偏好下的风险</w:t>
      </w:r>
      <w:r>
        <w:t>-</w:t>
      </w:r>
      <w:r>
        <w:t>收益权衡；但尚不能替代真实矿井条件下的人工经验方案对照、现场生产约束闭环和开采后实测反馈校核。</w:t>
      </w:r>
    </w:p>
    <w:p w14:paraId="5D550CC1"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557"/>
        <w:gridCol w:w="1797"/>
        <w:gridCol w:w="2025"/>
        <w:gridCol w:w="3228"/>
        <w:gridCol w:w="2051"/>
      </w:tblGrid>
      <w:tr w:rsidR="00D007CE" w:rsidRPr="006A6807" w14:paraId="175FDD07" w14:textId="77777777" w:rsidTr="006A6807">
        <w:trPr>
          <w:jc w:val="center"/>
        </w:trPr>
        <w:tc>
          <w:tcPr>
            <w:tcW w:w="585" w:type="pct"/>
            <w:tcBorders>
              <w:top w:val="single" w:sz="8" w:space="0" w:color="000000"/>
              <w:bottom w:val="single" w:sz="6" w:space="0" w:color="000000"/>
            </w:tcBorders>
            <w:vAlign w:val="center"/>
          </w:tcPr>
          <w:p w14:paraId="22D723AE" w14:textId="77777777" w:rsidR="00390073" w:rsidRDefault="005E44A0">
            <w:r>
              <w:rPr>
                <w:sz w:val="14"/>
              </w:rPr>
              <w:t>项目</w:t>
            </w:r>
          </w:p>
        </w:tc>
        <w:tc>
          <w:tcPr>
            <w:tcW w:w="1227" w:type="pct"/>
            <w:tcBorders>
              <w:top w:val="single" w:sz="8" w:space="0" w:color="000000"/>
              <w:bottom w:val="single" w:sz="6" w:space="0" w:color="000000"/>
            </w:tcBorders>
            <w:vAlign w:val="center"/>
          </w:tcPr>
          <w:p w14:paraId="32809358" w14:textId="77777777" w:rsidR="00390073" w:rsidRDefault="005E44A0">
            <w:r>
              <w:rPr>
                <w:sz w:val="14"/>
              </w:rPr>
              <w:t>结果</w:t>
            </w:r>
          </w:p>
        </w:tc>
        <w:tc>
          <w:tcPr>
            <w:tcW w:w="1345" w:type="pct"/>
            <w:tcBorders>
              <w:top w:val="single" w:sz="8" w:space="0" w:color="000000"/>
              <w:bottom w:val="single" w:sz="6" w:space="0" w:color="000000"/>
            </w:tcBorders>
            <w:vAlign w:val="center"/>
          </w:tcPr>
          <w:p w14:paraId="09A1553D" w14:textId="77777777" w:rsidR="00390073" w:rsidRDefault="005E44A0">
            <w:r>
              <w:rPr>
                <w:sz w:val="14"/>
              </w:rPr>
              <w:t>用途</w:t>
            </w:r>
          </w:p>
        </w:tc>
        <w:tc>
          <w:tcPr>
            <w:tcW w:w="485" w:type="pct"/>
            <w:tcBorders>
              <w:top w:val="single" w:sz="8" w:space="0" w:color="000000"/>
              <w:bottom w:val="single" w:sz="6" w:space="0" w:color="000000"/>
            </w:tcBorders>
            <w:vAlign w:val="center"/>
          </w:tcPr>
          <w:p w14:paraId="0D4FB677" w14:textId="77777777" w:rsidR="00390073" w:rsidRDefault="005E44A0">
            <w:r>
              <w:rPr>
                <w:sz w:val="14"/>
              </w:rPr>
              <w:t>数据文件</w:t>
            </w:r>
          </w:p>
        </w:tc>
        <w:tc>
          <w:tcPr>
            <w:tcW w:w="1359" w:type="pct"/>
            <w:tcBorders>
              <w:top w:val="single" w:sz="8" w:space="0" w:color="000000"/>
              <w:bottom w:val="single" w:sz="6" w:space="0" w:color="000000"/>
            </w:tcBorders>
            <w:vAlign w:val="center"/>
          </w:tcPr>
          <w:p w14:paraId="4617BAA3" w14:textId="77777777" w:rsidR="00390073" w:rsidRDefault="005E44A0">
            <w:r>
              <w:rPr>
                <w:sz w:val="14"/>
              </w:rPr>
              <w:t>说明</w:t>
            </w:r>
          </w:p>
        </w:tc>
      </w:tr>
      <w:tr w:rsidR="00D007CE" w:rsidRPr="006A6807" w14:paraId="2A62CCB1" w14:textId="77777777" w:rsidTr="006A6807">
        <w:trPr>
          <w:jc w:val="center"/>
        </w:trPr>
        <w:tc>
          <w:tcPr>
            <w:tcW w:w="585" w:type="pct"/>
            <w:vAlign w:val="center"/>
          </w:tcPr>
          <w:p w14:paraId="53AF18E7" w14:textId="77777777" w:rsidR="00390073" w:rsidRDefault="005E44A0">
            <w:r>
              <w:rPr>
                <w:sz w:val="14"/>
              </w:rPr>
              <w:t>全域</w:t>
            </w:r>
            <w:r>
              <w:rPr>
                <w:sz w:val="14"/>
              </w:rPr>
              <w:t>ODI</w:t>
            </w:r>
            <w:r>
              <w:rPr>
                <w:sz w:val="14"/>
              </w:rPr>
              <w:t>场</w:t>
            </w:r>
          </w:p>
        </w:tc>
        <w:tc>
          <w:tcPr>
            <w:tcW w:w="1227" w:type="pct"/>
            <w:vAlign w:val="center"/>
          </w:tcPr>
          <w:p w14:paraId="7F5B3B11" w14:textId="77777777" w:rsidR="00390073" w:rsidRDefault="005E44A0">
            <w:r>
              <w:rPr>
                <w:sz w:val="14"/>
              </w:rPr>
              <w:t>80×56</w:t>
            </w:r>
            <w:r>
              <w:rPr>
                <w:sz w:val="14"/>
              </w:rPr>
              <w:t>；</w:t>
            </w:r>
            <w:r>
              <w:rPr>
                <w:sz w:val="14"/>
              </w:rPr>
              <w:t>4480</w:t>
            </w:r>
            <w:r>
              <w:rPr>
                <w:sz w:val="14"/>
              </w:rPr>
              <w:t>栅格；均值</w:t>
            </w:r>
            <w:r>
              <w:rPr>
                <w:sz w:val="14"/>
              </w:rPr>
              <w:t>0.4669</w:t>
            </w:r>
            <w:r>
              <w:rPr>
                <w:sz w:val="14"/>
              </w:rPr>
              <w:t>；</w:t>
            </w:r>
            <w:r>
              <w:rPr>
                <w:sz w:val="14"/>
              </w:rPr>
              <w:t>P90=0.7474</w:t>
            </w:r>
            <w:r>
              <w:rPr>
                <w:sz w:val="14"/>
              </w:rPr>
              <w:t>；</w:t>
            </w:r>
            <w:r>
              <w:rPr>
                <w:sz w:val="14"/>
              </w:rPr>
              <w:t>ODI&gt;0.70</w:t>
            </w:r>
            <w:r>
              <w:rPr>
                <w:sz w:val="14"/>
              </w:rPr>
              <w:t>为</w:t>
            </w:r>
            <w:r>
              <w:rPr>
                <w:sz w:val="14"/>
              </w:rPr>
              <w:t>15.89%</w:t>
            </w:r>
          </w:p>
        </w:tc>
        <w:tc>
          <w:tcPr>
            <w:tcW w:w="1345" w:type="pct"/>
            <w:vAlign w:val="center"/>
          </w:tcPr>
          <w:p w14:paraId="69F6039E" w14:textId="77777777" w:rsidR="00390073" w:rsidRDefault="005E44A0">
            <w:r>
              <w:rPr>
                <w:sz w:val="14"/>
              </w:rPr>
              <w:t>研究区风险背景</w:t>
            </w:r>
          </w:p>
        </w:tc>
        <w:tc>
          <w:tcPr>
            <w:tcW w:w="485" w:type="pct"/>
            <w:vAlign w:val="center"/>
          </w:tcPr>
          <w:p w14:paraId="1DF5BBC3" w14:textId="77777777" w:rsidR="00390073" w:rsidRDefault="005E44A0">
            <w:r>
              <w:rPr>
                <w:sz w:val="14"/>
              </w:rPr>
              <w:t>000_mindong_layout_odi_field.json</w:t>
            </w:r>
          </w:p>
        </w:tc>
        <w:tc>
          <w:tcPr>
            <w:tcW w:w="1359" w:type="pct"/>
            <w:vAlign w:val="center"/>
          </w:tcPr>
          <w:p w14:paraId="7730E8E0" w14:textId="77777777" w:rsidR="00390073" w:rsidRDefault="005E44A0">
            <w:r>
              <w:rPr>
                <w:sz w:val="14"/>
              </w:rPr>
              <w:t>已复核</w:t>
            </w:r>
          </w:p>
        </w:tc>
      </w:tr>
      <w:tr w:rsidR="00D007CE" w:rsidRPr="006A6807" w14:paraId="309BB01D" w14:textId="77777777" w:rsidTr="006A6807">
        <w:trPr>
          <w:jc w:val="center"/>
        </w:trPr>
        <w:tc>
          <w:tcPr>
            <w:tcW w:w="585" w:type="pct"/>
            <w:vAlign w:val="center"/>
          </w:tcPr>
          <w:p w14:paraId="2B536AC2" w14:textId="77777777" w:rsidR="00390073" w:rsidRDefault="005E44A0">
            <w:r>
              <w:rPr>
                <w:sz w:val="14"/>
              </w:rPr>
              <w:t>统一方案对比</w:t>
            </w:r>
          </w:p>
        </w:tc>
        <w:tc>
          <w:tcPr>
            <w:tcW w:w="1227" w:type="pct"/>
            <w:vAlign w:val="center"/>
          </w:tcPr>
          <w:p w14:paraId="3A3360C1" w14:textId="77777777" w:rsidR="00390073" w:rsidRDefault="005E44A0">
            <w:r>
              <w:rPr>
                <w:sz w:val="14"/>
              </w:rPr>
              <w:t>A/B/C</w:t>
            </w:r>
            <w:r>
              <w:rPr>
                <w:sz w:val="14"/>
              </w:rPr>
              <w:t>均值为</w:t>
            </w:r>
            <w:r>
              <w:rPr>
                <w:sz w:val="14"/>
              </w:rPr>
              <w:t>0.4463/0.4552/0.4416</w:t>
            </w:r>
            <w:r>
              <w:rPr>
                <w:sz w:val="14"/>
              </w:rPr>
              <w:t>；</w:t>
            </w:r>
            <w:r>
              <w:rPr>
                <w:sz w:val="14"/>
              </w:rPr>
              <w:t>P90</w:t>
            </w:r>
            <w:r>
              <w:rPr>
                <w:sz w:val="14"/>
              </w:rPr>
              <w:t>为</w:t>
            </w:r>
            <w:r>
              <w:rPr>
                <w:sz w:val="14"/>
              </w:rPr>
              <w:t>0.6407/0.6462/0.6353</w:t>
            </w:r>
          </w:p>
        </w:tc>
        <w:tc>
          <w:tcPr>
            <w:tcW w:w="1345" w:type="pct"/>
            <w:vAlign w:val="center"/>
          </w:tcPr>
          <w:p w14:paraId="6013A281" w14:textId="77777777" w:rsidR="00390073" w:rsidRDefault="005E44A0">
            <w:r>
              <w:rPr>
                <w:sz w:val="14"/>
              </w:rPr>
              <w:t>方案级风险比较</w:t>
            </w:r>
          </w:p>
        </w:tc>
        <w:tc>
          <w:tcPr>
            <w:tcW w:w="485" w:type="pct"/>
            <w:vAlign w:val="center"/>
          </w:tcPr>
          <w:p w14:paraId="6C4E1942" w14:textId="77777777" w:rsidR="00390073" w:rsidRDefault="005E44A0">
            <w:r>
              <w:rPr>
                <w:sz w:val="14"/>
              </w:rPr>
              <w:t>coal_sci_abc_odi_unified_stats_20260418.csv</w:t>
            </w:r>
          </w:p>
        </w:tc>
        <w:tc>
          <w:tcPr>
            <w:tcW w:w="1359" w:type="pct"/>
            <w:vAlign w:val="center"/>
          </w:tcPr>
          <w:p w14:paraId="0B2BF67C" w14:textId="77777777" w:rsidR="00390073" w:rsidRDefault="005E44A0">
            <w:r>
              <w:rPr>
                <w:sz w:val="14"/>
              </w:rPr>
              <w:t>同一</w:t>
            </w:r>
            <w:r>
              <w:rPr>
                <w:sz w:val="14"/>
              </w:rPr>
              <w:t>ODI</w:t>
            </w:r>
            <w:r>
              <w:rPr>
                <w:sz w:val="14"/>
              </w:rPr>
              <w:t>场采样</w:t>
            </w:r>
          </w:p>
        </w:tc>
      </w:tr>
      <w:tr w:rsidR="00D007CE" w:rsidRPr="006A6807" w14:paraId="38513F1A" w14:textId="77777777" w:rsidTr="006A6807">
        <w:trPr>
          <w:jc w:val="center"/>
        </w:trPr>
        <w:tc>
          <w:tcPr>
            <w:tcW w:w="585" w:type="pct"/>
            <w:vAlign w:val="center"/>
          </w:tcPr>
          <w:p w14:paraId="5FC023CC" w14:textId="77777777" w:rsidR="00390073" w:rsidRDefault="005E44A0">
            <w:r>
              <w:rPr>
                <w:sz w:val="14"/>
              </w:rPr>
              <w:t>阈值敏感性</w:t>
            </w:r>
          </w:p>
        </w:tc>
        <w:tc>
          <w:tcPr>
            <w:tcW w:w="1227" w:type="pct"/>
            <w:vAlign w:val="center"/>
          </w:tcPr>
          <w:p w14:paraId="692A2C16" w14:textId="77777777" w:rsidR="00390073" w:rsidRDefault="005E44A0">
            <w:r>
              <w:rPr>
                <w:sz w:val="14"/>
              </w:rPr>
              <w:t>阈值</w:t>
            </w:r>
            <w:r>
              <w:rPr>
                <w:sz w:val="14"/>
              </w:rPr>
              <w:t>0.65/0.70/0.75/0.80</w:t>
            </w:r>
            <w:r>
              <w:rPr>
                <w:sz w:val="14"/>
              </w:rPr>
              <w:t>下，</w:t>
            </w:r>
            <w:r>
              <w:rPr>
                <w:sz w:val="14"/>
              </w:rPr>
              <w:t>C</w:t>
            </w:r>
            <w:r>
              <w:rPr>
                <w:sz w:val="14"/>
              </w:rPr>
              <w:t>超限率为</w:t>
            </w:r>
            <w:r>
              <w:rPr>
                <w:sz w:val="14"/>
              </w:rPr>
              <w:t>6.31%/1.22%/0.13%/0.00%</w:t>
            </w:r>
          </w:p>
        </w:tc>
        <w:tc>
          <w:tcPr>
            <w:tcW w:w="1345" w:type="pct"/>
            <w:vAlign w:val="center"/>
          </w:tcPr>
          <w:p w14:paraId="11EA462D" w14:textId="77777777" w:rsidR="00390073" w:rsidRDefault="005E44A0">
            <w:r>
              <w:rPr>
                <w:sz w:val="14"/>
              </w:rPr>
              <w:t>检验阈值影响</w:t>
            </w:r>
          </w:p>
        </w:tc>
        <w:tc>
          <w:tcPr>
            <w:tcW w:w="485" w:type="pct"/>
            <w:vAlign w:val="center"/>
          </w:tcPr>
          <w:p w14:paraId="6392DB53" w14:textId="77777777" w:rsidR="00390073" w:rsidRDefault="005E44A0">
            <w:r>
              <w:rPr>
                <w:sz w:val="14"/>
              </w:rPr>
              <w:t>coal_sci_threshold_sensitivity_candidates_20260418.csv</w:t>
            </w:r>
          </w:p>
        </w:tc>
        <w:tc>
          <w:tcPr>
            <w:tcW w:w="1359" w:type="pct"/>
            <w:vAlign w:val="center"/>
          </w:tcPr>
          <w:p w14:paraId="13F4FB16" w14:textId="77777777" w:rsidR="00390073" w:rsidRDefault="005E44A0">
            <w:r>
              <w:rPr>
                <w:sz w:val="14"/>
              </w:rPr>
              <w:t>A</w:t>
            </w:r>
            <w:r>
              <w:rPr>
                <w:sz w:val="14"/>
              </w:rPr>
              <w:t>、</w:t>
            </w:r>
            <w:r>
              <w:rPr>
                <w:sz w:val="14"/>
              </w:rPr>
              <w:t>B</w:t>
            </w:r>
            <w:r>
              <w:rPr>
                <w:sz w:val="14"/>
              </w:rPr>
              <w:t>同步计算</w:t>
            </w:r>
          </w:p>
        </w:tc>
      </w:tr>
      <w:tr w:rsidR="00D007CE" w:rsidRPr="006A6807" w14:paraId="21D8B442" w14:textId="77777777" w:rsidTr="006A6807">
        <w:trPr>
          <w:jc w:val="center"/>
        </w:trPr>
        <w:tc>
          <w:tcPr>
            <w:tcW w:w="585" w:type="pct"/>
            <w:vAlign w:val="center"/>
          </w:tcPr>
          <w:p w14:paraId="1FEEA68F" w14:textId="77777777" w:rsidR="00390073" w:rsidRDefault="005E44A0">
            <w:r>
              <w:rPr>
                <w:sz w:val="14"/>
              </w:rPr>
              <w:t>权重敏感性</w:t>
            </w:r>
          </w:p>
        </w:tc>
        <w:tc>
          <w:tcPr>
            <w:tcW w:w="1227" w:type="pct"/>
            <w:vAlign w:val="center"/>
          </w:tcPr>
          <w:p w14:paraId="217874D2" w14:textId="77777777" w:rsidR="00390073" w:rsidRDefault="005E44A0">
            <w:r>
              <w:rPr>
                <w:sz w:val="14"/>
              </w:rPr>
              <w:t>基准、</w:t>
            </w:r>
            <w:r>
              <w:rPr>
                <w:sz w:val="14"/>
              </w:rPr>
              <w:t>±10%</w:t>
            </w:r>
            <w:r>
              <w:rPr>
                <w:sz w:val="14"/>
              </w:rPr>
              <w:t>扰动和上行开采专项权重下，风险综合得分表现为</w:t>
            </w:r>
            <w:r>
              <w:rPr>
                <w:sz w:val="14"/>
              </w:rPr>
              <w:t>C</w:t>
            </w:r>
            <w:r>
              <w:rPr>
                <w:sz w:val="14"/>
              </w:rPr>
              <w:t>最低、</w:t>
            </w:r>
            <w:r>
              <w:rPr>
                <w:sz w:val="14"/>
              </w:rPr>
              <w:t>A</w:t>
            </w:r>
            <w:r>
              <w:rPr>
                <w:sz w:val="14"/>
              </w:rPr>
              <w:t>次之、</w:t>
            </w:r>
            <w:r>
              <w:rPr>
                <w:sz w:val="14"/>
              </w:rPr>
              <w:t>B</w:t>
            </w:r>
            <w:r>
              <w:rPr>
                <w:sz w:val="14"/>
              </w:rPr>
              <w:t>最高</w:t>
            </w:r>
          </w:p>
        </w:tc>
        <w:tc>
          <w:tcPr>
            <w:tcW w:w="1345" w:type="pct"/>
            <w:vAlign w:val="center"/>
          </w:tcPr>
          <w:p w14:paraId="252670F6" w14:textId="77777777" w:rsidR="00390073" w:rsidRDefault="005E44A0">
            <w:r>
              <w:rPr>
                <w:sz w:val="14"/>
              </w:rPr>
              <w:t>检验权重稳定性</w:t>
            </w:r>
          </w:p>
        </w:tc>
        <w:tc>
          <w:tcPr>
            <w:tcW w:w="485" w:type="pct"/>
            <w:vAlign w:val="center"/>
          </w:tcPr>
          <w:p w14:paraId="4EC84A95" w14:textId="77777777" w:rsidR="00390073" w:rsidRDefault="005E44A0">
            <w:r>
              <w:rPr>
                <w:sz w:val="14"/>
              </w:rPr>
              <w:t>coal_sci_weight_sensitivity_candidates_20260418.csv</w:t>
            </w:r>
          </w:p>
        </w:tc>
        <w:tc>
          <w:tcPr>
            <w:tcW w:w="1359" w:type="pct"/>
            <w:vAlign w:val="center"/>
          </w:tcPr>
          <w:p w14:paraId="74E21F53" w14:textId="77777777" w:rsidR="00390073" w:rsidRDefault="005E44A0">
            <w:r>
              <w:rPr>
                <w:sz w:val="14"/>
              </w:rPr>
              <w:t>风险得分越小越优</w:t>
            </w:r>
          </w:p>
        </w:tc>
      </w:tr>
      <w:tr w:rsidR="00D007CE" w:rsidRPr="006A6807" w14:paraId="4B5CC0E4" w14:textId="77777777" w:rsidTr="006A6807">
        <w:trPr>
          <w:jc w:val="center"/>
        </w:trPr>
        <w:tc>
          <w:tcPr>
            <w:tcW w:w="585" w:type="pct"/>
            <w:vAlign w:val="center"/>
          </w:tcPr>
          <w:p w14:paraId="1187FA42" w14:textId="77777777" w:rsidR="00390073" w:rsidRDefault="005E44A0">
            <w:r>
              <w:rPr>
                <w:sz w:val="14"/>
              </w:rPr>
              <w:t>经济评价</w:t>
            </w:r>
          </w:p>
        </w:tc>
        <w:tc>
          <w:tcPr>
            <w:tcW w:w="1227" w:type="pct"/>
            <w:vAlign w:val="center"/>
          </w:tcPr>
          <w:p w14:paraId="289864E2" w14:textId="77777777" w:rsidR="00390073" w:rsidRDefault="005E44A0">
            <w:r>
              <w:rPr>
                <w:sz w:val="14"/>
              </w:rPr>
              <w:t>仅保留输入关系</w:t>
            </w:r>
          </w:p>
        </w:tc>
        <w:tc>
          <w:tcPr>
            <w:tcW w:w="1345" w:type="pct"/>
            <w:vAlign w:val="center"/>
          </w:tcPr>
          <w:p w14:paraId="796300B3" w14:textId="77777777" w:rsidR="00390073" w:rsidRDefault="005E44A0">
            <w:r>
              <w:rPr>
                <w:sz w:val="14"/>
              </w:rPr>
              <w:t>下游接口说明</w:t>
            </w:r>
          </w:p>
        </w:tc>
        <w:tc>
          <w:tcPr>
            <w:tcW w:w="485" w:type="pct"/>
            <w:vAlign w:val="center"/>
          </w:tcPr>
          <w:p w14:paraId="661EC19F" w14:textId="77777777" w:rsidR="00390073" w:rsidRDefault="005E44A0">
            <w:r>
              <w:rPr>
                <w:sz w:val="14"/>
              </w:rPr>
              <w:t>规划对象与接续参数</w:t>
            </w:r>
          </w:p>
        </w:tc>
        <w:tc>
          <w:tcPr>
            <w:tcW w:w="1359" w:type="pct"/>
            <w:vAlign w:val="center"/>
          </w:tcPr>
          <w:p w14:paraId="44F6CE7F" w14:textId="77777777" w:rsidR="00390073" w:rsidRDefault="005E44A0">
            <w:r>
              <w:rPr>
                <w:sz w:val="14"/>
              </w:rPr>
              <w:t>不写未经独立导出的</w:t>
            </w:r>
            <w:r>
              <w:rPr>
                <w:sz w:val="14"/>
              </w:rPr>
              <w:t>NPV</w:t>
            </w:r>
            <w:r>
              <w:rPr>
                <w:sz w:val="14"/>
              </w:rPr>
              <w:t>和回收期</w:t>
            </w:r>
          </w:p>
        </w:tc>
      </w:tr>
    </w:tbl>
    <w:p w14:paraId="4060D41A" w14:textId="77777777" w:rsidR="007E22B6" w:rsidRDefault="00DE4743" w:rsidP="00A046E0">
      <w:pPr>
        <w:pStyle w:val="11"/>
      </w:pPr>
      <w:r>
        <w:lastRenderedPageBreak/>
        <w:t xml:space="preserve">3.3 </w:t>
      </w:r>
      <w:r>
        <w:t>规划结果传递与评价边界</w:t>
      </w:r>
    </w:p>
    <w:p w14:paraId="5DB5CB26"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；地下水库储水空间、库容和调度研究也说明，采动空间对象可继续服务于水资源调控和风险管理</w:t>
      </w:r>
      <w:r>
        <w:t>[42-47]</w:t>
      </w:r>
      <w:r>
        <w:t>。本样例形成的工作面边界、巷道路径、推进长度、布置面积和</w:t>
      </w:r>
      <w:r>
        <w:t>ODI</w:t>
      </w:r>
      <w:r>
        <w:t>统计量，可作为后续生产顺序、产量核算和经济评价的输入对象。</w:t>
      </w:r>
    </w:p>
    <w:p w14:paraId="223F6B9D"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761034B5"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场和统一方案区栅格形成方案级统计，其</w:t>
      </w:r>
      <w:r>
        <w:rPr>
          <w:sz w:val="21"/>
        </w:rPr>
        <w:t>ODI</w:t>
      </w:r>
      <w:r>
        <w:rPr>
          <w:sz w:val="21"/>
        </w:rPr>
        <w:t>均值、</w:t>
      </w:r>
      <w:r>
        <w:rPr>
          <w:sz w:val="21"/>
        </w:rPr>
        <w:t>P90</w:t>
      </w:r>
      <w:r>
        <w:rPr>
          <w:sz w:val="21"/>
        </w:rPr>
        <w:t>和超阈值暴露比例可作为后续采高、煤柱宽度、推进方向和工作面宽度调整的反馈指标。</w:t>
      </w:r>
    </w:p>
    <w:p w14:paraId="66C2F950"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60E3721D"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109DACA3" w14:textId="77777777" w:rsidR="00390073" w:rsidRDefault="005E44A0">
      <w:pPr>
        <w:pStyle w:val="11"/>
      </w:pPr>
      <w:r>
        <w:t>从可复现角度看，本文样例至少需保留</w:t>
      </w:r>
      <w:r>
        <w:t>4</w:t>
      </w:r>
      <w:r>
        <w:t>类中间数据：研究区边界与钻孔样点、连续参数场栅格、</w:t>
      </w:r>
      <w:r>
        <w:t>ODI</w:t>
      </w:r>
      <w:r>
        <w:t>分量及综合</w:t>
      </w:r>
      <w:r>
        <w:t>ODI</w:t>
      </w:r>
      <w:r>
        <w:t>栅格、候选方案几何对象及方案级统计表。只有这些对象可逐级复算，</w:t>
      </w:r>
      <w:r>
        <w:t>ODI</w:t>
      </w:r>
      <w:r>
        <w:t>均值、</w:t>
      </w:r>
      <w:r>
        <w:t>P90</w:t>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0BF4A47D" w14:textId="77777777" w:rsidR="007E22B6" w:rsidRDefault="00DE4743" w:rsidP="00A046E0">
      <w:pPr>
        <w:pStyle w:val="11"/>
      </w:pPr>
      <w:r>
        <w:rPr>
          <w:rFonts w:ascii="宋体" w:eastAsia="宋体" w:hAnsi="宋体"/>
          <w:sz w:val="21"/>
        </w:rPr>
        <w:t>4 讨论</w:t>
      </w:r>
    </w:p>
    <w:p w14:paraId="4356F686" w14:textId="77777777" w:rsidR="007E22B6" w:rsidRDefault="00DE4743" w:rsidP="00A046E0">
      <w:pPr>
        <w:pStyle w:val="12"/>
      </w:pPr>
      <w:r>
        <w:rPr>
          <w:sz w:val="21"/>
        </w:rPr>
        <w:t xml:space="preserve">4.1 ODI </w:t>
      </w:r>
      <w:r>
        <w:rPr>
          <w:sz w:val="21"/>
        </w:rPr>
        <w:t>前置约束对采区规划的作用与边界</w:t>
      </w:r>
    </w:p>
    <w:p w14:paraId="7A3C4579" w14:textId="77777777" w:rsidR="007E22B6" w:rsidRDefault="00DE4743" w:rsidP="00A046E0">
      <w:pPr>
        <w:pStyle w:val="12"/>
      </w:pPr>
      <w:r>
        <w:t>传统采区规划多采用</w:t>
      </w:r>
      <w:r>
        <w:t>“</w:t>
      </w:r>
      <w:r>
        <w:t>先布局、再校核</w:t>
      </w:r>
      <w:r>
        <w:t>”</w:t>
      </w:r>
      <w:r>
        <w:t>的串行流程，风险信息通常在布局完成后才参与修正；当高扰动区与工作面边界冲突时，需要重新调整边界、煤柱和巷道组织。绿色开采、保水采煤和顶板水害防控研究表明，覆岩破坏与含水层扰动具有明显空间前置约束属性</w:t>
      </w:r>
      <w:r>
        <w:t>[26,33-37,41,45,48-50]</w:t>
      </w:r>
      <w:r>
        <w:t>。本文将</w:t>
      </w:r>
      <w:r>
        <w:t>ODI</w:t>
      </w:r>
      <w:r>
        <w:t>转化为候选方案生成阶段即可调用的空间统计量，使风险控制前移至候选池筛选与排序环节。</w:t>
      </w:r>
    </w:p>
    <w:p w14:paraId="75422824" w14:textId="77777777" w:rsidR="007E22B6" w:rsidRDefault="00DE4743" w:rsidP="00A046E0">
      <w:pPr>
        <w:pStyle w:val="12"/>
      </w:pPr>
      <w:r>
        <w:rPr>
          <w:sz w:val="21"/>
        </w:rPr>
        <w:t>ODI</w:t>
      </w:r>
      <w:r>
        <w:rPr>
          <w:sz w:val="21"/>
        </w:rPr>
        <w:t>前置约束的优势不在于替代地表沉陷、含水层扰动或上行开采等专项分析，而在于为多源风险结果提供同一比较口径。在同一</w:t>
      </w:r>
      <w:r>
        <w:rPr>
          <w:sz w:val="21"/>
        </w:rPr>
        <w:t>ODI</w:t>
      </w:r>
      <w:r>
        <w:rPr>
          <w:sz w:val="21"/>
        </w:rPr>
        <w:t>场下，方案可以同时报告均值、</w:t>
      </w:r>
      <w:r>
        <w:rPr>
          <w:sz w:val="21"/>
        </w:rPr>
        <w:t>P90</w:t>
      </w:r>
      <w:r>
        <w:rPr>
          <w:sz w:val="21"/>
        </w:rPr>
        <w:t>和超阈值暴露比例，从而避免仅凭单一风险图或单一阈值判断方案优劣。本样例中</w:t>
      </w:r>
      <w:r>
        <w:rPr>
          <w:sz w:val="21"/>
        </w:rPr>
        <w:t>C</w:t>
      </w:r>
      <w:r>
        <w:rPr>
          <w:sz w:val="21"/>
        </w:rPr>
        <w:t>方案的超阈值比例并非在所有阈值下都最低，但其均值、</w:t>
      </w:r>
      <w:r>
        <w:rPr>
          <w:sz w:val="21"/>
        </w:rPr>
        <w:t>P90</w:t>
      </w:r>
      <w:r>
        <w:rPr>
          <w:sz w:val="21"/>
        </w:rPr>
        <w:t>和风险综合得分较低，说明方案风险需要用多统计量联合解释。</w:t>
      </w:r>
    </w:p>
    <w:p w14:paraId="060AF095" w14:textId="77777777" w:rsidR="007E22B6" w:rsidRDefault="00DE4743" w:rsidP="00A046E0">
      <w:pPr>
        <w:pStyle w:val="12"/>
      </w:pPr>
      <w:r>
        <w:rPr>
          <w:sz w:val="21"/>
        </w:rPr>
        <w:lastRenderedPageBreak/>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6CBC2F36" w14:textId="77777777" w:rsidR="007E22B6" w:rsidRDefault="00DE4743" w:rsidP="00A046E0">
      <w:pPr>
        <w:pStyle w:val="12"/>
      </w:pPr>
      <w:r>
        <w:rPr>
          <w:rFonts w:ascii="宋体" w:eastAsia="宋体" w:hAnsi="宋体"/>
          <w:sz w:val="21"/>
        </w:rPr>
        <w:t>4.2 参数场驱动的规划方法相对于传统经验布置的意义</w:t>
      </w:r>
    </w:p>
    <w:p w14:paraId="0A6C1578" w14:textId="77777777" w:rsidR="007E22B6" w:rsidRDefault="00DE4743" w:rsidP="00A046E0">
      <w:pPr>
        <w:pStyle w:val="12"/>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6F8050F7" w14:textId="77777777" w:rsidR="007E22B6" w:rsidRDefault="00DE4743" w:rsidP="00A046E0">
      <w:pPr>
        <w:pStyle w:val="12"/>
      </w:pPr>
      <w:r>
        <w:rPr>
          <w:sz w:val="21"/>
        </w:rPr>
        <w:t>本样例中，煤厚样点由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。厚煤区在资源覆盖评价中具有更高权重，低厚度区则提示边界调整、煤柱保留或低优先级布置的必要性。由此可见，参数场不是单纯的制图结果，而是候选方案评分和资源回收评价的输入条件。</w:t>
      </w:r>
    </w:p>
    <w:p w14:paraId="28AF12A9" w14:textId="77777777" w:rsidR="007E22B6" w:rsidRDefault="00DE4743" w:rsidP="00A046E0">
      <w:pPr>
        <w:pStyle w:val="12"/>
      </w:pPr>
      <w:r>
        <w:t>连续参数场质量会直接影响规划结果。钻孔数量、空间分布、插值方法、网格尺度和异常值处理均会改变参数场形态，进而影响覆盖率、资源回收评分和</w:t>
      </w:r>
      <w:r>
        <w:t>ODI</w:t>
      </w:r>
      <w:r>
        <w:t>统计。智能精准开采工作面地质模型研究强调多源信息逐级融合和动态更新，以提高工作面尺度地质表达精度</w:t>
      </w:r>
      <w:r>
        <w:t>[31-32]</w:t>
      </w:r>
      <w:r>
        <w:t>。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5F6BABD8" w14:textId="77777777" w:rsidR="007E22B6" w:rsidRDefault="00DE4743" w:rsidP="00A046E0">
      <w:pPr>
        <w:pStyle w:val="12"/>
      </w:pPr>
      <w:r>
        <w:rPr>
          <w:rFonts w:ascii="宋体" w:eastAsia="宋体" w:hAnsi="宋体"/>
          <w:sz w:val="21"/>
        </w:rPr>
        <w:t>4.3 后续深化方向</w:t>
      </w:r>
    </w:p>
    <w:p w14:paraId="40AC5E20" w14:textId="77777777" w:rsidR="007E22B6" w:rsidRDefault="00DE4743" w:rsidP="00A046E0">
      <w:pPr>
        <w:pStyle w:val="12"/>
      </w:pPr>
      <w:r>
        <w:t>本文当前结果主要表明，所提方法在样例条件下具备链路贯通能力，即能够实现采区边界、钻孔样点、连续参数场、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2FA3D79B" w14:textId="77777777" w:rsidR="007E22B6" w:rsidRDefault="00DE4743" w:rsidP="00A046E0">
      <w:pPr>
        <w:pStyle w:val="12"/>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接口传递关系给出现金流优选。保水采煤、顶板水害防控和地下水库研究也表明，风险控制指标必须回到具体矿区水文地质结构、保护目标和运行制度中标定</w:t>
      </w:r>
      <w:r>
        <w:t>[26,41-48,50]</w:t>
      </w:r>
      <w:r>
        <w:t>。</w:t>
      </w:r>
    </w:p>
    <w:p w14:paraId="3B9310F4" w14:textId="77777777" w:rsidR="007E22B6" w:rsidRDefault="00DE4743" w:rsidP="00A046E0">
      <w:pPr>
        <w:pStyle w:val="12"/>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13FE2A99" w14:textId="77777777" w:rsidR="00390073" w:rsidRDefault="005E44A0">
      <w:pPr>
        <w:pStyle w:val="12"/>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。在此边界下，变量定义、约束集合、候选池生成、方案级</w:t>
      </w:r>
      <w:r>
        <w:t>ODI</w:t>
      </w:r>
      <w:r>
        <w:t>统计和敏感性分析共同构成论文的主要证据链。</w:t>
      </w:r>
    </w:p>
    <w:p w14:paraId="18B4EDC6" w14:textId="77777777" w:rsidR="007E22B6" w:rsidRDefault="00DE4743" w:rsidP="00A046E0">
      <w:pPr>
        <w:pStyle w:val="11"/>
      </w:pPr>
      <w:r>
        <w:rPr>
          <w:rFonts w:ascii="宋体" w:eastAsia="宋体" w:hAnsi="宋体"/>
          <w:sz w:val="21"/>
        </w:rPr>
        <w:t>5 结论</w:t>
      </w:r>
    </w:p>
    <w:p w14:paraId="701295A0"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14030D05"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w:t>
      </w:r>
      <w:r>
        <w:lastRenderedPageBreak/>
        <w:t>一化、权重聚合、阈值统计和方案级</w:t>
      </w:r>
      <w:r>
        <w:t>ODI</w:t>
      </w:r>
      <w:r>
        <w:t>均值、</w:t>
      </w:r>
      <w:r>
        <w:t>P90</w:t>
      </w:r>
      <w:r>
        <w:t>、超阈值暴露比例等计算口径，为异构风险进入采区规划比选提供了统一表达。</w:t>
      </w:r>
    </w:p>
    <w:p w14:paraId="54172FE3"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和风险综合得分的联合判据，而非单一阈值下的超限比例最小；因此，上述结果说明风险场能够转化为可复核的方案级统计量。</w:t>
      </w:r>
    </w:p>
    <w:p w14:paraId="189504B7"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）当前结果主要支撑样例条件下的方法贯通、对象链可传递性和初步方案比选。权重敏感性表明，在当前样例和候选集合范围内，基准权重、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和超限比例共同识别。因此，当前结果更适合支撑样例条件下的方法贯通性、对象链可传递性与内部方案比选的可复核性，而不宜直接外推为真实矿井定案条件下的最优工程结论。</w:t>
      </w:r>
    </w:p>
    <w:p w14:paraId="27E28D84" w14:textId="77777777" w:rsidR="007E22B6" w:rsidRDefault="00A249E2" w:rsidP="00A046E0">
      <w:pPr>
        <w:pStyle w:val="11"/>
      </w:pPr>
      <w:r>
        <w:rPr>
          <w:rFonts w:ascii="宋体" w:eastAsia="宋体" w:hAnsi="宋体"/>
          <w:sz w:val="21"/>
        </w:rPr>
        <w:t>参考文献</w:t>
      </w:r>
    </w:p>
    <w:p w14:paraId="395BBACC" w14:textId="77777777" w:rsidR="00390073" w:rsidRDefault="005E44A0" w:rsidP="001D7DFF">
      <w:pPr>
        <w:pStyle w:val="17"/>
      </w:pPr>
      <w:r>
        <w:t>[1]</w:t>
      </w:r>
      <w:r>
        <w:tab/>
        <w:t>WU Xuefei, LI Hongxia, WANG Baoli, et al. Review on improvements to the safety level of coal mines by applying intelligent coal mining[J]. Sustainability, 2022, 14(24): 16400. DOI: 10.3390/su142416400.</w:t>
      </w:r>
    </w:p>
    <w:p w14:paraId="0F1A06A5" w14:textId="77777777" w:rsidR="00390073" w:rsidRDefault="005E44A0" w:rsidP="001D7DFF">
      <w:pPr>
        <w:pStyle w:val="17"/>
      </w:pPr>
      <w:r>
        <w:t>[2]</w:t>
      </w:r>
      <w:r>
        <w:tab/>
        <w:t>WANG Guofa, REN Huaiwei, ZHAO Guorui, et al. Research and practice of intelligent coal mine technology systems in China[J]. International Journal of Coal Science &amp; Technology, 2022, 9(1). DOI: 10.1007/s40789-022-00491-3.</w:t>
      </w:r>
    </w:p>
    <w:p w14:paraId="747D95F2" w14:textId="77777777" w:rsidR="00390073" w:rsidRDefault="005E44A0" w:rsidP="001D7DFF">
      <w:pPr>
        <w:pStyle w:val="17"/>
      </w:pPr>
      <w:r>
        <w:t>[3]</w:t>
      </w:r>
      <w:r>
        <w:tab/>
        <w:t>ZHANG Kexue, KANG Lei, CHEN Xuexi, et al. A review of intelligent unmanned mining current situation and development trend[J]. Energies, 2022, 15(2): 513. DOI: 10.3390/en15020513.</w:t>
      </w:r>
    </w:p>
    <w:p w14:paraId="10EE52FD" w14:textId="77777777" w:rsidR="00390073" w:rsidRDefault="005E44A0" w:rsidP="001D7DFF">
      <w:pPr>
        <w:pStyle w:val="17"/>
      </w:pPr>
      <w:r>
        <w:t>[4]</w:t>
      </w:r>
      <w:r>
        <w:tab/>
        <w:t>YANG Yi, LI Yingchun, WANG Lujun, et al. On strata damage and stress disturbance induced by coal mining based on physical similarity simulation experiments[J]. Scientific Reports, 2023, 13(1). DOI: 10.1038/s41598-023-42148-4.</w:t>
      </w:r>
    </w:p>
    <w:p w14:paraId="21F260F2"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6A7DDDC2" w14:textId="77777777" w:rsidR="00390073" w:rsidRDefault="005E44A0" w:rsidP="001D7DFF">
      <w:pPr>
        <w:pStyle w:val="17"/>
      </w:pPr>
      <w:r>
        <w:t>[6]</w:t>
      </w:r>
      <w:r>
        <w:tab/>
        <w:t>YANG Xiao, SHI Longqing, QIU Mei, et al. Spatiotemporal evolution patterns of mining-induced overburden damage based on microseismic event response analysis[J]. Journal of Applied Geophysics, 2025, 242: 105876. DOI: 10.1016/j.jappgeo.2025.105876.</w:t>
      </w:r>
    </w:p>
    <w:p w14:paraId="79B13E01"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1FA4A719" w14:textId="77777777" w:rsidR="00390073" w:rsidRDefault="005E44A0" w:rsidP="001D7DFF">
      <w:pPr>
        <w:pStyle w:val="17"/>
      </w:pPr>
      <w:r>
        <w:t>[8]</w:t>
      </w:r>
      <w:r>
        <w:tab/>
        <w:t>CAO Jian, HUANG Qingxiang, GUO Lingfei. Subsidence prediction of overburden strata and ground surface in shallow coal seam mining[J]. Scientific Reports, 2021, 11(1). DOI: 10.1038/s41598-021-98520-9.</w:t>
      </w:r>
    </w:p>
    <w:p w14:paraId="0AAB31F1"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64A7A571" w14:textId="77777777" w:rsidR="00390073" w:rsidRDefault="005E44A0" w:rsidP="001D7DFF">
      <w:pPr>
        <w:pStyle w:val="17"/>
      </w:pPr>
      <w:r>
        <w:t>[10]</w:t>
      </w:r>
      <w:r>
        <w:tab/>
        <w:t>SHI Xiuchang, ZHANG Jixing. Characteristics of overburden failure and fracture evolution in shallow buried working face with large mining height[J]. Sustainability, 2021, 13(24): 13775. DOI: 10.3390/su132413775.</w:t>
      </w:r>
    </w:p>
    <w:p w14:paraId="0E82D76A" w14:textId="77777777" w:rsidR="00390073" w:rsidRDefault="005E44A0" w:rsidP="001D7DFF">
      <w:pPr>
        <w:pStyle w:val="17"/>
      </w:pPr>
      <w:r>
        <w:t>[11]</w:t>
      </w:r>
      <w:r>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4C8EBE8C" w14:textId="77777777" w:rsidR="00390073" w:rsidRDefault="005E44A0" w:rsidP="001D7DFF">
      <w:pPr>
        <w:pStyle w:val="17"/>
      </w:pPr>
      <w:r>
        <w:t>[12]</w:t>
      </w:r>
      <w:r>
        <w:tab/>
        <w:t>SHAN Yang, KE Li, XIANG Jun, et al. Multi-objective optimisation based on NSGA-II of mine cut-off grade from the perspective of resource security[J]. International Journal of Mining, Reclamation and Environment, 2025: 1-20. DOI: 10.1080/17480930.2025.2532460.</w:t>
      </w:r>
    </w:p>
    <w:p w14:paraId="1B30CDD0" w14:textId="77777777" w:rsidR="00390073" w:rsidRDefault="005E44A0" w:rsidP="001D7DFF">
      <w:pPr>
        <w:pStyle w:val="17"/>
      </w:pPr>
      <w:r>
        <w:t>[13]</w:t>
      </w:r>
      <w:r>
        <w:tab/>
        <w:t>GU Xiaowei, WANG Xunhong, LIU Zaobao, et al. A multi-objective optimization model using improved NSGA-II for optimizing metal mines production process[J]. IEEE Access, 2020, 8: 28847-28858. DOI: 10.1109/access.2020.2972018.</w:t>
      </w:r>
    </w:p>
    <w:p w14:paraId="3A546CF2"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53E44539"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77407638"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7F042C5D" w14:textId="77777777" w:rsidR="00390073" w:rsidRDefault="005E44A0" w:rsidP="001D7DFF">
      <w:pPr>
        <w:pStyle w:val="17"/>
      </w:pPr>
      <w:r>
        <w:t>[17]</w:t>
      </w:r>
      <w:r>
        <w:tab/>
        <w:t>QU Juncong, KIZIL Mehmet S., YAHYAEI Mohsen, et al. Digital twins in the minerals industry: a comprehensive review[J]. Mining Technology, 2023, 132(4): 267-289. DOI: 10.1080/25726668.2023.2257479.</w:t>
      </w:r>
    </w:p>
    <w:p w14:paraId="5E26ECE3" w14:textId="77777777" w:rsidR="00390073" w:rsidRDefault="005E44A0" w:rsidP="001D7DFF">
      <w:pPr>
        <w:pStyle w:val="17"/>
      </w:pPr>
      <w:r>
        <w:lastRenderedPageBreak/>
        <w:t>[18]</w:t>
      </w:r>
      <w:r>
        <w:tab/>
        <w:t>PAN Dongdong, XU Zhenhao, LU Xinming, et al. 3D scene and geological modeling using integrated multi-source spatial data: methodology, challenges, and suggestions[J]. Tunnelling and Underground Space Technology, 2020, 100: 103393. DOI: 10.1016/j.tust.2020.103393.</w:t>
      </w:r>
    </w:p>
    <w:p w14:paraId="165A991C" w14:textId="77777777" w:rsidR="00390073" w:rsidRDefault="005E44A0" w:rsidP="001D7DFF">
      <w:pPr>
        <w:pStyle w:val="17"/>
      </w:pPr>
      <w:r>
        <w:t>[19]</w:t>
      </w:r>
      <w:r>
        <w:tab/>
        <w:t>AHMED Haitham M., ADEWUYI Sefiu</w:t>
      </w:r>
      <w:r>
        <w:t>, AHMED Hussin M. A. Continuous cash flow modeling for economic evaluation and risk analysis in mine planning using Monte Carlo simulation[J]. Journal of King Abdulaziz University: Engineering Sciences, 2024, 34(2). DOI: 10.4197/eng.34-2.6.</w:t>
      </w:r>
    </w:p>
    <w:p w14:paraId="2CB07614" w14:textId="77777777" w:rsidR="00390073" w:rsidRDefault="005E44A0" w:rsidP="001D7DFF">
      <w:pPr>
        <w:pStyle w:val="17"/>
      </w:pPr>
      <w:r>
        <w:t>[20]</w:t>
      </w:r>
      <w:r>
        <w:tab/>
        <w:t>LI Jiaoqun, WU Tong, LU Zengxiang, et al. Investigation into mining economic evaluation approaches based on the Rosenblueth point estimate method[J]. Applied Sciences, 2023, 13(15): 9011. DOI: 10.3390/app13159011.</w:t>
      </w:r>
    </w:p>
    <w:p w14:paraId="08AEABDE"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30042BE1"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2B14347A" w14:textId="77777777" w:rsidR="00390073" w:rsidRDefault="005E44A0" w:rsidP="001D7DFF">
      <w:pPr>
        <w:pStyle w:val="17"/>
      </w:pPr>
      <w:r>
        <w:t>[23]</w:t>
      </w:r>
      <w:r>
        <w:tab/>
        <w:t>XUE Sen, WANG Qiqing, SONG Zhen. Analysis of water-permeable fractured zone in weakly cemented overburden considering rock strain-softening[J]. Scientific Reports, 2026, 16(1). DOI: 10.1038/s41598-026-45413-4.</w:t>
      </w:r>
    </w:p>
    <w:p w14:paraId="412DE8B6"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19457765" w14:textId="77777777" w:rsidR="00390073" w:rsidRDefault="005E44A0" w:rsidP="001D7DFF">
      <w:pPr>
        <w:pStyle w:val="17"/>
      </w:pPr>
      <w:r>
        <w:t>[25]</w:t>
      </w:r>
      <w:r>
        <w:tab/>
        <w:t>KRATZSCH Helmut. Strata movement at the mining horizon[M]//Mining Subsidence Engineering. Berlin, , Heidelberg: Springer, 1983: 7-40. DOI: 10.1007/978-3-642-81923-0_2.</w:t>
      </w:r>
    </w:p>
    <w:p w14:paraId="1902190A"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008742B8" w14:textId="77777777" w:rsidR="00390073" w:rsidRDefault="005E44A0" w:rsidP="001D7DFF">
      <w:pPr>
        <w:pStyle w:val="17"/>
      </w:pPr>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p>
    <w:p w14:paraId="60173527" w14:textId="77777777" w:rsidR="00390073" w:rsidRDefault="005E44A0" w:rsidP="001D7DFF">
      <w:pPr>
        <w:pStyle w:val="17"/>
      </w:pPr>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755F0EBB" w14:textId="77777777" w:rsidR="00390073" w:rsidRDefault="005E44A0" w:rsidP="001D7DFF">
      <w:pPr>
        <w:pStyle w:val="17"/>
      </w:pPr>
      <w:r>
        <w:t>[29]</w:t>
      </w:r>
      <w:r>
        <w:tab/>
      </w:r>
      <w:r>
        <w:t>李首滨</w:t>
      </w:r>
      <w:r>
        <w:t xml:space="preserve">. </w:t>
      </w:r>
      <w:r>
        <w:t>智能化开采研究进展与发展趋势</w:t>
      </w:r>
      <w:r>
        <w:t xml:space="preserve">[J]. </w:t>
      </w:r>
      <w:r>
        <w:t>煤炭科学技术</w:t>
      </w:r>
      <w:r>
        <w:t>, 2019, 47(10): 102-110. DOI: 10.13199/j.cnki.cst.2019.10.012.</w:t>
      </w:r>
    </w:p>
    <w:p w14:paraId="5AC50103" w14:textId="77777777" w:rsidR="00390073" w:rsidRDefault="005E44A0" w:rsidP="001D7DFF">
      <w:pPr>
        <w:pStyle w:val="17"/>
      </w:pPr>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p>
    <w:p w14:paraId="52C4AB47" w14:textId="77777777" w:rsidR="00390073" w:rsidRDefault="005E44A0" w:rsidP="001D7DFF">
      <w:pPr>
        <w:pStyle w:val="17"/>
      </w:pPr>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5DEB9ECE" w14:textId="77777777" w:rsidR="00390073" w:rsidRDefault="005E44A0" w:rsidP="001D7DFF">
      <w:pPr>
        <w:pStyle w:val="17"/>
      </w:pPr>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p>
    <w:p w14:paraId="333820C6"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p>
    <w:p w14:paraId="0B4E20E7" w14:textId="77777777" w:rsidR="00390073" w:rsidRDefault="005E44A0" w:rsidP="001D7DFF">
      <w:pPr>
        <w:pStyle w:val="17"/>
      </w:pPr>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p>
    <w:p w14:paraId="4F50F0A5" w14:textId="77777777" w:rsidR="00390073" w:rsidRDefault="005E44A0" w:rsidP="001D7DFF">
      <w:pPr>
        <w:pStyle w:val="17"/>
      </w:pPr>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p>
    <w:p w14:paraId="6F2CC2A7"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23348345"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309CB89F"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07637B57" w14:textId="77777777" w:rsidR="00390073" w:rsidRDefault="005E44A0" w:rsidP="001D7DFF">
      <w:pPr>
        <w:pStyle w:val="17"/>
      </w:pPr>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p>
    <w:p w14:paraId="0E7F6857"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48D279C4" w14:textId="77777777" w:rsidR="00390073" w:rsidRDefault="005E44A0" w:rsidP="001D7DFF">
      <w:pPr>
        <w:pStyle w:val="17"/>
      </w:pPr>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4D963BD4"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178215E0" w14:textId="77777777" w:rsidR="00390073" w:rsidRDefault="005E44A0" w:rsidP="001D7DFF">
      <w:pPr>
        <w:pStyle w:val="17"/>
      </w:pPr>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748DEE64"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03FF5F21" w14:textId="77777777" w:rsidR="00390073" w:rsidRDefault="005E44A0" w:rsidP="001D7DFF">
      <w:pPr>
        <w:pStyle w:val="17"/>
      </w:pPr>
      <w:r>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76F11E92"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p>
    <w:p w14:paraId="1B2EBFFA"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6B8793E3" w14:textId="77777777" w:rsidR="00390073" w:rsidRDefault="005E44A0" w:rsidP="001D7DFF">
      <w:pPr>
        <w:pStyle w:val="17"/>
      </w:pPr>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p>
    <w:p w14:paraId="4B4162E6" w14:textId="77777777" w:rsidR="00390073" w:rsidRDefault="005E44A0" w:rsidP="001D7DFF">
      <w:pPr>
        <w:pStyle w:val="17"/>
      </w:pPr>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p>
    <w:p w14:paraId="267C0013" w14:textId="77777777" w:rsidR="00390073" w:rsidRDefault="005E44A0" w:rsidP="001D7DFF">
      <w:pPr>
        <w:pStyle w:val="17"/>
      </w:pPr>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p>
    <w:sectPr w:rsidR="00390073"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CFBC" w14:textId="77777777" w:rsidR="005E44A0" w:rsidRDefault="005E44A0" w:rsidP="00A31ACE">
      <w:pPr>
        <w:spacing w:after="0"/>
      </w:pPr>
      <w:r>
        <w:separator/>
      </w:r>
    </w:p>
  </w:endnote>
  <w:endnote w:type="continuationSeparator" w:id="0">
    <w:p w14:paraId="3AE704AB" w14:textId="77777777" w:rsidR="005E44A0" w:rsidRDefault="005E44A0"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2804F" w14:textId="77777777" w:rsidR="005E44A0" w:rsidRDefault="005E44A0" w:rsidP="00A31ACE">
      <w:pPr>
        <w:spacing w:after="0"/>
      </w:pPr>
      <w:r>
        <w:separator/>
      </w:r>
    </w:p>
  </w:footnote>
  <w:footnote w:type="continuationSeparator" w:id="0">
    <w:p w14:paraId="67BCDE6C" w14:textId="77777777" w:rsidR="005E44A0" w:rsidRDefault="005E44A0"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15074B"/>
    <w:rsid w:val="00195275"/>
    <w:rsid w:val="001C5C40"/>
    <w:rsid w:val="001D7DFF"/>
    <w:rsid w:val="00283D3A"/>
    <w:rsid w:val="0029639D"/>
    <w:rsid w:val="002D5CF2"/>
    <w:rsid w:val="003244EB"/>
    <w:rsid w:val="00326F90"/>
    <w:rsid w:val="00390073"/>
    <w:rsid w:val="003C20E3"/>
    <w:rsid w:val="0040007B"/>
    <w:rsid w:val="004D2816"/>
    <w:rsid w:val="00532DB1"/>
    <w:rsid w:val="0059553B"/>
    <w:rsid w:val="005E44A0"/>
    <w:rsid w:val="00633AE9"/>
    <w:rsid w:val="006A6807"/>
    <w:rsid w:val="006B0BC3"/>
    <w:rsid w:val="007E22B6"/>
    <w:rsid w:val="00801D65"/>
    <w:rsid w:val="008200F3"/>
    <w:rsid w:val="008D74B9"/>
    <w:rsid w:val="009330B5"/>
    <w:rsid w:val="00A046E0"/>
    <w:rsid w:val="00A249E2"/>
    <w:rsid w:val="00A31ACE"/>
    <w:rsid w:val="00A3251E"/>
    <w:rsid w:val="00A85C05"/>
    <w:rsid w:val="00AA1D8D"/>
    <w:rsid w:val="00AE7336"/>
    <w:rsid w:val="00B47730"/>
    <w:rsid w:val="00B66552"/>
    <w:rsid w:val="00BB307B"/>
    <w:rsid w:val="00CB0664"/>
    <w:rsid w:val="00D007CE"/>
    <w:rsid w:val="00D16AF6"/>
    <w:rsid w:val="00D76BC3"/>
    <w:rsid w:val="00D823FF"/>
    <w:rsid w:val="00DC435D"/>
    <w:rsid w:val="00DE4743"/>
    <w:rsid w:val="00E05130"/>
    <w:rsid w:val="00ED5334"/>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BCD80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17</Pages>
  <Words>11681</Words>
  <Characters>18925</Characters>
  <Application>Microsoft Office Word</Application>
  <DocSecurity>0</DocSecurity>
  <Lines>610</Lines>
  <Paragraphs>437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12</cp:revision>
  <dcterms:created xsi:type="dcterms:W3CDTF">2013-12-23T23:15:00Z</dcterms:created>
  <dcterms:modified xsi:type="dcterms:W3CDTF">2026-04-19T06:54:00Z</dcterms:modified>
  <cp:category/>
</cp:coreProperties>
</file>