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1="http://schemas.openxmlformats.org/markup-compatibility/2006" xmlns:ns2="http://schemas.microsoft.com/office/word/2010/wordml" xmlns:ns5="http://schemas.microsoft.com/office/word/2010/wordprocessingDrawing" xmlns:ns9="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9E469B5" ns2: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ns2:paraId="5AB81C32" ns2: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ns2:paraId="641E8307" ns2:textId="77777777" w:rsidR="007E22B6" w:rsidRDefault="00A249E2">
      <w:pPr>
        <w:pStyle w:val="04"/>
        <w:ind w:firstLine="300"/>
      </w:pPr>
      <w:r>
        <w:rPr>
          <w:rFonts w:ascii="宋体" w:eastAsia="宋体" w:hAnsi="宋体"/>
        </w:rPr>
        <w:t>（1. 中国矿业大学（北京） 能源与矿业学院，北京 100083）</w:t>
      </w:r>
    </w:p>
    <w:p ns2:paraId="01958DB8" ns2:textId="706EF74F"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m:rPr>
            <m:nor/>
          </m:rP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ns2:paraId="616A8E14" ns2: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ns2:paraId="4FD984FC" ns2:textId="77777777" w:rsidR="007E22B6" w:rsidRDefault="00A249E2">
      <w:pPr>
        <w:pStyle w:val="05"/>
        <w:spacing w:after="60"/>
      </w:pPr>
      <w:r>
        <w:rPr>
          <w:rFonts w:ascii="宋体" w:eastAsia="宋体" w:hAnsi="宋体"/>
        </w:rPr>
        <w:t>中图分类号：TD822    文献标志码：A</w:t>
      </w:r>
    </w:p>
    <w:p ns2:paraId="66CF962E" ns2:textId="77777777" w:rsidR="007E22B6" w:rsidRDefault="00A249E2">
      <w:pPr>
        <w:pStyle w:val="06"/>
        <w:spacing w:after="60"/>
      </w:pPr>
      <w:r>
        <w:rPr>
          <w:rFonts w:eastAsia="宋体"/>
        </w:rPr>
        <w:t>Collaborative planning method for mining districts constrained by overburden disturbance</w:t>
      </w:r>
    </w:p>
    <w:p ns2:paraId="44C14C5C" ns2: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ns2:paraId="469B439B" ns2:textId="77777777" w:rsidR="007E22B6" w:rsidRDefault="00A249E2">
      <w:pPr>
        <w:pStyle w:val="08"/>
        <w:spacing w:after="40"/>
        <w:ind w:firstLine="300"/>
      </w:pPr>
      <w:r>
        <w:rPr>
          <w:rFonts w:eastAsia="宋体"/>
        </w:rPr>
        <w:t>(1. School of Energy and Mining Engineering, China University of Mining and Technology-Beijing, Beijing 100083, China)</w:t>
      </w:r>
    </w:p>
    <w:p ns2:paraId="4D7D7783" ns2:textId="726FB696" w:rsidR="007E22B6" w:rsidRPr="006C4376" w:rsidRDefault="00A249E2" w:rsidP="006C4376">
      <w:pPr>
        <w:pStyle w:val="09"/>
      </w:pPr>
      <w:r w:rsidRPr="006C4376">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m:t>
        </m:r>
        <m:r>
          <m:rPr>
            <m:sty m:val="p"/>
          </m:rPr>
          <w:rPr>
            <w:rFonts w:ascii="Cambria Math" w:hAnsi="Cambria Math"/>
          </w:rPr>
          <m:t>90</m:t>
        </m:r>
      </m:oMath>
      <w:r w:rsidRPr="006C4376">
        <w:t xml:space="preserve"> of 0.7474 and </w:t>
      </w:r>
      <m:oMath>
        <m:r>
          <m:rPr>
            <m:nor/>
          </m:rPr>
          <m:t>ODI&gt;0.70</m:t>
        </m:r>
      </m:oMath>
      <w:r w:rsidRPr="006C4376">
        <w:t xml:space="preserve"> ratio of 15.89%. Under the same ODI field, schemes A, B and C have </w:t>
      </w:r>
      <w:proofErr w:type="gramStart"/>
      <w:r w:rsidRPr="006C4376">
        <w:t>mean</w:t>
      </w:r>
      <w:proofErr w:type="gramEnd"/>
      <w:r w:rsidRPr="006C4376">
        <w:t xml:space="preserve"> ODI values of 0.4463, 0.4552 and 0.4416, </w:t>
      </w:r>
      <m:oMath>
        <m:r>
          <w:rPr>
            <w:rFonts w:ascii="Cambria Math" w:hAnsi="Cambria Math"/>
          </w:rPr>
          <m:t>P</m:t>
        </m:r>
        <m:r>
          <m:rPr>
            <m:sty m:val="p"/>
          </m:rPr>
          <w:rPr>
            <w:rFonts w:ascii="Cambria Math" w:hAnsi="Cambria Math"/>
          </w:rPr>
          <m:t>90</m:t>
        </m:r>
      </m:oMath>
      <w:r w:rsidRPr="006C4376">
        <w:t xml:space="preserve"> values of 0.6407, 0.6462 and 0.6353, and </w:t>
      </w:r>
      <m:oMath>
        <m:r>
          <m:rPr>
            <m:nor/>
          </m:rPr>
          <m:t>ODI&gt;0.70</m:t>
        </m:r>
      </m:oMath>
      <w:r w:rsidRPr="006C4376">
        <w:t xml:space="preserve"> ratios of 0.44%, 0.56% and 1.22%, respectively. The low-disturbance candidate is identified by the joint criterion of mean ODI, </w:t>
      </w:r>
      <m:oMath>
        <m:r>
          <w:rPr>
            <w:rFonts w:ascii="Cambria Math" w:hAnsi="Cambria Math"/>
          </w:rPr>
          <m:t>P</m:t>
        </m:r>
        <m:r>
          <m:rPr>
            <m:sty m:val="p"/>
          </m:rPr>
          <w:rPr>
            <w:rFonts w:ascii="Cambria Math" w:hAnsi="Cambria Math"/>
          </w:rPr>
          <m:t>90</m:t>
        </m:r>
      </m:oMath>
      <w:r w:rsidRPr="006C4376">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ns2:paraId="615EAD23" ns2:textId="77777777" w:rsidR="00DE4743" w:rsidRDefault="00A249E2" w:rsidP="006C4376">
      <w:pPr>
        <w:pStyle w:val="09"/>
      </w:pPr>
      <w:r w:rsidRPr="006C4376">
        <w:t>Keywords: overburden disturbance index; mining district planning; multi-objective selection; candidate set; risk pre-constraint; continuous parameter field</w:t>
      </w:r>
    </w:p>
    <w:p ns2:paraId="162E2BE1" ns2:textId="77777777" w:rsidR="006C4376" w:rsidRPr="006C4376" w:rsidRDefault="006C4376" w:rsidP="006C4376">
      <w:pPr>
        <w:pStyle w:val="09"/>
      </w:pPr>
    </w:p>
    <w:p ns2:paraId="61086970" ns2:textId="77777777" w:rsidR="006C4376" w:rsidRDefault="006C4376" w:rsidP="006C4376">
      <w:pPr>
        <w:pStyle w:val="18"/>
        <w:ind w:firstLineChars="0" w:firstLine="0"/>
        <w:sectPr w:rsidR="006C4376" w:rsidSect="009330B5">
          <w:pgSz w:w="11906" w:h="16838"/>
          <w:pgMar w:top="1417" w:right="1134" w:bottom="1417" w:left="1134" w:header="720" w:footer="720" w:gutter="0"/>
          <w:cols w:space="425"/>
          <w:docGrid w:linePitch="360"/>
        </w:sectPr>
      </w:pPr>
    </w:p>
    <w:p ns2:paraId="0824FBAC" ns2:textId="77777777" w:rsidR="006B0BC3" w:rsidRPr="006C4376" w:rsidRDefault="00A249E2" w:rsidP="006C4376">
      <w:pPr>
        <w:pStyle w:val="18"/>
        <w:ind w:firstLineChars="0" w:firstLine="0"/>
        <w:sectPr w:rsidR="006B0BC3" w:rsidRPr="006C4376" w:rsidSect="006C4376">
          <w:type w:val="continuous"/>
          <w:pgSz w:w="11906" w:h="16838"/>
          <w:pgMar w:top="1417" w:right="1134" w:bottom="1417" w:left="1134" w:header="720" w:footer="720" w:gutter="0"/>
          <w:cols w:num="2" w:space="425"/>
          <w:docGrid w:linePitch="360"/>
        </w:sectPr>
      </w:pPr>
      <w:r w:rsidRPr="006C4376">
        <w:lastRenderedPageBreak/>
        <w:t>收稿日期：</w:t>
      </w:r>
      <w:r w:rsidRPr="006C4376">
        <w:t xml:space="preserve">    </w:t>
      </w:r>
      <w:proofErr w:type="gramStart"/>
      <w:r w:rsidRPr="006C4376">
        <w:t>修回日期</w:t>
      </w:r>
      <w:proofErr w:type="gramEnd"/>
      <w:r w:rsidRPr="006C4376">
        <w:t>：</w:t>
      </w:r>
      <w:r w:rsidRPr="006C4376">
        <w:t xml:space="preserve">    </w:t>
      </w:r>
      <w:r w:rsidRPr="006C4376">
        <w:t>责任编辑：</w:t>
      </w:r>
      <w:r w:rsidRPr="006C4376">
        <w:br/>
      </w:r>
      <w:r w:rsidRPr="006C4376">
        <w:t>基金项目：无。</w:t>
      </w:r>
      <w:r w:rsidRPr="006C4376">
        <w:br/>
      </w:r>
      <w:r w:rsidRPr="006C4376">
        <w:t>作者简介：李杨（</w:t>
      </w:r>
      <w:r w:rsidRPr="006C4376">
        <w:t>1982—</w:t>
      </w:r>
      <w:r w:rsidRPr="006C4376">
        <w:t>），男，河北唐山人，教授，博士，研究方向为矿业工程。</w:t>
      </w:r>
      <w:r w:rsidRPr="006C4376">
        <w:br/>
      </w:r>
      <w:r w:rsidRPr="006C4376">
        <w:t>通信作者：刘</w:t>
      </w:r>
      <w:proofErr w:type="gramStart"/>
      <w:r w:rsidRPr="006C4376">
        <w:t>浩</w:t>
      </w:r>
      <w:proofErr w:type="gramEnd"/>
      <w:r w:rsidRPr="006C4376">
        <w:t>天（</w:t>
      </w:r>
      <w:r w:rsidRPr="006C4376">
        <w:t>2001—</w:t>
      </w:r>
      <w:r w:rsidRPr="006C4376">
        <w:t>），男，河北唐山人，博士研究生，研究方向为矿业工程。</w:t>
      </w:r>
      <w:r w:rsidRPr="006C4376">
        <w:t>Tel</w:t>
      </w:r>
      <w:r w:rsidRPr="006C4376">
        <w:t>：</w:t>
      </w:r>
      <w:r w:rsidRPr="006C4376">
        <w:t>17692508100</w:t>
      </w:r>
      <w:r w:rsidRPr="006C4376">
        <w:t>，</w:t>
      </w:r>
      <w:r w:rsidRPr="006C4376">
        <w:t>E-mail</w:t>
      </w:r>
      <w:r w:rsidRPr="006C4376">
        <w:t>：</w:t>
      </w:r>
      <w:r w:rsidRPr="006C4376">
        <w:t>gqt2500103011@student.cumtb.edu.cn</w:t>
      </w:r>
      <w:r w:rsidRPr="006C4376">
        <w:t>。</w:t>
      </w:r>
    </w:p>
    <w:p ns2:paraId="0DD7B4CD" ns2:textId="77777777" w:rsidR="007E22B6" w:rsidRDefault="007E22B6"/>
    <w:p ns2:paraId="273FE29B" ns2:textId="77777777" w:rsidR="007E22B6" w:rsidRPr="00A046E0" w:rsidRDefault="00A249E2" w:rsidP="00A046E0">
      <w:pPr>
        <w:pStyle w:val="11"/>
        <w:rPr>
          <w:rFonts w:ascii="宋体" w:hAnsi="宋体"/>
        </w:rPr>
      </w:pPr>
      <w:r>
        <w:rPr>
          <w:rFonts w:ascii="宋体" w:eastAsia="宋体" w:hAnsi="宋体"/>
          <w:sz w:val="21"/>
        </w:rPr>
        <w:t>0 引言</w:t>
      </w:r>
    </w:p>
    <w:p ns2:paraId="58E52EBF" ns2: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hyperlink w:anchor="REF_001" w:history="1">
        <w:r w:rsidRPr="000E0157">
          <w:rPr>
            <w:color w:val="000000"/>
            <w:sz w:val="18"/>
            <w:vertAlign w:val="superscript"/>
          </w:rPr>
          <w:t>[1-10]</w:t>
        </w:r>
      </w:hyperlink>
      <w:r>
        <w:t>。工程实践中，采区边界、钻孔、分层、参数场、风险分析与方案评价常分散于不同软件和人工环节，导致基础数据反复整理、中间成果难以复用。</w:t>
      </w:r>
    </w:p>
    <w:p ns2:paraId="6B3F3871" ns2: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hyperlink w:anchor="REF_011" w:history="1">
        <w:r w:rsidRPr="000E0157">
          <w:rPr>
            <w:color w:val="000000"/>
            <w:sz w:val="18"/>
            <w:vertAlign w:val="superscript"/>
          </w:rPr>
          <w:t>[11-33]</w:t>
        </w:r>
      </w:hyperlink>
      <w:r>
        <w:t>。地下矿山布置优化、多目标规划和生产调度研究表明，候选方案生成、目标排序和多方案比较有助于提升规划决策质量</w:t>
      </w:r>
      <w:r>
        <w:fldChar w:fldCharType="begin"/>
      </w:r>
      <w:r>
        <w:instrText>HYPERLINK \l "REF_034"</w:instrText>
      </w:r>
      <w:r>
        <w:fldChar w:fldCharType="separate"/>
      </w:r>
      <w:r w:rsidRPr="000E0157">
        <w:rPr>
          <w:color w:val="000000"/>
          <w:sz w:val="18"/>
          <w:vertAlign w:val="superscript"/>
        </w:rPr>
        <w:t>[34-39]</w:t>
      </w:r>
      <w:r>
        <w:fldChar w:fldCharType="end"/>
      </w:r>
      <w:r>
        <w:t>。数字孪生、透明工作面、矿山地质建模与过程管理技术的发展，也为采区边界、钻孔、分层和生产状态在统一数据空间中的组织提供了条件</w:t>
      </w:r>
      <w:r>
        <w:fldChar w:fldCharType="begin"/>
      </w:r>
      <w:r>
        <w:instrText>HYPERLINK \l "REF_005"</w:instrText>
      </w:r>
      <w:r>
        <w:fldChar w:fldCharType="separate"/>
      </w:r>
      <w:r w:rsidRPr="000E0157">
        <w:rPr>
          <w:color w:val="000000"/>
          <w:sz w:val="18"/>
          <w:vertAlign w:val="superscript"/>
        </w:rPr>
        <w:t>[5-10,40-42]</w:t>
      </w:r>
      <w:r>
        <w:fldChar w:fldCharType="end"/>
      </w:r>
      <w:r>
        <w:t>；矿山经济评价则逐步由静态收益测算转向动态现金流、风险成本和多方案比较</w:t>
      </w:r>
      <w:r>
        <w:fldChar w:fldCharType="begin"/>
      </w:r>
      <w:r>
        <w:instrText>HYPERLINK \l "REF_043"</w:instrText>
      </w:r>
      <w:r>
        <w:fldChar w:fldCharType="separate"/>
      </w:r>
      <w:r w:rsidRPr="000E0157">
        <w:rPr>
          <w:color w:val="000000"/>
          <w:sz w:val="18"/>
          <w:vertAlign w:val="superscript"/>
        </w:rPr>
        <w:t>[43-45]</w:t>
      </w:r>
      <w:r>
        <w:fldChar w:fldCharType="end"/>
      </w:r>
      <w:r>
        <w:t>。</w:t>
      </w:r>
    </w:p>
    <w:p ns2:paraId="736525D5" ns2: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fldChar w:fldCharType="begin"/>
      </w:r>
      <w:r>
        <w:instrText>HYPERLINK \l "REF_009"</w:instrText>
      </w:r>
      <w:r>
        <w:fldChar w:fldCharType="separate"/>
      </w:r>
      <w:r w:rsidRPr="000E0157">
        <w:rPr>
          <w:color w:val="000000"/>
          <w:sz w:val="18"/>
          <w:vertAlign w:val="superscript"/>
        </w:rPr>
        <w:t>[9-10]</w:t>
      </w:r>
      <w:r>
        <w:fldChar w:fldCharType="end"/>
      </w:r>
      <w:r>
        <w:t>；二是地表沉陷、含水层扰动、导水裂隙带和上行开采等风险具有不同量纲、判据和尺度，多数研究仍偏向单一场景或单一判据，难以形成统一约束表达</w:t>
      </w:r>
      <w:r>
        <w:fldChar w:fldCharType="begin"/>
      </w:r>
      <w:r>
        <w:instrText>HYPERLINK \l "REF_022"</w:instrText>
      </w:r>
      <w:r>
        <w:fldChar w:fldCharType="separate"/>
      </w:r>
      <w:r w:rsidRPr="000E0157">
        <w:rPr>
          <w:color w:val="000000"/>
          <w:sz w:val="18"/>
          <w:vertAlign w:val="superscript"/>
        </w:rPr>
        <w:t>[22-26,30,32-33]</w:t>
      </w:r>
      <w:r>
        <w:fldChar w:fldCharType="end"/>
      </w:r>
      <w:r>
        <w:t>；三是布局优化研究多强调几何求解或算法排序，对规划结果向采掘接续、参数调控和经济评价传递的讨论不足</w:t>
      </w:r>
      <w:r>
        <w:fldChar w:fldCharType="begin"/>
      </w:r>
      <w:r>
        <w:instrText>HYPERLINK \l "REF_006"</w:instrText>
      </w:r>
      <w:r>
        <w:fldChar w:fldCharType="separate"/>
      </w:r>
      <w:r w:rsidRPr="000E0157">
        <w:rPr>
          <w:color w:val="000000"/>
          <w:sz w:val="18"/>
          <w:vertAlign w:val="superscript"/>
        </w:rPr>
        <w:t>[6,46-47]</w:t>
      </w:r>
      <w:r>
        <w:fldChar w:fldCharType="end"/>
      </w:r>
      <w:r>
        <w:t>。</w:t>
      </w:r>
    </w:p>
    <w:p ns2:paraId="0A69540B" ns2: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ns2:paraId="05C9E09F" ns2: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ns2:paraId="2CBAF733" ns2: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ns2:paraId="1BAA254A" ns2:textId="77777777" w:rsidR="009330B5" w:rsidRDefault="009330B5">
      <w:pPr>
        <w:spacing w:after="60"/>
        <w:rPr>
          <w:rFonts w:ascii="黑体" w:eastAsia="黑体" w:hAnsi="黑体" w:hint="eastAsia"/>
          <w:b/>
          <w:sz w:val="26"/>
        </w:rPr>
      </w:pPr>
    </w:p>
    <w:p ns2:paraId="69653F7A" ns2: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ns2:paraId="6C4122FA" ns2: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ns2:paraId="19E7D419" ns2: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风险由地表沉陷、含水层扰动、上行开采安全性和局部地质采矿条件共同作用形成。导水裂隙带高度、关键层控制、</w:t>
      </w:r>
      <w:proofErr w:type="gramStart"/>
      <w:r>
        <w:t>覆岩破坏</w:t>
      </w:r>
      <w:proofErr w:type="gramEnd"/>
      <w:r>
        <w:t>充分采动程度、含水层富水性和保</w:t>
      </w:r>
      <w:proofErr w:type="gramStart"/>
      <w:r>
        <w:t>水采</w:t>
      </w:r>
      <w:proofErr w:type="gramEnd"/>
      <w:r>
        <w:t>煤等研究表明，</w:t>
      </w:r>
      <w:r>
        <w:lastRenderedPageBreak/>
        <w:t>相关判据与岩层结构、采高、工作面尺度、含水层位置和水文地质条件密切相关</w:t>
      </w:r>
      <w:hyperlink w:anchor="REF_022" w:history="1">
        <w:r w:rsidRPr="000E0157">
          <w:rPr>
            <w:color w:val="000000"/>
            <w:sz w:val="18"/>
            <w:vertAlign w:val="superscript"/>
          </w:rPr>
          <w:t>[22-26,29-30,32-33]</w:t>
        </w:r>
      </w:hyperlink>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ns2:paraId="6DC07F8C" ns2:textId="77777777" w:rsidR="00195275" w:rsidRDefault="00DC435D">
      <w:pPr>
        <w:jc w:val="center"/>
      </w:pPr>
      <w:r>
        <w:rPr>
          <w:rFonts w:ascii="宋体" w:eastAsia="宋体" w:hAnsi="宋体"/>
          <w:noProof/>
        </w:rPr>
        <w:drawing>
          <wp:inline distT="0" distB="0" distL="0" distR="0" ns5:anchorId="391C9EBB" ns5:editId="60147B32">
            <wp:extent cx="2788920" cy="1185303"/>
            <wp:effectExtent l="0" t="0" r="0" b="3810"/>
            <wp:docPr id="24631853"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
                      <a:extLst>
                        <a:ext uri="{28A0092B-C50C-407E-A947-70E740481C1C}" cx="2788920" cy="1185303">
                          <ns9:useLocalDpi val="0"/>
                        </a:ext>
                      </a:extLst>
                    </a:blip>
                    <a:srcRect/>
                    <a:stretch>
                      <a:fillRect/>
                    </a:stretch>
                  </pic:blipFill>
                  <pic:spPr bwMode="auto">
                    <a:xfrm>
                      <a:off x="0" y="0"/>
                      <a:ext cx="2788920" cy="1367898"/>
                    </a:xfrm>
                    <a:prstGeom prst="rect">
                      <a:avLst/>
                    </a:prstGeom>
                    <a:noFill/>
                    <a:ln>
                      <a:noFill/>
                    </a:ln>
                  </pic:spPr>
                </pic:pic>
              </a:graphicData>
            </a:graphic>
          </wp:inline>
        </w:drawing>
      </w:r>
    </w:p>
    <w:p ns2:paraId="0CEA0E1B" ns2:textId="77777777" w:rsidR="00195275" w:rsidRDefault="00A249E2">
      <w:pPr>
        <w:pStyle w:val="14"/>
      </w:pPr>
      <w:r>
        <w:t>图</w:t>
      </w:r>
      <w:r>
        <w:t>1 ODI</w:t>
      </w:r>
      <w:r>
        <w:t>风险约束逻辑示意图</w:t>
      </w:r>
      <w:r>
        <w:br/>
        <w:t>Fig.1 Schematic diagram of the ODI risk-constraint logic</w:t>
      </w:r>
    </w:p>
    <w:p ns2:paraId="0A2BD92F" ns2:textId="0BFFA5F3"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0F398D7D" ns2:textId="77777777" w:rsidTr="00A3251E">
        <w:trPr>
          <w:jc w:val="center"/>
        </w:trPr>
        <w:tc>
          <w:tcPr>
            <w:tcW w:w="560" w:type="dxa"/>
            <w:vAlign w:val="center"/>
          </w:tcPr>
          <w:p ns2:paraId="4F379C77" ns2:textId="77777777" w:rsidR="00390073" w:rsidRPr="00A3251E" w:rsidRDefault="00390073" w:rsidP="00A3251E">
            <w:pPr>
              <w:spacing w:before="0" w:after="0"/>
              <w:rPr>
                <w:sz w:val="21"/>
              </w:rPr>
            </w:pPr>
          </w:p>
        </w:tc>
        <w:tc>
          <w:tcPr>
            <w:tcW w:w="8300" w:type="dxa"/>
            <w:vAlign w:val="center"/>
          </w:tcPr>
          <w:p ns2:paraId="237A6A82" ns2:textId="101A3BCF" w:rsidR="00390073" w:rsidRPr="00A3251E" w:rsidRDefault="00B419FA" w:rsidP="00A3251E">
            <w:pPr>
              <w:spacing w:before="0" w:after="0"/>
              <w:jc w:val="center"/>
              <w:rPr>
                <w:sz w:val="21"/>
              </w:rPr>
            </w:pPr>
            <m:oMathPara>
              <m:oMath>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ns2:paraId="2A54B892" ns2:textId="77777777" w:rsidR="00390073" w:rsidRPr="00A3251E" w:rsidRDefault="005E44A0" w:rsidP="00A3251E">
            <w:pPr>
              <w:spacing w:before="0" w:after="0"/>
              <w:jc w:val="right"/>
              <w:rPr>
                <w:sz w:val="21"/>
              </w:rPr>
            </w:pPr>
            <w:r w:rsidRPr="00A3251E">
              <w:rPr>
                <w:rFonts w:eastAsia="Times New Roman"/>
                <w:sz w:val="21"/>
              </w:rPr>
              <w:t>（1）</w:t>
            </w:r>
          </w:p>
        </w:tc>
      </w:tr>
    </w:tbl>
    <w:p ns2:paraId="2DF59CB9" ns2: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56B15A0A" ns2:textId="77777777" w:rsidTr="00A3251E">
        <w:trPr>
          <w:jc w:val="center"/>
        </w:trPr>
        <w:tc>
          <w:tcPr>
            <w:tcW w:w="560" w:type="dxa"/>
            <w:vAlign w:val="center"/>
          </w:tcPr>
          <w:p ns2:paraId="428A3468" ns2:textId="77777777" w:rsidR="00390073" w:rsidRPr="00A3251E" w:rsidRDefault="00390073" w:rsidP="00A3251E">
            <w:pPr>
              <w:spacing w:before="0" w:after="0"/>
              <w:rPr>
                <w:sz w:val="21"/>
              </w:rPr>
            </w:pPr>
          </w:p>
        </w:tc>
        <w:tc>
          <w:tcPr>
            <w:tcW w:w="8300" w:type="dxa"/>
            <w:vAlign w:val="center"/>
          </w:tcPr>
          <w:p ns2:paraId="4B095365" ns2: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ns2:paraId="3FD12CD2" ns2:textId="77777777" w:rsidR="00390073" w:rsidRPr="00A3251E" w:rsidRDefault="005E44A0" w:rsidP="00A3251E">
            <w:pPr>
              <w:spacing w:before="0" w:after="0"/>
              <w:jc w:val="right"/>
              <w:rPr>
                <w:sz w:val="21"/>
              </w:rPr>
            </w:pPr>
            <w:r w:rsidRPr="00A3251E">
              <w:rPr>
                <w:rFonts w:eastAsia="Times New Roman"/>
                <w:sz w:val="21"/>
              </w:rPr>
              <w:t>（2）</w:t>
            </w:r>
          </w:p>
        </w:tc>
      </w:tr>
    </w:tbl>
    <w:p ns2:paraId="6CD82518" ns2: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ns2:paraId="3B140666" ns2: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m:rPr>
            <m:nor/>
          </m:rPr>
          <w:rPr>
            <w:rFonts w:ascii="Cambria Math" w:hAnsi="Cambria Math"/>
          </w:rPr>
          <m:t>,min</m:t>
        </m:r>
      </m:oMath>
      <w:proofErr w:type="spellStart"/>
      <w:r>
        <w:t>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07A6D208" ns2:textId="77777777" w:rsidTr="00A3251E">
        <w:trPr>
          <w:jc w:val="center"/>
        </w:trPr>
        <w:tc>
          <w:tcPr>
            <w:tcW w:w="560" w:type="dxa"/>
            <w:vAlign w:val="center"/>
          </w:tcPr>
          <w:p ns2:paraId="0A465A7D" ns2:textId="77777777" w:rsidR="00390073" w:rsidRPr="00A3251E" w:rsidRDefault="00390073" w:rsidP="00A3251E">
            <w:pPr>
              <w:spacing w:before="0" w:after="0"/>
              <w:rPr>
                <w:sz w:val="21"/>
              </w:rPr>
            </w:pPr>
          </w:p>
        </w:tc>
        <w:tc>
          <w:tcPr>
            <w:tcW w:w="8300" w:type="dxa"/>
            <w:vAlign w:val="center"/>
          </w:tcPr>
          <w:p ns2:paraId="480A224F" ns2:textId="1D79AEC2"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ns2:paraId="47D313AE" ns2:textId="77777777" w:rsidR="00390073" w:rsidRPr="00A3251E" w:rsidRDefault="005E44A0" w:rsidP="00A3251E">
            <w:pPr>
              <w:spacing w:before="0" w:after="0"/>
              <w:jc w:val="right"/>
              <w:rPr>
                <w:sz w:val="21"/>
              </w:rPr>
            </w:pPr>
            <w:r w:rsidRPr="00A3251E">
              <w:rPr>
                <w:rFonts w:eastAsia="Times New Roman"/>
                <w:sz w:val="21"/>
              </w:rPr>
              <w:t>（3）</w:t>
            </w:r>
          </w:p>
        </w:tc>
      </w:tr>
    </w:tbl>
    <w:p ns2:paraId="25D42BE3" ns2: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4194C291" ns2:textId="77777777" w:rsidTr="00A3251E">
        <w:trPr>
          <w:jc w:val="center"/>
        </w:trPr>
        <w:tc>
          <w:tcPr>
            <w:tcW w:w="560" w:type="dxa"/>
            <w:vAlign w:val="center"/>
          </w:tcPr>
          <w:p ns2:paraId="57A47908" ns2:textId="77777777" w:rsidR="00390073" w:rsidRPr="00A3251E" w:rsidRDefault="00390073" w:rsidP="00A3251E">
            <w:pPr>
              <w:spacing w:before="0" w:after="0"/>
              <w:rPr>
                <w:sz w:val="21"/>
              </w:rPr>
            </w:pPr>
          </w:p>
        </w:tc>
        <w:tc>
          <w:tcPr>
            <w:tcW w:w="8300" w:type="dxa"/>
            <w:vAlign w:val="center"/>
          </w:tcPr>
          <w:p ns2:paraId="5BC41261" ns2:textId="0177DC8F"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ns2:paraId="0C01F15A" ns2:textId="77777777" w:rsidR="00390073" w:rsidRPr="00A3251E" w:rsidRDefault="005E44A0" w:rsidP="00A3251E">
            <w:pPr>
              <w:spacing w:before="0" w:after="0"/>
              <w:jc w:val="right"/>
              <w:rPr>
                <w:sz w:val="21"/>
              </w:rPr>
            </w:pPr>
            <w:r w:rsidRPr="00A3251E">
              <w:rPr>
                <w:rFonts w:eastAsia="Times New Roman"/>
                <w:sz w:val="21"/>
              </w:rPr>
              <w:t>（4）</w:t>
            </w:r>
          </w:p>
        </w:tc>
      </w:tr>
    </w:tbl>
    <w:p ns2:paraId="02F90959" ns2: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6F18B04C" ns2:textId="77777777" w:rsidTr="00A3251E">
        <w:trPr>
          <w:jc w:val="center"/>
        </w:trPr>
        <w:tc>
          <w:tcPr>
            <w:tcW w:w="560" w:type="dxa"/>
            <w:vAlign w:val="center"/>
          </w:tcPr>
          <w:p ns2:paraId="26E8588D" ns2:textId="77777777" w:rsidR="00390073" w:rsidRPr="00A3251E" w:rsidRDefault="00390073" w:rsidP="00A3251E">
            <w:pPr>
              <w:spacing w:before="0" w:after="0"/>
              <w:rPr>
                <w:sz w:val="21"/>
              </w:rPr>
            </w:pPr>
          </w:p>
        </w:tc>
        <w:tc>
          <w:tcPr>
            <w:tcW w:w="8300" w:type="dxa"/>
            <w:vAlign w:val="center"/>
          </w:tcPr>
          <w:p ns2:paraId="3A99DC10" ns2:textId="4305EB98"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ns2:paraId="3B9C1D31" ns2:textId="77777777" w:rsidR="00390073" w:rsidRPr="00A3251E" w:rsidRDefault="005E44A0" w:rsidP="00A3251E">
            <w:pPr>
              <w:spacing w:before="0" w:after="0"/>
              <w:jc w:val="right"/>
              <w:rPr>
                <w:sz w:val="21"/>
              </w:rPr>
            </w:pPr>
            <w:r w:rsidRPr="00A3251E">
              <w:rPr>
                <w:rFonts w:eastAsia="Times New Roman"/>
                <w:sz w:val="21"/>
              </w:rPr>
              <w:t>（5）</w:t>
            </w:r>
          </w:p>
        </w:tc>
      </w:tr>
    </w:tbl>
    <w:p ns2:paraId="21304919" ns2: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m:rPr>
                    <m:nor/>
                  </m:rP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m:rPr>
                        <m:nor/>
                      </m:rP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w:t>
      </w:r>
      <w:proofErr w:type="gramStart"/>
      <w:r>
        <w:t>方案级</w:t>
      </w:r>
      <w:proofErr w:type="gramEnd"/>
      <w:r>
        <w:t>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ns2:paraId="547116BA" ns2:textId="77777777" w:rsidR="009330B5" w:rsidRDefault="009330B5">
      <w:pPr>
        <w:spacing w:after="60"/>
        <w:rPr>
          <w:rFonts w:ascii="宋体" w:hAnsi="宋体"/>
          <w:b/>
          <w:sz w:val="22"/>
        </w:rPr>
      </w:pPr>
    </w:p>
    <w:p ns2:paraId="1181C4D3" ns2:textId="77777777" w:rsidR="007E22B6" w:rsidRDefault="00A249E2" w:rsidP="00A046E0">
      <w:pPr>
        <w:pStyle w:val="12"/>
      </w:pPr>
      <w:r>
        <w:rPr>
          <w:rFonts w:ascii="宋体" w:eastAsia="宋体" w:hAnsi="宋体"/>
          <w:sz w:val="21"/>
        </w:rPr>
        <w:t>1.2 有效布置</w:t>
      </w:r>
      <w:proofErr w:type="gramStart"/>
      <w:r>
        <w:rPr>
          <w:rFonts w:ascii="宋体" w:eastAsia="宋体" w:hAnsi="宋体"/>
          <w:sz w:val="21"/>
        </w:rPr>
        <w:t>域与连续参数场</w:t>
      </w:r>
      <w:proofErr w:type="gramEnd"/>
      <w:r>
        <w:rPr>
          <w:rFonts w:ascii="宋体" w:eastAsia="宋体" w:hAnsi="宋体"/>
          <w:sz w:val="21"/>
        </w:rPr>
        <w:t>构建</w:t>
      </w:r>
    </w:p>
    <w:p ns2:paraId="3A6891AB" ns2: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w:t>
      </w:r>
      <w:r>
        <w:lastRenderedPageBreak/>
        <w:t>粗粒度表达转向多源融合和动态修正</w:t>
      </w:r>
      <w:hyperlink w:anchor="REF_008" w:history="1">
        <w:r w:rsidRPr="000E0157">
          <w:rPr>
            <w:color w:val="000000"/>
            <w:sz w:val="18"/>
            <w:vertAlign w:val="superscript"/>
          </w:rPr>
          <w:t>[8-10]</w:t>
        </w:r>
      </w:hyperlink>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ns2:paraId="58A91DBE" ns2: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4B985CE3" ns2:textId="77777777" w:rsidTr="00A3251E">
        <w:trPr>
          <w:jc w:val="center"/>
        </w:trPr>
        <w:tc>
          <w:tcPr>
            <w:tcW w:w="560" w:type="dxa"/>
            <w:vAlign w:val="center"/>
          </w:tcPr>
          <w:p ns2:paraId="6AE6ECF2" ns2:textId="77777777" w:rsidR="00390073" w:rsidRPr="00A3251E" w:rsidRDefault="00390073" w:rsidP="00A3251E">
            <w:pPr>
              <w:spacing w:before="0" w:after="0"/>
              <w:rPr>
                <w:sz w:val="21"/>
              </w:rPr>
            </w:pPr>
          </w:p>
        </w:tc>
        <w:tc>
          <w:tcPr>
            <w:tcW w:w="8300" w:type="dxa"/>
            <w:vAlign w:val="center"/>
          </w:tcPr>
          <w:p ns2:paraId="381CE179" ns2:textId="3D555795" w:rsidR="00390073" w:rsidRPr="00A3251E" w:rsidRDefault="00000000"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m:rPr>
                        <m:nor/>
                      </m:rPr>
                      <w:rPr>
                        <w:rFonts w:ascii="Cambria Math" w:hAnsi="Cambria Math"/>
                        <w:sz w:val="21"/>
                      </w:rPr>
                      <m:t>n</m:t>
                    </m:r>
                  </m:e>
                  <m:sub>
                    <m:func>
                      <m:funcPr>
                        <m:ctrlPr>
                          <w:rPr>
                            <w:rFonts w:ascii="Cambria Math" w:hAnsi="Cambria Math"/>
                            <w:sz w:val="21"/>
                          </w:rPr>
                        </m:ctrlPr>
                      </m:funcPr>
                      <m:fName>
                        <m:r>
                          <m:rPr>
                            <m:nor/>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ns2:paraId="4702A59D" ns2:textId="77777777" w:rsidR="00390073" w:rsidRPr="00A3251E" w:rsidRDefault="005E44A0" w:rsidP="00A3251E">
            <w:pPr>
              <w:spacing w:before="0" w:after="0"/>
              <w:jc w:val="right"/>
              <w:rPr>
                <w:sz w:val="21"/>
              </w:rPr>
            </w:pPr>
            <w:r w:rsidRPr="00A3251E">
              <w:rPr>
                <w:rFonts w:eastAsia="Times New Roman"/>
                <w:sz w:val="21"/>
              </w:rPr>
              <w:t>（6）</w:t>
            </w:r>
          </w:p>
        </w:tc>
      </w:tr>
    </w:tbl>
    <w:p ns2:paraId="26BE59A2" ns2: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m:rPr>
            <m:nor/>
          </m:rPr>
          <w:rPr>
            <w:rFonts w:ascii="Cambria Math" w:hAnsi="Cambria Math"/>
          </w:rPr>
          <m:t>Con</m:t>
        </m:r>
        <m:sSub>
          <m:sSubPr>
            <m:ctrlPr>
              <w:rPr>
                <w:rFonts w:ascii="Cambria Math" w:hAnsi="Cambria Math"/>
                <w:i/>
              </w:rPr>
            </m:ctrlPr>
          </m:sSubPr>
          <m:e>
            <m:r>
              <m:rPr>
                <m:nor/>
              </m:rPr>
              <w:rPr>
                <w:rFonts w:ascii="Cambria Math" w:hAnsi="Cambria Math"/>
              </w:rPr>
              <m:t>n</m:t>
            </m:r>
          </m:e>
          <m:sub>
            <m:func>
              <m:funcPr>
                <m:ctrlPr>
                  <w:rPr>
                    <w:rFonts w:ascii="Cambria Math" w:hAnsi="Cambria Math"/>
                  </w:rPr>
                </m:ctrlPr>
              </m:funcPr>
              <m:fName>
                <m:r>
                  <m:rPr>
                    <m:nor/>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w:t>
      </w:r>
      <w:proofErr w:type="gramStart"/>
      <w:r>
        <w:rPr>
          <w:rFonts w:hint="eastAsia"/>
        </w:rPr>
        <w:t>若内缩后</w:t>
      </w:r>
      <w:proofErr w:type="gramEnd"/>
      <w:r>
        <w:rPr>
          <w:rFonts w:hint="eastAsia"/>
        </w:rPr>
        <w:t>出现多连通域或局部狭长畸变，则优先保留主连通区域，并在不突破安全煤柱底线的前提下采用降级内缩策略，以保证后续工作面布置具有几何可解性。</w:t>
      </w:r>
    </w:p>
    <w:p ns2:paraId="6D6E03AD" ns2:textId="6A5DACE2" w:rsidR="009330B5" w:rsidRPr="00A222E7" w:rsidRDefault="009330B5" w:rsidP="009330B5">
      <w:pPr>
        <w:pStyle w:val="10"/>
        <w:spacing w:after="40"/>
        <w:ind w:firstLine="420"/>
      </w:pPr>
      <w:r w:rsidRPr="00A222E7">
        <w:rPr>
          <w:rFonts w:ascii="宋体" w:eastAsia="宋体" w:hAnsi="宋体"/>
        </w:rPr>
        <w:t>对给定样点集合，煤层厚度等</w:t>
      </w:r>
      <w:proofErr w:type="gramStart"/>
      <w:r w:rsidRPr="00A222E7">
        <w:rPr>
          <w:rFonts w:ascii="宋体" w:eastAsia="宋体" w:hAnsi="宋体"/>
        </w:rPr>
        <w:t>参数场</w:t>
      </w:r>
      <w:proofErr w:type="gramEnd"/>
      <w:r w:rsidRPr="00A222E7">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74C9C7B7" ns2:textId="77777777" w:rsidTr="00A3251E">
        <w:trPr>
          <w:jc w:val="center"/>
        </w:trPr>
        <w:tc>
          <w:tcPr>
            <w:tcW w:w="560" w:type="dxa"/>
            <w:vAlign w:val="center"/>
          </w:tcPr>
          <w:p ns2:paraId="308FE2C8" ns2:textId="77777777" w:rsidR="00390073" w:rsidRPr="00A3251E" w:rsidRDefault="00390073" w:rsidP="00A3251E">
            <w:pPr>
              <w:spacing w:before="0" w:after="0"/>
              <w:rPr>
                <w:sz w:val="21"/>
              </w:rPr>
            </w:pPr>
          </w:p>
        </w:tc>
        <w:tc>
          <w:tcPr>
            <w:tcW w:w="8300" w:type="dxa"/>
            <w:vAlign w:val="center"/>
          </w:tcPr>
          <w:p ns2:paraId="1AFBF1E5" ns2: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ns2:paraId="4E7B8C7F" ns2:textId="77777777" w:rsidR="00390073" w:rsidRPr="00A3251E" w:rsidRDefault="005E44A0" w:rsidP="00A3251E">
            <w:pPr>
              <w:spacing w:before="0" w:after="0"/>
              <w:jc w:val="right"/>
              <w:rPr>
                <w:sz w:val="21"/>
              </w:rPr>
            </w:pPr>
            <w:r w:rsidRPr="00A3251E">
              <w:rPr>
                <w:rFonts w:eastAsia="Times New Roman"/>
                <w:sz w:val="21"/>
              </w:rPr>
              <w:t>（7）</w:t>
            </w:r>
          </w:p>
        </w:tc>
      </w:tr>
    </w:tbl>
    <w:p ns2:paraId="7BFFA0AD" ns2: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proofErr w:type="spellStart"/>
      <w:r>
        <w:t>i</w:t>
      </w:r>
      <w:proofErr w:type="spellEnd"/>
      <w:proofErr w:type="gramStart"/>
      <w:r>
        <w:t>个</w:t>
      </w:r>
      <w:proofErr w:type="gramEnd"/>
      <w:r>
        <w:t>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proofErr w:type="spellStart"/>
      <w:r>
        <w:t>i</w:t>
      </w:r>
      <w:proofErr w:type="spellEnd"/>
      <w:r>
        <w:t>个钻孔的距离，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阶段后，应补充留一交叉验证或与克里</w:t>
      </w:r>
      <w:proofErr w:type="gramStart"/>
      <w:r>
        <w:t>金结果</w:t>
      </w:r>
      <w:proofErr w:type="gramEnd"/>
      <w:r>
        <w:t>对比，以量化</w:t>
      </w:r>
      <w:proofErr w:type="gramStart"/>
      <w:r>
        <w:t>参数场</w:t>
      </w:r>
      <w:proofErr w:type="gramEnd"/>
      <w:r>
        <w:t>误差对规划结果的影响。</w:t>
      </w:r>
    </w:p>
    <w:p ns2:paraId="18C40DF4" ns2: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ns2:paraId="3457FBEB" ns2: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ns2:paraId="2E683BA4" ns2:textId="77777777" w:rsidR="007E22B6" w:rsidRDefault="00A249E2" w:rsidP="00A046E0">
      <w:pPr>
        <w:pStyle w:val="12"/>
      </w:pPr>
      <w:r>
        <w:rPr>
          <w:sz w:val="21"/>
        </w:rPr>
        <w:t xml:space="preserve">1.3 </w:t>
      </w:r>
      <w:r>
        <w:rPr>
          <w:sz w:val="21"/>
        </w:rPr>
        <w:t>候选方案生成与多目标比选模型</w:t>
      </w:r>
    </w:p>
    <w:p ns2:paraId="6FC4D12D" ns2: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ns2:paraId="6C9999F0" ns2: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668FCDFC" ns2:textId="77777777" w:rsidTr="00A3251E">
        <w:trPr>
          <w:jc w:val="center"/>
        </w:trPr>
        <w:tc>
          <w:tcPr>
            <w:tcW w:w="560" w:type="dxa"/>
            <w:vAlign w:val="center"/>
          </w:tcPr>
          <w:p ns2:paraId="5BB39049" ns2:textId="77777777" w:rsidR="00390073" w:rsidRPr="00A3251E" w:rsidRDefault="00390073" w:rsidP="00A3251E">
            <w:pPr>
              <w:spacing w:before="0" w:after="0"/>
              <w:rPr>
                <w:sz w:val="21"/>
              </w:rPr>
            </w:pPr>
          </w:p>
        </w:tc>
        <w:tc>
          <w:tcPr>
            <w:tcW w:w="8300" w:type="dxa"/>
            <w:vAlign w:val="center"/>
          </w:tcPr>
          <w:p ns2:paraId="12B3235A" ns2: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ns2:paraId="7D5FFD92" ns2:textId="77777777" w:rsidR="00390073" w:rsidRPr="00A3251E" w:rsidRDefault="005E44A0" w:rsidP="00A3251E">
            <w:pPr>
              <w:spacing w:before="0" w:after="0"/>
              <w:jc w:val="right"/>
              <w:rPr>
                <w:sz w:val="21"/>
              </w:rPr>
            </w:pPr>
            <w:r w:rsidRPr="00A3251E">
              <w:rPr>
                <w:rFonts w:eastAsia="Times New Roman"/>
                <w:sz w:val="21"/>
              </w:rPr>
              <w:t>（8）</w:t>
            </w:r>
          </w:p>
        </w:tc>
      </w:tr>
    </w:tbl>
    <w:p ns2:paraId="35DE37CE" ns2: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ns2:paraId="290FABF6" ns2: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50D9F2EE" ns2:textId="77777777" w:rsidTr="00A3251E">
        <w:trPr>
          <w:jc w:val="center"/>
        </w:trPr>
        <w:tc>
          <w:tcPr>
            <w:tcW w:w="560" w:type="dxa"/>
            <w:vAlign w:val="center"/>
          </w:tcPr>
          <w:p ns2:paraId="5944B2D7" ns2:textId="77777777" w:rsidR="00390073" w:rsidRPr="00A3251E" w:rsidRDefault="00390073" w:rsidP="00A3251E">
            <w:pPr>
              <w:spacing w:before="0" w:after="0"/>
              <w:rPr>
                <w:sz w:val="21"/>
              </w:rPr>
            </w:pPr>
          </w:p>
        </w:tc>
        <w:tc>
          <w:tcPr>
            <w:tcW w:w="8300" w:type="dxa"/>
            <w:vAlign w:val="center"/>
          </w:tcPr>
          <w:p ns2:paraId="3B8DBDF8" ns2:textId="13F3B4F5"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m:rPr>
                        <m:nor/>
                      </m:rPr>
                      <w:rPr>
                        <w:rFonts w:ascii="Cambria Math" w:hAnsi="Cambria Math"/>
                        <w:sz w:val="21"/>
                      </w:rPr>
                      <m:t>ODI</m:t>
                    </m:r>
                  </m:sub>
                </m:sSub>
              </m:oMath>
            </m:oMathPara>
          </w:p>
        </w:tc>
        <w:tc>
          <w:tcPr>
            <w:tcW w:w="1040" w:type="dxa"/>
            <w:vAlign w:val="center"/>
          </w:tcPr>
          <w:p ns2:paraId="47BDA118" ns2:textId="77777777" w:rsidR="00390073" w:rsidRPr="00A3251E" w:rsidRDefault="005E44A0" w:rsidP="00A3251E">
            <w:pPr>
              <w:spacing w:before="0" w:after="0"/>
              <w:jc w:val="right"/>
              <w:rPr>
                <w:sz w:val="21"/>
              </w:rPr>
            </w:pPr>
            <w:r w:rsidRPr="00A3251E">
              <w:rPr>
                <w:rFonts w:eastAsia="Times New Roman"/>
                <w:sz w:val="21"/>
              </w:rPr>
              <w:t>（9）</w:t>
            </w:r>
          </w:p>
        </w:tc>
      </w:tr>
    </w:tbl>
    <w:p ns2:paraId="54496CCD" ns2: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m:rPr>
                <m:nor/>
              </m:rPr>
              <w:rPr>
                <w:rFonts w:ascii="Cambria Math" w:hAnsi="Cambria Math"/>
              </w:rPr>
              <m:t>ODI</m:t>
            </m:r>
          </m:sub>
        </m:sSub>
      </m:oMath>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w:t>
      </w:r>
      <w:r>
        <w:lastRenderedPageBreak/>
        <w:t>束不完整而过度收缩候选空间。</w:t>
      </w:r>
    </w:p>
    <w:p ns2:paraId="1FDFD43C" ns2: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和联合判据下低扰动候选</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ns2:paraId="68DDBA84" ns2: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ns2:paraId="1D49470D" ns2: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0B467A44" ns2:textId="77777777" w:rsidTr="00A3251E">
        <w:trPr>
          <w:jc w:val="center"/>
        </w:trPr>
        <w:tc>
          <w:tcPr>
            <w:tcW w:w="560" w:type="dxa"/>
            <w:vAlign w:val="center"/>
          </w:tcPr>
          <w:p ns2:paraId="1F37832F" ns2:textId="77777777" w:rsidR="00390073" w:rsidRPr="00A3251E" w:rsidRDefault="00390073" w:rsidP="00A3251E">
            <w:pPr>
              <w:spacing w:before="0" w:after="0"/>
              <w:rPr>
                <w:sz w:val="21"/>
              </w:rPr>
            </w:pPr>
          </w:p>
        </w:tc>
        <w:tc>
          <w:tcPr>
            <w:tcW w:w="8300" w:type="dxa"/>
            <w:vAlign w:val="center"/>
          </w:tcPr>
          <w:p ns2:paraId="2FB0642A" ns2:textId="2AF8908F"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nor/>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nor/>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nor/>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ns2:paraId="1CFF5AAE" ns2:textId="77777777" w:rsidR="00390073" w:rsidRPr="00A3251E" w:rsidRDefault="005E44A0" w:rsidP="00A3251E">
            <w:pPr>
              <w:spacing w:before="0" w:after="0"/>
              <w:jc w:val="right"/>
              <w:rPr>
                <w:sz w:val="21"/>
              </w:rPr>
            </w:pPr>
            <w:r w:rsidRPr="00A3251E">
              <w:rPr>
                <w:rFonts w:eastAsia="Times New Roman"/>
                <w:sz w:val="21"/>
              </w:rPr>
              <w:t>（10）</w:t>
            </w:r>
          </w:p>
        </w:tc>
      </w:tr>
    </w:tbl>
    <w:p ns2:paraId="29CD26E5" ns2: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m:rPr>
                <m:nor/>
              </m:rP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为</w:t>
      </w:r>
      <w:proofErr w:type="gramStart"/>
      <w:r>
        <w:t>短推进</w:t>
      </w:r>
      <w:proofErr w:type="gramEnd"/>
      <w:r>
        <w:t>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均作为</w:t>
      </w:r>
      <w:r>
        <w:t>0—100</w:t>
      </w:r>
      <w:r>
        <w:t>工程效率评分中的扣分项。</w:t>
      </w:r>
      <w:proofErr w:type="gramStart"/>
      <w:r>
        <w:t>当前样例取</w:t>
      </w:r>
      <w:proofErr w:type="gramEnd"/>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363E6CFA" ns2:textId="77777777" w:rsidTr="00A3251E">
        <w:trPr>
          <w:jc w:val="center"/>
        </w:trPr>
        <w:tc>
          <w:tcPr>
            <w:tcW w:w="560" w:type="dxa"/>
            <w:vAlign w:val="center"/>
          </w:tcPr>
          <w:p ns2:paraId="3E59EEC4" ns2:textId="77777777" w:rsidR="00390073" w:rsidRPr="00A3251E" w:rsidRDefault="00390073" w:rsidP="00A3251E">
            <w:pPr>
              <w:spacing w:before="0" w:after="0"/>
              <w:rPr>
                <w:sz w:val="21"/>
              </w:rPr>
            </w:pPr>
          </w:p>
        </w:tc>
        <w:tc>
          <w:tcPr>
            <w:tcW w:w="8300" w:type="dxa"/>
            <w:vAlign w:val="center"/>
          </w:tcPr>
          <w:p ns2:paraId="1B29AB4C" ns2:textId="01E198EF"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nor/>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ns2:paraId="289D5123" ns2:textId="77777777" w:rsidR="00390073" w:rsidRPr="00A3251E" w:rsidRDefault="005E44A0" w:rsidP="00A3251E">
            <w:pPr>
              <w:spacing w:before="0" w:after="0"/>
              <w:jc w:val="right"/>
              <w:rPr>
                <w:sz w:val="21"/>
              </w:rPr>
            </w:pPr>
            <w:r w:rsidRPr="00A3251E">
              <w:rPr>
                <w:rFonts w:eastAsia="Times New Roman"/>
                <w:sz w:val="21"/>
              </w:rPr>
              <w:t>（11）</w:t>
            </w:r>
          </w:p>
        </w:tc>
      </w:tr>
    </w:tbl>
    <w:p ns2:paraId="13E794AE" ns2: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m:rPr>
                <m:nor/>
              </m:rP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m:rPr>
                <m:nor/>
              </m:rP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m:rPr>
                <m:nor/>
              </m:rPr>
              <w:rPr>
                <w:rFonts w:ascii="Cambria Math" w:hAnsi="Cambria Math"/>
              </w:rPr>
              <m:t>eng</m:t>
            </m:r>
          </m:sub>
        </m:sSub>
      </m:oMath>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10D02828" ns2:textId="77777777" w:rsidTr="00A3251E">
        <w:trPr>
          <w:jc w:val="center"/>
        </w:trPr>
        <w:tc>
          <w:tcPr>
            <w:tcW w:w="560" w:type="dxa"/>
            <w:vAlign w:val="center"/>
          </w:tcPr>
          <w:p ns2:paraId="363F933B" ns2:textId="77777777" w:rsidR="00390073" w:rsidRPr="00A3251E" w:rsidRDefault="00390073" w:rsidP="00A3251E">
            <w:pPr>
              <w:spacing w:before="0" w:after="0"/>
              <w:rPr>
                <w:sz w:val="21"/>
              </w:rPr>
            </w:pPr>
          </w:p>
        </w:tc>
        <w:tc>
          <w:tcPr>
            <w:tcW w:w="8300" w:type="dxa"/>
            <w:vAlign w:val="center"/>
          </w:tcPr>
          <w:p ns2:paraId="400004DE" ns2:textId="60627F41"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nor/>
                      </m:rPr>
                      <w:rPr>
                        <w:rFonts w:ascii="Cambria Math" w:hAnsi="Cambria Math"/>
                        <w:sz w:val="21"/>
                      </w:rPr>
                      <m:t>ODI</m:t>
                    </m:r>
                  </m:e>
                  <m:sub>
                    <m:r>
                      <m:rPr>
                        <m:nor/>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ns2:paraId="5BC78898" ns2:textId="77777777" w:rsidR="00390073" w:rsidRPr="00A3251E" w:rsidRDefault="005E44A0" w:rsidP="00A3251E">
            <w:pPr>
              <w:spacing w:before="0" w:after="0"/>
              <w:jc w:val="right"/>
              <w:rPr>
                <w:sz w:val="21"/>
              </w:rPr>
            </w:pPr>
            <w:r w:rsidRPr="00A3251E">
              <w:rPr>
                <w:rFonts w:eastAsia="Times New Roman"/>
                <w:sz w:val="21"/>
              </w:rPr>
              <w:t>（12）</w:t>
            </w:r>
          </w:p>
        </w:tc>
      </w:tr>
    </w:tbl>
    <w:p ns2:paraId="1CA14074" ns2: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ns2:paraId="71326546" ns2: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ns2:paraId="3564250B" ns2:textId="77777777" w:rsidR="002F1BBD" w:rsidRDefault="002D6C96">
      <w:pPr>
        <w:pStyle w:val="10"/>
        <w:ind w:firstLine="420"/>
      </w:pPr>
      <w:r>
        <w:t>上述评分函数用于</w:t>
      </w:r>
      <w:proofErr w:type="gramStart"/>
      <w:r>
        <w:t>当前样例条件</w:t>
      </w:r>
      <w:proofErr w:type="gramEnd"/>
      <w:r>
        <w:t>下候选方案的内部排序与敏感性比较，其系数和映射区间服务</w:t>
      </w:r>
      <w:proofErr w:type="gramStart"/>
      <w:r>
        <w:t>于样例级区分</w:t>
      </w:r>
      <w:proofErr w:type="gramEnd"/>
      <w:r>
        <w:t>度控制，不解释为跨矿区普</w:t>
      </w:r>
      <w:proofErr w:type="gramStart"/>
      <w:r>
        <w:t>适经验</w:t>
      </w:r>
      <w:proofErr w:type="gramEnd"/>
      <w:r>
        <w:t>参数。</w:t>
      </w:r>
    </w:p>
    <w:p ns2:paraId="5DEDDF27" ns2: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04F57C54" ns2:textId="77777777" w:rsidTr="00A3251E">
        <w:trPr>
          <w:jc w:val="center"/>
        </w:trPr>
        <w:tc>
          <w:tcPr>
            <w:tcW w:w="560" w:type="dxa"/>
            <w:vAlign w:val="center"/>
          </w:tcPr>
          <w:p ns2:paraId="0996B1F0" ns2:textId="77777777" w:rsidR="00390073" w:rsidRPr="00A3251E" w:rsidRDefault="00390073" w:rsidP="00A3251E">
            <w:pPr>
              <w:spacing w:before="0" w:after="0"/>
              <w:rPr>
                <w:sz w:val="21"/>
              </w:rPr>
            </w:pPr>
          </w:p>
        </w:tc>
        <w:tc>
          <w:tcPr>
            <w:tcW w:w="8300" w:type="dxa"/>
            <w:vAlign w:val="center"/>
          </w:tcPr>
          <w:p ns2:paraId="753504B3" ns2: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ns2:paraId="0E022FEE" ns2:textId="77777777" w:rsidR="00390073" w:rsidRPr="00A3251E" w:rsidRDefault="005E44A0" w:rsidP="00A3251E">
            <w:pPr>
              <w:spacing w:before="0" w:after="0"/>
              <w:jc w:val="right"/>
              <w:rPr>
                <w:sz w:val="21"/>
              </w:rPr>
            </w:pPr>
            <w:r w:rsidRPr="00A3251E">
              <w:rPr>
                <w:rFonts w:eastAsia="Times New Roman"/>
                <w:sz w:val="21"/>
              </w:rPr>
              <w:t>（13）</w:t>
            </w:r>
          </w:p>
        </w:tc>
      </w:tr>
    </w:tbl>
    <w:p ns2:paraId="58AF6533" ns2:textId="66FCBC43"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proofErr w:type="spellStart"/>
      <w:r>
        <w:t>λ_e</w:t>
      </w:r>
      <w:proofErr w:type="spellEnd"/>
      <w:r>
        <w:t>/</w:t>
      </w:r>
      <w:proofErr w:type="spellStart"/>
      <w:r>
        <w:t>λ_r</w:t>
      </w:r>
      <w:proofErr w:type="spellEnd"/>
      <w:r>
        <w:t>/</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ns2:paraId="5BCA48B1" ns2:textId="01D3288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ns2:paraId="7A538F1B" ns2:textId="5C4272A1"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proofErr w:type="spellStart"/>
      <w:r>
        <w:t>λ_e</w:t>
      </w:r>
      <w:proofErr w:type="spellEnd"/>
      <w:r>
        <w:t>，资源回收优先模式提高</w:t>
      </w:r>
      <w:proofErr w:type="spellStart"/>
      <w:r>
        <w:t>λ_r</w:t>
      </w:r>
      <w:proofErr w:type="spellEnd"/>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ns2:paraId="72A5F2B8" ns2:textId="77777777" w:rsidR="007E22B6" w:rsidRDefault="007E22B6"/>
    <w:p ns2:paraId="635D7D0B" ns2:textId="77777777" w:rsidR="00E05130" w:rsidRPr="00E05130" w:rsidRDefault="00E05130" w:rsidP="00A046E0">
      <w:pPr>
        <w:pStyle w:val="12"/>
      </w:pPr>
      <w:r>
        <w:rPr>
          <w:rFonts w:ascii="宋体" w:eastAsia="宋体" w:hAnsi="宋体"/>
          <w:sz w:val="21"/>
        </w:rPr>
        <w:t>1.4 方案传递与评价流程</w:t>
      </w:r>
    </w:p>
    <w:p ns2:paraId="1493071C" ns2: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hyperlink w:anchor="REF_006" w:history="1">
        <w:r w:rsidRPr="000E0157">
          <w:rPr>
            <w:color w:val="000000"/>
            <w:sz w:val="18"/>
            <w:vertAlign w:val="superscript"/>
          </w:rPr>
          <w:t>[6]</w:t>
        </w:r>
      </w:hyperlink>
      <w:r>
        <w:t>；地下水库和矿井水调度研究也表明，</w:t>
      </w:r>
      <w:proofErr w:type="gramStart"/>
      <w:r>
        <w:t>采动空间</w:t>
      </w:r>
      <w:proofErr w:type="gramEnd"/>
      <w:r>
        <w:t>对象、储水空间和水量调控需在规划与运行阶段连续组织</w:t>
      </w:r>
      <w:r>
        <w:fldChar w:fldCharType="begin"/>
      </w:r>
      <w:r>
        <w:instrText>HYPERLINK \l "REF_030"</w:instrText>
      </w:r>
      <w:r>
        <w:fldChar w:fldCharType="separate"/>
      </w:r>
      <w:r w:rsidRPr="000E0157">
        <w:rPr>
          <w:color w:val="000000"/>
          <w:sz w:val="18"/>
          <w:vertAlign w:val="superscript"/>
        </w:rPr>
        <w:t>[30,46-50]</w:t>
      </w:r>
      <w:r>
        <w:fldChar w:fldCharType="end"/>
      </w:r>
      <w:r>
        <w:t>。因此，采区规划形成的工作面边界、巷道结构、覆盖范围和扰动统计量，既是当前求解输出，也是后续生产组织与经济测算的上游输入。</w:t>
      </w:r>
    </w:p>
    <w:p ns2:paraId="6784772A" ns2: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ns2:paraId="5FDC76B9" ns2: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4746E38B" ns2:textId="77777777" w:rsidTr="00A3251E">
        <w:trPr>
          <w:jc w:val="center"/>
        </w:trPr>
        <w:tc>
          <w:tcPr>
            <w:tcW w:w="560" w:type="dxa"/>
            <w:vAlign w:val="center"/>
          </w:tcPr>
          <w:p ns2:paraId="27C389B3" ns2:textId="77777777" w:rsidR="00390073" w:rsidRPr="00A3251E" w:rsidRDefault="00390073" w:rsidP="00A3251E">
            <w:pPr>
              <w:spacing w:before="0" w:after="0"/>
              <w:rPr>
                <w:sz w:val="21"/>
              </w:rPr>
            </w:pPr>
          </w:p>
        </w:tc>
        <w:tc>
          <w:tcPr>
            <w:tcW w:w="8300" w:type="dxa"/>
            <w:vAlign w:val="center"/>
          </w:tcPr>
          <w:p ns2:paraId="1386607C" ns2: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ns2:paraId="25304153" ns2:textId="77777777" w:rsidR="00390073" w:rsidRPr="00A3251E" w:rsidRDefault="005E44A0" w:rsidP="00A3251E">
            <w:pPr>
              <w:spacing w:before="0" w:after="0"/>
              <w:jc w:val="right"/>
              <w:rPr>
                <w:sz w:val="21"/>
              </w:rPr>
            </w:pPr>
            <w:r w:rsidRPr="00A3251E">
              <w:rPr>
                <w:rFonts w:eastAsia="Times New Roman"/>
                <w:sz w:val="21"/>
              </w:rPr>
              <w:t>（14）</w:t>
            </w:r>
          </w:p>
        </w:tc>
      </w:tr>
    </w:tbl>
    <w:p ns2:paraId="059435E6" ns2: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ns2:paraId="21E46956" ns2: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ns2:paraId="09A96FF3" ns2:textId="77777777" w:rsidTr="00A3251E">
        <w:trPr>
          <w:jc w:val="center"/>
        </w:trPr>
        <w:tc>
          <w:tcPr>
            <w:tcW w:w="560" w:type="dxa"/>
            <w:vAlign w:val="center"/>
          </w:tcPr>
          <w:p ns2:paraId="52A9C53C" ns2:textId="77777777" w:rsidR="00390073" w:rsidRPr="00A3251E" w:rsidRDefault="00390073" w:rsidP="00A3251E">
            <w:pPr>
              <w:spacing w:before="0" w:after="0"/>
              <w:rPr>
                <w:sz w:val="21"/>
              </w:rPr>
            </w:pPr>
          </w:p>
        </w:tc>
        <w:tc>
          <w:tcPr>
            <w:tcW w:w="8300" w:type="dxa"/>
            <w:vAlign w:val="center"/>
          </w:tcPr>
          <w:p ns2:paraId="56006317" ns2: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nor/>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RiskCost</m:t>
                    </m:r>
                  </m:e>
                  <m:sub>
                    <m:r>
                      <w:rPr>
                        <w:rFonts w:ascii="Cambria Math" w:hAnsi="Cambria Math"/>
                        <w:sz w:val="21"/>
                      </w:rPr>
                      <m:t>t</m:t>
                    </m:r>
                  </m:sub>
                </m:sSub>
              </m:oMath>
            </m:oMathPara>
          </w:p>
        </w:tc>
        <w:tc>
          <w:tcPr>
            <w:tcW w:w="1040" w:type="dxa"/>
            <w:vAlign w:val="center"/>
          </w:tcPr>
          <w:p ns2:paraId="67E65074" ns2:textId="77777777" w:rsidR="00390073" w:rsidRPr="00A3251E" w:rsidRDefault="005E44A0" w:rsidP="00A3251E">
            <w:pPr>
              <w:spacing w:before="0" w:after="0"/>
              <w:jc w:val="right"/>
              <w:rPr>
                <w:sz w:val="21"/>
              </w:rPr>
            </w:pPr>
            <w:r w:rsidRPr="00A3251E">
              <w:rPr>
                <w:rFonts w:eastAsia="Times New Roman"/>
                <w:sz w:val="21"/>
              </w:rPr>
              <w:t>（15）</w:t>
            </w:r>
          </w:p>
        </w:tc>
      </w:tr>
    </w:tbl>
    <w:p ns2:paraId="44386FC7" ns2: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ns2:paraId="44250F77" ns2: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ns2:paraId="5CCF30D4" ns2: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ns2:paraId="139124BD" ns2:textId="77777777" w:rsidR="007E22B6" w:rsidRDefault="00A249E2" w:rsidP="00A046E0">
      <w:pPr>
        <w:pStyle w:val="11"/>
      </w:pPr>
      <w:r>
        <w:rPr>
          <w:rFonts w:ascii="宋体" w:eastAsia="宋体" w:hAnsi="宋体"/>
          <w:sz w:val="21"/>
        </w:rPr>
        <w:t>2 工程案例与结果分析</w:t>
      </w:r>
    </w:p>
    <w:p ns2:paraId="423B1378" ns2:textId="77777777" w:rsidR="007E22B6" w:rsidRDefault="00A249E2" w:rsidP="00A046E0">
      <w:pPr>
        <w:pStyle w:val="12"/>
      </w:pPr>
      <w:r>
        <w:rPr>
          <w:rFonts w:ascii="宋体" w:eastAsia="宋体" w:hAnsi="宋体"/>
          <w:sz w:val="21"/>
        </w:rPr>
        <w:t>2.1 研究区概况与输入数据</w:t>
      </w:r>
    </w:p>
    <w:p ns2:paraId="6F66ADE5" ns2: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ns2:paraId="512A1916" ns2: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ns2:paraId="5711343D" ns2:textId="77777777" w:rsidR="00390073" w:rsidRDefault="005E44A0">
      <w:pPr>
        <w:pStyle w:val="10"/>
        <w:spacing w:after="40"/>
        <w:ind w:firstLine="420"/>
      </w:pPr>
      <w:r>
        <w:t>为避免验证目标泛化，</w:t>
      </w:r>
      <w:proofErr w:type="gramStart"/>
      <w:r>
        <w:t>本文将样例</w:t>
      </w:r>
      <w:proofErr w:type="gramEnd"/>
      <w:r>
        <w:t>验证限定为</w:t>
      </w:r>
      <w:r>
        <w:t>3</w:t>
      </w:r>
      <w:r>
        <w:t>个可复核问题：离散钻孔和边界约束能否转化为统</w:t>
      </w:r>
      <w:r>
        <w:lastRenderedPageBreak/>
        <w:t>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ns2:paraId="4A0DDA6E" ns2: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ns2:paraId="108198BD" ns2:textId="77777777" w:rsidR="00195275" w:rsidRDefault="00A249E2">
      <w:pPr>
        <w:jc w:val="center"/>
      </w:pPr>
      <w:r>
        <w:rPr>
          <w:rFonts w:ascii="宋体" w:eastAsia="宋体" w:hAnsi="宋体"/>
          <w:noProof/>
        </w:rPr>
        <w:drawing>
          <wp:inline distT="0" distB="0" distL="0" distR="0" ns5:anchorId="0C5A2DA9" ns5:editId="7A966855">
            <wp:extent cx="2788920" cy="1718267"/>
            <wp:effectExtent l="0" t="0" r="0" b="0"/>
            <wp:docPr id="2" name="Picture 2"/>
            <wp:cNvGraphicFramePr>
              <a:graphicFrameLocks noChangeAspect="1"/>
            </wp:cNvGraphicFramePr>
            <a:graphic>
              <a:graphicData uri="http://schemas.openxmlformats.org/drawingml/2006/picture">
                <pic:pic>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ns2:paraId="56CD37EA" ns2: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ns2:paraId="19E70120" ns2: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ns2:paraId="4E22D86E" ns2: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ns2:paraId="29D5C975" ns2: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ns2:paraId="099E4AA6" ns2: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ns2:paraId="44783646" ns2:textId="77777777" w:rsidTr="006A6807">
        <w:trPr>
          <w:jc w:val="center"/>
        </w:trPr>
        <w:tc>
          <w:tcPr>
            <w:tcW w:w="273" w:type="pct"/>
            <w:tcBorders>
              <w:top w:val="single" w:sz="8" w:space="0" w:color="000000"/>
              <w:bottom w:val="single" w:sz="6" w:space="0" w:color="000000"/>
            </w:tcBorders>
            <w:vAlign w:val="center"/>
          </w:tcPr>
          <w:p ns2:paraId="18A27E2D" ns2: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ns2:paraId="2CCF3CD8" ns2: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ns2:paraId="255E02A9" ns2: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ns2:paraId="2298DF38" ns2: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ns2:paraId="5DB8284E" ns2: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ns2:paraId="7CEF24AE" ns2: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ns2:paraId="7D5F1A13" ns2: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ns2:paraId="34A1E988" ns2:textId="77777777" w:rsidTr="006A6807">
        <w:trPr>
          <w:jc w:val="center"/>
        </w:trPr>
        <w:tc>
          <w:tcPr>
            <w:tcW w:w="273" w:type="pct"/>
            <w:vAlign w:val="center"/>
          </w:tcPr>
          <w:p ns2:paraId="52C70082" ns2: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ns2:paraId="376B5657" ns2: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ns2:paraId="2BDC1CA7" ns2: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ns2:paraId="3643EC5D" ns2: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ns2:paraId="66CF8061" ns2:textId="77777777" w:rsidR="00D007CE" w:rsidRPr="006A6807" w:rsidRDefault="00A249E2">
            <w:pPr>
              <w:spacing w:before="0" w:after="0"/>
              <w:jc w:val="left"/>
              <w:rPr>
                <w:sz w:val="14"/>
              </w:rPr>
            </w:pPr>
            <w:proofErr w:type="gramStart"/>
            <w:r w:rsidRPr="006A6807">
              <w:rPr>
                <w:rFonts w:ascii="宋体" w:eastAsia="宋体" w:hAnsi="宋体"/>
                <w:sz w:val="18"/>
              </w:rPr>
              <w:t>个</w:t>
            </w:r>
            <w:proofErr w:type="gramEnd"/>
          </w:p>
        </w:tc>
        <w:tc>
          <w:tcPr>
            <w:tcW w:w="413" w:type="pct"/>
            <w:vAlign w:val="center"/>
          </w:tcPr>
          <w:p ns2:paraId="417CE5DA" ns2: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ns2:paraId="6F8AA326" ns2: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ns2:paraId="24D3A131" ns2:textId="77777777" w:rsidTr="006A6807">
        <w:trPr>
          <w:jc w:val="center"/>
        </w:trPr>
        <w:tc>
          <w:tcPr>
            <w:tcW w:w="273" w:type="pct"/>
            <w:vAlign w:val="center"/>
          </w:tcPr>
          <w:p ns2:paraId="4288E2A5" ns2: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ns2:paraId="186B9E6C" ns2: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ns2:paraId="73A95DD6" ns2:textId="049D76F1"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min</m:t>
                    </m:r>
                  </m:sub>
                </m:sSub>
              </m:oMath>
            </m:oMathPara>
          </w:p>
        </w:tc>
        <w:tc>
          <w:tcPr>
            <w:tcW w:w="948" w:type="pct"/>
            <w:vAlign w:val="center"/>
          </w:tcPr>
          <w:p ns2:paraId="4381DB52" ns2: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ns2:paraId="67C7A6F0"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715C3055" ns2: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ns2:paraId="78B72356" ns2: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ns2:paraId="7CC98CD8" ns2:textId="77777777" w:rsidTr="006A6807">
        <w:trPr>
          <w:jc w:val="center"/>
        </w:trPr>
        <w:tc>
          <w:tcPr>
            <w:tcW w:w="273" w:type="pct"/>
            <w:vAlign w:val="center"/>
          </w:tcPr>
          <w:p ns2:paraId="65DB8D85" ns2: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ns2:paraId="32D1146A" ns2: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ns2:paraId="1A08EBF8" ns2:textId="44D19699"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max</m:t>
                    </m:r>
                  </m:sub>
                </m:sSub>
              </m:oMath>
            </m:oMathPara>
          </w:p>
        </w:tc>
        <w:tc>
          <w:tcPr>
            <w:tcW w:w="948" w:type="pct"/>
            <w:vAlign w:val="center"/>
          </w:tcPr>
          <w:p ns2:paraId="63514B2E" ns2: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ns2:paraId="40BE057E"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54E58E2F" ns2: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ns2:paraId="058C91FF" ns2: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ns2:paraId="7DC60B83" ns2:textId="77777777" w:rsidTr="006A6807">
        <w:trPr>
          <w:jc w:val="center"/>
        </w:trPr>
        <w:tc>
          <w:tcPr>
            <w:tcW w:w="273" w:type="pct"/>
            <w:vAlign w:val="center"/>
          </w:tcPr>
          <w:p ns2:paraId="5B2D36EC" ns2: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ns2:paraId="70A0F0B2" ns2:textId="77777777" w:rsidR="00D007CE" w:rsidRPr="006A6807" w:rsidRDefault="00A249E2">
            <w:pPr>
              <w:spacing w:before="0" w:after="0"/>
              <w:jc w:val="left"/>
              <w:rPr>
                <w:sz w:val="14"/>
              </w:rPr>
            </w:pPr>
            <w:r w:rsidRPr="006A6807">
              <w:rPr>
                <w:rFonts w:ascii="宋体" w:eastAsia="宋体" w:hAnsi="宋体"/>
                <w:sz w:val="18"/>
              </w:rPr>
              <w:t>煤层厚度平均值</w:t>
            </w:r>
          </w:p>
        </w:tc>
        <w:tc>
          <w:tcPr>
            <w:tcW w:w="912" w:type="pct"/>
            <w:vAlign w:val="center"/>
          </w:tcPr>
          <w:p ns2:paraId="693ECB42" ns2:textId="30D55ECE"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ns2:paraId="290880B7" ns2: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ns2:paraId="463EA8DF"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6CE15C49" ns2: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ns2:paraId="1C9E3E3A" ns2: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ns2:paraId="6A77DCC3" ns2:textId="77777777" w:rsidTr="006A6807">
        <w:trPr>
          <w:jc w:val="center"/>
        </w:trPr>
        <w:tc>
          <w:tcPr>
            <w:tcW w:w="273" w:type="pct"/>
            <w:vAlign w:val="center"/>
          </w:tcPr>
          <w:p ns2:paraId="31B495A1" ns2: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ns2:paraId="77DD10D6" ns2: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ns2:paraId="76DBC94A" ns2:textId="3B7AA8CA"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ns2:paraId="68C61D48" ns2: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ns2:paraId="135E47AC"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22F05645" ns2:textId="77777777" w:rsidR="00D007CE" w:rsidRPr="006A6807" w:rsidRDefault="00A249E2">
            <w:pPr>
              <w:spacing w:before="0" w:after="0"/>
              <w:jc w:val="left"/>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ns2:paraId="792A6529" ns2: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ns2:paraId="74AE1D64" ns2:textId="77777777" w:rsidTr="006A6807">
        <w:trPr>
          <w:jc w:val="center"/>
        </w:trPr>
        <w:tc>
          <w:tcPr>
            <w:tcW w:w="273" w:type="pct"/>
            <w:vAlign w:val="center"/>
          </w:tcPr>
          <w:p ns2:paraId="135D233F" ns2: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ns2:paraId="771DEBC5" ns2: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ns2:paraId="51EAD422" ns2:textId="7DD0A76D"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ns2:paraId="38D90806" ns2: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ns2:paraId="7915A8B1"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4EF57853" ns2:textId="77777777" w:rsidR="00D007CE" w:rsidRPr="006A6807" w:rsidRDefault="00A249E2">
            <w:pPr>
              <w:spacing w:before="0" w:after="0"/>
              <w:jc w:val="left"/>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w:t>
            </w:r>
            <w:r w:rsidRPr="006A6807">
              <w:rPr>
                <w:rFonts w:ascii="宋体" w:eastAsia="宋体" w:hAnsi="宋体"/>
                <w:sz w:val="18"/>
              </w:rPr>
              <w:lastRenderedPageBreak/>
              <w:t>规则范围15-30 m</w:t>
            </w:r>
          </w:p>
        </w:tc>
        <w:tc>
          <w:tcPr>
            <w:tcW w:w="1837" w:type="pct"/>
            <w:vAlign w:val="center"/>
          </w:tcPr>
          <w:p ns2:paraId="3A15E2E4" ns2:textId="77777777" w:rsidR="00D007CE" w:rsidRPr="006A6807" w:rsidRDefault="00A249E2">
            <w:pPr>
              <w:spacing w:before="0" w:after="0"/>
              <w:jc w:val="left"/>
              <w:rPr>
                <w:sz w:val="14"/>
              </w:rPr>
            </w:pPr>
            <w:r>
              <w:rPr>
                <w:sz w:val="18"/>
              </w:rPr>
              <w:lastRenderedPageBreak/>
              <w:t>设计参数</w:t>
            </w:r>
            <w:r>
              <w:rPr>
                <w:sz w:val="18"/>
              </w:rPr>
              <w:t>/</w:t>
            </w:r>
            <w:r>
              <w:rPr>
                <w:sz w:val="18"/>
              </w:rPr>
              <w:t>规划规则</w:t>
            </w:r>
          </w:p>
        </w:tc>
      </w:tr>
      <w:tr w:rsidR="00D007CE" w:rsidRPr="006A6807" ns2:paraId="74C8D38E" ns2:textId="77777777" w:rsidTr="006A6807">
        <w:trPr>
          <w:jc w:val="center"/>
        </w:trPr>
        <w:tc>
          <w:tcPr>
            <w:tcW w:w="273" w:type="pct"/>
            <w:vAlign w:val="center"/>
          </w:tcPr>
          <w:p ns2:paraId="56AA79FE" ns2: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ns2:paraId="6516D811" ns2: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ns2:paraId="386BF95D" ns2:textId="51B96300"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ns2:paraId="214A41EC" ns2: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ns2:paraId="38CFCC1B" ns2: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ns2:paraId="16D60BB1" ns2: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ns2:paraId="2C8B3DA6" ns2: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ns2:paraId="0AD92FAB" ns2:textId="77777777" w:rsidTr="006A6807">
        <w:trPr>
          <w:jc w:val="center"/>
        </w:trPr>
        <w:tc>
          <w:tcPr>
            <w:tcW w:w="273" w:type="pct"/>
            <w:vAlign w:val="center"/>
          </w:tcPr>
          <w:p ns2:paraId="5768EF03" ns2: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ns2:paraId="6FA62CD0" ns2:textId="77777777" w:rsidR="00EC2F84" w:rsidRDefault="002D6C96">
            <w:pPr>
              <w:spacing w:before="0" w:after="0"/>
              <w:jc w:val="left"/>
            </w:pPr>
            <w:r>
              <w:rPr>
                <w:sz w:val="18"/>
              </w:rPr>
              <w:t>工作面倾向宽度</w:t>
            </w:r>
          </w:p>
        </w:tc>
        <w:tc>
          <w:tcPr>
            <w:tcW w:w="912" w:type="pct"/>
            <w:vAlign w:val="center"/>
          </w:tcPr>
          <w:p ns2:paraId="551228E3" ns2:textId="159759C5"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ns2:paraId="34B77A16" ns2: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ns2:paraId="7DD36DDD"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332AA941" ns2:textId="77777777" w:rsidR="00EC2F84" w:rsidRDefault="002D6C96">
            <w:pPr>
              <w:spacing w:before="0" w:after="0"/>
              <w:jc w:val="left"/>
            </w:pPr>
            <w:proofErr w:type="gramStart"/>
            <w:r>
              <w:rPr>
                <w:sz w:val="18"/>
              </w:rPr>
              <w:t>当前样例采用</w:t>
            </w:r>
            <w:proofErr w:type="gramEnd"/>
            <w:r>
              <w:rPr>
                <w:sz w:val="18"/>
              </w:rPr>
              <w:t>的单面面宽</w:t>
            </w:r>
          </w:p>
        </w:tc>
        <w:tc>
          <w:tcPr>
            <w:tcW w:w="1837" w:type="pct"/>
            <w:vAlign w:val="center"/>
          </w:tcPr>
          <w:p ns2:paraId="06ABE0BC" ns2:textId="77777777" w:rsidR="00D007CE" w:rsidRPr="006A6807" w:rsidRDefault="00A249E2">
            <w:pPr>
              <w:spacing w:before="0" w:after="0"/>
              <w:jc w:val="left"/>
              <w:rPr>
                <w:sz w:val="14"/>
              </w:rPr>
            </w:pPr>
            <w:r>
              <w:rPr>
                <w:sz w:val="18"/>
              </w:rPr>
              <w:t>设计参数</w:t>
            </w:r>
          </w:p>
        </w:tc>
      </w:tr>
      <w:tr w:rsidR="00D007CE" w:rsidRPr="006A6807" ns2:paraId="3E4BF16A" ns2:textId="77777777" w:rsidTr="006A6807">
        <w:trPr>
          <w:jc w:val="center"/>
        </w:trPr>
        <w:tc>
          <w:tcPr>
            <w:tcW w:w="273" w:type="pct"/>
            <w:vAlign w:val="center"/>
          </w:tcPr>
          <w:p ns2:paraId="49065C68" ns2: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ns2:paraId="1413DED8" ns2:textId="77777777" w:rsidR="00EC2F84" w:rsidRDefault="002D6C96">
            <w:pPr>
              <w:spacing w:before="0" w:after="0"/>
              <w:jc w:val="left"/>
            </w:pPr>
            <w:r>
              <w:rPr>
                <w:sz w:val="18"/>
              </w:rPr>
              <w:t>单工作面几何长度规则</w:t>
            </w:r>
          </w:p>
        </w:tc>
        <w:tc>
          <w:tcPr>
            <w:tcW w:w="912" w:type="pct"/>
            <w:vAlign w:val="center"/>
          </w:tcPr>
          <w:p ns2:paraId="5958CEDF" ns2:textId="21859D80"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ns2:paraId="3F052903" ns2: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ns2:paraId="4403366D"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4A4BC15F" ns2:textId="77777777" w:rsidR="00EC2F84" w:rsidRDefault="002D6C96">
            <w:pPr>
              <w:spacing w:before="0" w:after="0"/>
              <w:jc w:val="left"/>
            </w:pPr>
            <w:r>
              <w:rPr>
                <w:sz w:val="18"/>
              </w:rPr>
              <w:t>用于候选条带生成的单工作面几何长度规则</w:t>
            </w:r>
          </w:p>
        </w:tc>
        <w:tc>
          <w:tcPr>
            <w:tcW w:w="1837" w:type="pct"/>
            <w:vAlign w:val="center"/>
          </w:tcPr>
          <w:p ns2:paraId="5746482E" ns2:textId="77777777" w:rsidR="00D007CE" w:rsidRPr="006A6807" w:rsidRDefault="00A249E2">
            <w:pPr>
              <w:spacing w:before="0" w:after="0"/>
              <w:jc w:val="left"/>
              <w:rPr>
                <w:sz w:val="14"/>
              </w:rPr>
            </w:pPr>
            <w:r>
              <w:rPr>
                <w:sz w:val="18"/>
              </w:rPr>
              <w:t>规划规则</w:t>
            </w:r>
          </w:p>
        </w:tc>
      </w:tr>
      <w:tr w:rsidR="00D007CE" w:rsidRPr="006A6807" ns2:paraId="36CACDB8" ns2:textId="77777777" w:rsidTr="006A6807">
        <w:trPr>
          <w:jc w:val="center"/>
        </w:trPr>
        <w:tc>
          <w:tcPr>
            <w:tcW w:w="273" w:type="pct"/>
            <w:vAlign w:val="center"/>
          </w:tcPr>
          <w:p ns2:paraId="02794E25" ns2: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ns2:paraId="02B7A4BB" ns2:textId="77777777" w:rsidR="00EC2F84" w:rsidRDefault="002D6C96">
            <w:pPr>
              <w:spacing w:before="0" w:after="0"/>
              <w:jc w:val="left"/>
            </w:pPr>
            <w:r>
              <w:rPr>
                <w:sz w:val="18"/>
              </w:rPr>
              <w:t>方案推进长度校核阈值</w:t>
            </w:r>
          </w:p>
        </w:tc>
        <w:tc>
          <w:tcPr>
            <w:tcW w:w="912" w:type="pct"/>
            <w:vAlign w:val="center"/>
          </w:tcPr>
          <w:p ns2:paraId="5A3751C2" ns2:textId="617ADB67"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ns2:paraId="17485651" ns2: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ns2:paraId="4D242144" ns2: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ns2:paraId="7E1CFE3F" ns2: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ns2:paraId="3952C135" ns2:textId="77777777" w:rsidR="00D007CE" w:rsidRPr="006A6807" w:rsidRDefault="00A249E2">
            <w:pPr>
              <w:spacing w:before="0" w:after="0"/>
              <w:jc w:val="left"/>
              <w:rPr>
                <w:sz w:val="14"/>
              </w:rPr>
            </w:pPr>
            <w:r>
              <w:rPr>
                <w:sz w:val="18"/>
              </w:rPr>
              <w:t>规划规则</w:t>
            </w:r>
          </w:p>
        </w:tc>
      </w:tr>
      <w:tr w:rsidR="00D007CE" w:rsidRPr="006A6807" ns2:paraId="301702AF" ns2:textId="77777777" w:rsidTr="006A6807">
        <w:trPr>
          <w:jc w:val="center"/>
        </w:trPr>
        <w:tc>
          <w:tcPr>
            <w:tcW w:w="273" w:type="pct"/>
            <w:vAlign w:val="center"/>
          </w:tcPr>
          <w:p ns2:paraId="1D42DFEA" ns2: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ns2:paraId="2994E635" ns2: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ns2:paraId="50503CB2" ns2: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ns2:paraId="31355068" ns2:textId="77777777" w:rsidR="00D007CE" w:rsidRPr="006A6807" w:rsidRDefault="00A249E2">
            <w:pPr>
              <w:spacing w:before="0" w:after="0"/>
              <w:jc w:val="left"/>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ns2:paraId="655A7427" ns2: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ns2:paraId="5A26FC38" ns2:textId="77777777" w:rsidR="00D007CE" w:rsidRPr="006A6807" w:rsidRDefault="00A249E2">
            <w:pPr>
              <w:spacing w:before="0" w:after="0"/>
              <w:jc w:val="left"/>
              <w:rPr>
                <w:sz w:val="14"/>
              </w:rPr>
            </w:pPr>
            <w:proofErr w:type="gramStart"/>
            <w:r w:rsidRPr="006A6807">
              <w:rPr>
                <w:rFonts w:ascii="宋体" w:eastAsia="宋体" w:hAnsi="宋体"/>
                <w:sz w:val="18"/>
              </w:rPr>
              <w:t>走向长壁后退式开采</w:t>
            </w:r>
            <w:proofErr w:type="gramEnd"/>
          </w:p>
        </w:tc>
        <w:tc>
          <w:tcPr>
            <w:tcW w:w="1837" w:type="pct"/>
            <w:vAlign w:val="center"/>
          </w:tcPr>
          <w:p ns2:paraId="24A6DA72" ns2: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ns2:paraId="1DA97F61" ns2:textId="77777777" w:rsidTr="006A6807">
        <w:trPr>
          <w:jc w:val="center"/>
        </w:trPr>
        <w:tc>
          <w:tcPr>
            <w:tcW w:w="273" w:type="pct"/>
            <w:vAlign w:val="center"/>
          </w:tcPr>
          <w:p ns2:paraId="7DCEC10C" ns2: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ns2:paraId="7FD0E284" ns2: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ns2:paraId="0B8ED738" ns2:textId="21F9FBC9" w:rsidR="00D007CE" w:rsidRPr="006A6807" w:rsidRDefault="00000000">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ns2:paraId="01E33D2A" ns2:textId="77777777" w:rsidR="00D007CE" w:rsidRPr="006A6807" w:rsidRDefault="00A249E2">
            <w:pPr>
              <w:spacing w:before="0" w:after="0"/>
              <w:jc w:val="left"/>
              <w:rPr>
                <w:sz w:val="14"/>
              </w:rPr>
            </w:pPr>
            <w:r w:rsidRPr="006A6807">
              <w:rPr>
                <w:sz w:val="18"/>
              </w:rPr>
              <w:t>0.45/0.30/0.25</w:t>
            </w:r>
          </w:p>
        </w:tc>
        <w:tc>
          <w:tcPr>
            <w:tcW w:w="272" w:type="pct"/>
            <w:vAlign w:val="center"/>
          </w:tcPr>
          <w:p ns2:paraId="05AE221E" ns2: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ns2:paraId="045F92AD" ns2: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ns2:paraId="618A9CAD" ns2:textId="77777777" w:rsidR="00D007CE" w:rsidRPr="006A6807" w:rsidRDefault="00A249E2">
            <w:pPr>
              <w:spacing w:before="0" w:after="0"/>
              <w:jc w:val="left"/>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ns2:paraId="3568E4BC" ns2:textId="77777777" w:rsidTr="006A6807">
        <w:trPr>
          <w:jc w:val="center"/>
        </w:trPr>
        <w:tc>
          <w:tcPr>
            <w:tcW w:w="273" w:type="pct"/>
            <w:vAlign w:val="center"/>
          </w:tcPr>
          <w:p ns2:paraId="0A8879B8" ns2: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ns2:paraId="30B23447" ns2: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ns2:paraId="3F8C569E" ns2:textId="00C8A78F"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m:rPr>
                        <m:nor/>
                      </m:rPr>
                      <w:rPr>
                        <w:rFonts w:ascii="Cambria Math" w:eastAsia="宋体" w:hAnsi="Cambria Math"/>
                        <w:sz w:val="18"/>
                      </w:rPr>
                      <m:t>ODI</m:t>
                    </m:r>
                  </m:sub>
                </m:sSub>
              </m:oMath>
            </m:oMathPara>
          </w:p>
        </w:tc>
        <w:tc>
          <w:tcPr>
            <w:tcW w:w="948" w:type="pct"/>
            <w:vAlign w:val="center"/>
          </w:tcPr>
          <w:p ns2:paraId="05E3C88A" ns2: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ns2:paraId="0E910125" ns2: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ns2:paraId="6BE5A5F5" ns2:textId="77777777" w:rsidR="00D007CE" w:rsidRPr="006A6807" w:rsidRDefault="00A249E2">
            <w:pPr>
              <w:spacing w:before="0" w:after="0"/>
              <w:jc w:val="left"/>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ns2:paraId="641C86B6" ns2: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ns2:paraId="02C899C7" ns2:textId="77777777" w:rsidTr="006A6807">
        <w:trPr>
          <w:jc w:val="center"/>
        </w:trPr>
        <w:tc>
          <w:tcPr>
            <w:tcW w:w="273" w:type="pct"/>
            <w:vAlign w:val="center"/>
          </w:tcPr>
          <w:p ns2:paraId="141BDA5D" ns2: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ns2:paraId="0B94E201" ns2:textId="77777777" w:rsidR="00D007CE" w:rsidRPr="006A6807" w:rsidRDefault="00A249E2">
            <w:pPr>
              <w:spacing w:before="0" w:after="0"/>
              <w:jc w:val="left"/>
              <w:rPr>
                <w:sz w:val="14"/>
              </w:rPr>
            </w:pPr>
            <w:r>
              <w:rPr>
                <w:sz w:val="18"/>
              </w:rPr>
              <w:t>资源回收分项评分权重</w:t>
            </w:r>
          </w:p>
        </w:tc>
        <w:tc>
          <w:tcPr>
            <w:tcW w:w="912" w:type="pct"/>
            <w:vAlign w:val="center"/>
          </w:tcPr>
          <w:p ns2:paraId="69AEE706" ns2:textId="4A1636FC" w:rsidR="00D007CE" w:rsidRPr="006A6807" w:rsidRDefault="00000000">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ns2:paraId="75E1C6E4" ns2: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ns2:paraId="71980060" ns2: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ns2:paraId="6F536446" ns2: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ns2:paraId="6D3AC5F1" ns2:textId="77777777" w:rsidR="00D007CE" w:rsidRPr="006A6807" w:rsidRDefault="00A249E2">
            <w:pPr>
              <w:spacing w:before="0" w:after="0"/>
              <w:jc w:val="left"/>
              <w:rPr>
                <w:sz w:val="14"/>
              </w:rPr>
            </w:pPr>
            <w:r>
              <w:rPr>
                <w:sz w:val="18"/>
              </w:rPr>
              <w:t>规划结果</w:t>
            </w:r>
          </w:p>
        </w:tc>
      </w:tr>
      <w:tr w:rsidR="00D007CE" w:rsidRPr="006A6807" ns2:paraId="19E3159D" ns2:textId="77777777" w:rsidTr="006A6807">
        <w:trPr>
          <w:jc w:val="center"/>
        </w:trPr>
        <w:tc>
          <w:tcPr>
            <w:tcW w:w="273" w:type="pct"/>
            <w:tcBorders>
              <w:bottom w:val="single" w:sz="8" w:space="0" w:color="000000"/>
            </w:tcBorders>
            <w:vAlign w:val="center"/>
          </w:tcPr>
          <w:p ns2:paraId="64C01812" ns2:textId="77777777" w:rsidR="002F1BBD" w:rsidRDefault="002D6C96">
            <w:pPr>
              <w:spacing w:before="0" w:after="0"/>
              <w:jc w:val="left"/>
            </w:pPr>
            <w:r>
              <w:rPr>
                <w:sz w:val="18"/>
              </w:rPr>
              <w:t>候选集合</w:t>
            </w:r>
          </w:p>
        </w:tc>
        <w:tc>
          <w:tcPr>
            <w:tcW w:w="344" w:type="pct"/>
            <w:tcBorders>
              <w:bottom w:val="single" w:sz="8" w:space="0" w:color="000000"/>
            </w:tcBorders>
            <w:vAlign w:val="center"/>
          </w:tcPr>
          <w:p ns2:paraId="38684DE6" ns2: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ns2:paraId="1481357E" ns2:textId="6EABD995" w:rsidR="002F1BBD" w:rsidRDefault="00000000">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ns2:paraId="3BEDDA72" ns2:textId="77777777" w:rsidR="002F1BBD" w:rsidRDefault="002D6C96">
            <w:pPr>
              <w:spacing w:before="0" w:after="0"/>
              <w:jc w:val="left"/>
            </w:pPr>
            <w:r>
              <w:rPr>
                <w:sz w:val="18"/>
              </w:rPr>
              <w:t>2417/1149</w:t>
            </w:r>
          </w:p>
        </w:tc>
        <w:tc>
          <w:tcPr>
            <w:tcW w:w="272" w:type="pct"/>
            <w:tcBorders>
              <w:bottom w:val="single" w:sz="8" w:space="0" w:color="000000"/>
            </w:tcBorders>
            <w:vAlign w:val="center"/>
          </w:tcPr>
          <w:p ns2:paraId="2EE21FAE" ns2:textId="77777777" w:rsidR="002F1BBD" w:rsidRDefault="002D6C96">
            <w:pPr>
              <w:spacing w:before="0" w:after="0"/>
              <w:jc w:val="left"/>
            </w:pPr>
            <w:proofErr w:type="gramStart"/>
            <w:r>
              <w:rPr>
                <w:sz w:val="18"/>
              </w:rPr>
              <w:t>个</w:t>
            </w:r>
            <w:proofErr w:type="gramEnd"/>
          </w:p>
        </w:tc>
        <w:tc>
          <w:tcPr>
            <w:tcW w:w="413" w:type="pct"/>
            <w:tcBorders>
              <w:bottom w:val="single" w:sz="8" w:space="0" w:color="000000"/>
            </w:tcBorders>
            <w:vAlign w:val="center"/>
          </w:tcPr>
          <w:p ns2:paraId="33E62F01" ns2: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ns2:paraId="20A5F635" ns2:textId="77777777" w:rsidR="002F1BBD" w:rsidRDefault="002D6C96">
            <w:pPr>
              <w:spacing w:before="0" w:after="0"/>
              <w:jc w:val="left"/>
            </w:pPr>
            <w:r>
              <w:rPr>
                <w:sz w:val="18"/>
              </w:rPr>
              <w:t>规划结果</w:t>
            </w:r>
          </w:p>
        </w:tc>
      </w:tr>
      <w:tr w:rsidR="00D007CE" w:rsidRPr="006A6807" ns2:paraId="56DEC949" ns2:textId="77777777" w:rsidTr="006A6807">
        <w:trPr>
          <w:jc w:val="center"/>
        </w:trPr>
        <w:tc>
          <w:tcPr>
            <w:tcW w:w="273" w:type="pct"/>
            <w:tcBorders>
              <w:bottom w:val="single" w:sz="8" w:space="0" w:color="000000"/>
            </w:tcBorders>
            <w:vAlign w:val="center"/>
          </w:tcPr>
          <w:p ns2:paraId="37C0F104" ns2:textId="77777777" w:rsidR="002F1BBD" w:rsidRDefault="002D6C96">
            <w:pPr>
              <w:spacing w:before="0" w:after="0"/>
              <w:jc w:val="left"/>
            </w:pPr>
            <w:r>
              <w:rPr>
                <w:sz w:val="18"/>
              </w:rPr>
              <w:t>候选集合</w:t>
            </w:r>
          </w:p>
        </w:tc>
        <w:tc>
          <w:tcPr>
            <w:tcW w:w="344" w:type="pct"/>
            <w:tcBorders>
              <w:bottom w:val="single" w:sz="8" w:space="0" w:color="000000"/>
            </w:tcBorders>
            <w:vAlign w:val="center"/>
          </w:tcPr>
          <w:p ns2:paraId="7FEAFD24" ns2:textId="77777777" w:rsidR="002F1BBD" w:rsidRDefault="002D6C96">
            <w:pPr>
              <w:spacing w:before="0" w:after="0"/>
              <w:jc w:val="left"/>
            </w:pPr>
            <w:r>
              <w:rPr>
                <w:sz w:val="18"/>
              </w:rPr>
              <w:t>扰动控制偏好有效候选数</w:t>
            </w:r>
          </w:p>
        </w:tc>
        <w:tc>
          <w:tcPr>
            <w:tcW w:w="912" w:type="pct"/>
            <w:tcBorders>
              <w:bottom w:val="single" w:sz="8" w:space="0" w:color="000000"/>
            </w:tcBorders>
            <w:vAlign w:val="center"/>
          </w:tcPr>
          <w:p ns2:paraId="74FE5459" ns2:textId="4C4564E6" w:rsidR="002F1BBD" w:rsidRDefault="00000000">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ns2:paraId="5BF6C75A" ns2:textId="77777777" w:rsidR="002F1BBD" w:rsidRDefault="002D6C96">
            <w:pPr>
              <w:spacing w:before="0" w:after="0"/>
              <w:jc w:val="left"/>
            </w:pPr>
            <w:r>
              <w:rPr>
                <w:sz w:val="18"/>
              </w:rPr>
              <w:t>374</w:t>
            </w:r>
          </w:p>
        </w:tc>
        <w:tc>
          <w:tcPr>
            <w:tcW w:w="272" w:type="pct"/>
            <w:tcBorders>
              <w:bottom w:val="single" w:sz="8" w:space="0" w:color="000000"/>
            </w:tcBorders>
            <w:vAlign w:val="center"/>
          </w:tcPr>
          <w:p ns2:paraId="254AACA0" ns2:textId="77777777" w:rsidR="002F1BBD" w:rsidRDefault="002D6C96">
            <w:pPr>
              <w:spacing w:before="0" w:after="0"/>
              <w:jc w:val="left"/>
            </w:pPr>
            <w:proofErr w:type="gramStart"/>
            <w:r>
              <w:rPr>
                <w:sz w:val="18"/>
              </w:rPr>
              <w:t>个</w:t>
            </w:r>
            <w:proofErr w:type="gramEnd"/>
          </w:p>
        </w:tc>
        <w:tc>
          <w:tcPr>
            <w:tcW w:w="413" w:type="pct"/>
            <w:tcBorders>
              <w:bottom w:val="single" w:sz="8" w:space="0" w:color="000000"/>
            </w:tcBorders>
            <w:vAlign w:val="center"/>
          </w:tcPr>
          <w:p ns2:paraId="3CCD434D" ns2:textId="77777777" w:rsidR="002F1BBD" w:rsidRDefault="002D6C96">
            <w:pPr>
              <w:spacing w:before="0" w:after="0"/>
              <w:jc w:val="left"/>
            </w:pPr>
            <w:r>
              <w:rPr>
                <w:sz w:val="18"/>
              </w:rPr>
              <w:t>统一基础输入下扰动控制偏好筛选后的有效候选记录</w:t>
            </w:r>
          </w:p>
        </w:tc>
        <w:tc>
          <w:tcPr>
            <w:tcW w:w="1837" w:type="pct"/>
            <w:tcBorders>
              <w:bottom w:val="single" w:sz="8" w:space="0" w:color="000000"/>
            </w:tcBorders>
            <w:vAlign w:val="center"/>
          </w:tcPr>
          <w:p ns2:paraId="299BBE43" ns2:textId="77777777" w:rsidR="002F1BBD" w:rsidRDefault="002D6C96">
            <w:pPr>
              <w:spacing w:before="0" w:after="0"/>
              <w:jc w:val="left"/>
            </w:pPr>
            <w:r>
              <w:rPr>
                <w:sz w:val="18"/>
              </w:rPr>
              <w:t>规划结果</w:t>
            </w:r>
          </w:p>
        </w:tc>
      </w:tr>
      <w:tr w:rsidR="00D007CE" w:rsidRPr="006A6807" ns2:paraId="5A82CA1B" ns2:textId="77777777" w:rsidTr="006A6807">
        <w:trPr>
          <w:jc w:val="center"/>
        </w:trPr>
        <w:tc>
          <w:tcPr>
            <w:tcW w:w="273" w:type="pct"/>
            <w:tcBorders>
              <w:bottom w:val="single" w:sz="8" w:space="0" w:color="000000"/>
            </w:tcBorders>
            <w:vAlign w:val="center"/>
          </w:tcPr>
          <w:p ns2:paraId="3BDCD128" ns2:textId="77777777" w:rsidR="002F1BBD" w:rsidRDefault="002D6C96">
            <w:pPr>
              <w:spacing w:before="0" w:after="0"/>
              <w:jc w:val="left"/>
            </w:pPr>
            <w:r>
              <w:rPr>
                <w:sz w:val="18"/>
              </w:rPr>
              <w:t>候选集合</w:t>
            </w:r>
          </w:p>
        </w:tc>
        <w:tc>
          <w:tcPr>
            <w:tcW w:w="344" w:type="pct"/>
            <w:tcBorders>
              <w:bottom w:val="single" w:sz="8" w:space="0" w:color="000000"/>
            </w:tcBorders>
            <w:vAlign w:val="center"/>
          </w:tcPr>
          <w:p ns2:paraId="2150CAFE" ns2: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ns2:paraId="3388357C" ns2:textId="74F0E507" w:rsidR="002F1BBD" w:rsidRDefault="00000000">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ns2:paraId="0B78AD44" ns2:textId="77777777" w:rsidR="002F1BBD" w:rsidRDefault="002D6C96">
            <w:pPr>
              <w:spacing w:before="0" w:after="0"/>
              <w:jc w:val="left"/>
            </w:pPr>
            <w:r>
              <w:rPr>
                <w:sz w:val="18"/>
              </w:rPr>
              <w:t>88</w:t>
            </w:r>
          </w:p>
        </w:tc>
        <w:tc>
          <w:tcPr>
            <w:tcW w:w="272" w:type="pct"/>
            <w:tcBorders>
              <w:bottom w:val="single" w:sz="8" w:space="0" w:color="000000"/>
            </w:tcBorders>
            <w:vAlign w:val="center"/>
          </w:tcPr>
          <w:p ns2:paraId="2F9BCDAA" ns2:textId="77777777" w:rsidR="002F1BBD" w:rsidRDefault="002D6C96">
            <w:pPr>
              <w:spacing w:before="0" w:after="0"/>
              <w:jc w:val="left"/>
            </w:pPr>
            <w:proofErr w:type="gramStart"/>
            <w:r>
              <w:rPr>
                <w:sz w:val="18"/>
              </w:rPr>
              <w:t>个</w:t>
            </w:r>
            <w:proofErr w:type="gramEnd"/>
          </w:p>
        </w:tc>
        <w:tc>
          <w:tcPr>
            <w:tcW w:w="413" w:type="pct"/>
            <w:tcBorders>
              <w:bottom w:val="single" w:sz="8" w:space="0" w:color="000000"/>
            </w:tcBorders>
            <w:vAlign w:val="center"/>
          </w:tcPr>
          <w:p ns2:paraId="072DC2EF" ns2: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w:t>
            </w:r>
            <w:r>
              <w:rPr>
                <w:sz w:val="18"/>
              </w:rPr>
              <w:lastRenderedPageBreak/>
              <w:t>合判据筛选</w:t>
            </w:r>
          </w:p>
        </w:tc>
        <w:tc>
          <w:tcPr>
            <w:tcW w:w="1837" w:type="pct"/>
            <w:tcBorders>
              <w:bottom w:val="single" w:sz="8" w:space="0" w:color="000000"/>
            </w:tcBorders>
            <w:vAlign w:val="center"/>
          </w:tcPr>
          <w:p ns2:paraId="019C0BF1" ns2:textId="77777777" w:rsidR="002F1BBD" w:rsidRDefault="002D6C96">
            <w:pPr>
              <w:spacing w:before="0" w:after="0"/>
              <w:jc w:val="left"/>
            </w:pPr>
            <w:r>
              <w:rPr>
                <w:sz w:val="18"/>
              </w:rPr>
              <w:lastRenderedPageBreak/>
              <w:t>规划结果</w:t>
            </w:r>
          </w:p>
        </w:tc>
      </w:tr>
      <w:tr w:rsidR="00390073" ns2:paraId="70006E94" ns2:textId="77777777">
        <w:trPr>
          <w:jc w:val="center"/>
        </w:trPr>
        <w:tc>
          <w:tcPr>
            <w:tcW w:w="528" w:type="dxa"/>
          </w:tcPr>
          <w:p ns2:paraId="6690586E" ns2:textId="77777777" w:rsidR="00390073" w:rsidRDefault="005E44A0">
            <w:pPr>
              <w:spacing w:before="0" w:after="0"/>
              <w:jc w:val="left"/>
            </w:pPr>
            <w:r>
              <w:rPr>
                <w:sz w:val="18"/>
              </w:rPr>
              <w:t>候选集合</w:t>
            </w:r>
          </w:p>
        </w:tc>
        <w:tc>
          <w:tcPr>
            <w:tcW w:w="665" w:type="dxa"/>
          </w:tcPr>
          <w:p ns2:paraId="4A9D6B79" ns2:textId="77777777" w:rsidR="00390073" w:rsidRDefault="005E44A0">
            <w:pPr>
              <w:spacing w:before="0" w:after="0"/>
              <w:jc w:val="left"/>
            </w:pPr>
            <w:r>
              <w:rPr>
                <w:sz w:val="18"/>
              </w:rPr>
              <w:t>统一候选集合</w:t>
            </w:r>
          </w:p>
        </w:tc>
        <w:tc>
          <w:tcPr>
            <w:tcW w:w="1763" w:type="dxa"/>
          </w:tcPr>
          <w:p ns2:paraId="1430CFEF" ns2:textId="77777777" w:rsidR="00390073" w:rsidRDefault="005E44A0">
            <w:pPr>
              <w:spacing w:before="0" w:after="0"/>
              <w:jc w:val="left"/>
            </w:pPr>
            <w:proofErr w:type="spellStart"/>
            <w:r>
              <w:rPr>
                <w:sz w:val="18"/>
              </w:rPr>
              <w:t>Π_all</w:t>
            </w:r>
            <w:proofErr w:type="spellEnd"/>
          </w:p>
        </w:tc>
        <w:tc>
          <w:tcPr>
            <w:tcW w:w="1831" w:type="dxa"/>
          </w:tcPr>
          <w:p ns2:paraId="2FA5C889" ns2:textId="77777777" w:rsidR="00390073" w:rsidRDefault="005E44A0">
            <w:pPr>
              <w:spacing w:before="0" w:after="0"/>
              <w:jc w:val="left"/>
            </w:pPr>
            <w:proofErr w:type="spellStart"/>
            <w:r>
              <w:rPr>
                <w:sz w:val="18"/>
              </w:rPr>
              <w:t>Π_e∪Π_r∪Π_m</w:t>
            </w:r>
            <w:proofErr w:type="spellEnd"/>
          </w:p>
        </w:tc>
        <w:tc>
          <w:tcPr>
            <w:tcW w:w="525" w:type="dxa"/>
          </w:tcPr>
          <w:p ns2:paraId="060AF8E7" ns2:textId="77777777" w:rsidR="00390073" w:rsidRDefault="005E44A0">
            <w:pPr>
              <w:spacing w:before="0" w:after="0"/>
              <w:jc w:val="left"/>
            </w:pPr>
            <w:r>
              <w:rPr>
                <w:sz w:val="18"/>
              </w:rPr>
              <w:t>—</w:t>
            </w:r>
          </w:p>
        </w:tc>
        <w:tc>
          <w:tcPr>
            <w:tcW w:w="798" w:type="dxa"/>
          </w:tcPr>
          <w:p ns2:paraId="6DFB742E" ns2: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ns2:paraId="62A506BD" ns2:textId="77777777" w:rsidR="00390073" w:rsidRDefault="005E44A0">
            <w:pPr>
              <w:spacing w:before="0" w:after="0"/>
              <w:jc w:val="left"/>
            </w:pPr>
            <w:r>
              <w:rPr>
                <w:sz w:val="18"/>
              </w:rPr>
              <w:t>规划结果</w:t>
            </w:r>
          </w:p>
        </w:tc>
      </w:tr>
    </w:tbl>
    <w:p ns2:paraId="5B9F0F83" ns2:textId="77777777" w:rsidR="00A046E0" w:rsidRPr="00801D65" w:rsidRDefault="00A046E0">
      <w:pPr>
        <w:spacing w:after="40"/>
        <w:ind w:firstLine="420"/>
      </w:pPr>
    </w:p>
    <w:p ns2:paraId="0022F63A" ns2: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ns2:paraId="584CB62F" ns2: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fldChar w:fldCharType="begin"/>
      </w:r>
      <w:r>
        <w:instrText>HYPERLINK \l "REF_008"</w:instrText>
      </w:r>
      <w:r>
        <w:fldChar w:fldCharType="separate"/>
      </w:r>
      <w:r w:rsidRPr="000E0157">
        <w:rPr>
          <w:color w:val="000000"/>
          <w:sz w:val="18"/>
          <w:vertAlign w:val="superscript"/>
        </w:rPr>
        <w:t>[8-10]</w:t>
      </w:r>
      <w:r>
        <w:fldChar w:fldCharType="end"/>
      </w:r>
      <w:r>
        <w:t>。</w:t>
      </w:r>
    </w:p>
    <w:p ns2:paraId="11F5FBE0" ns2: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ns2:paraId="24CC7739" ns2:textId="77777777" w:rsidR="00195275" w:rsidRDefault="00A249E2">
      <w:pPr>
        <w:jc w:val="center"/>
      </w:pPr>
      <w:r>
        <w:rPr>
          <w:rFonts w:ascii="宋体" w:eastAsia="宋体" w:hAnsi="宋体"/>
          <w:noProof/>
        </w:rPr>
        <w:drawing>
          <wp:inline distT="0" distB="0" distL="0" distR="0" ns5:anchorId="772D9111" ns5:editId="2A2333AF">
            <wp:extent cx="2788920" cy="2160876"/>
            <wp:effectExtent l="0" t="0" r="0" b="0"/>
            <wp:docPr id="3" name="Picture 3"/>
            <wp:cNvGraphicFramePr>
              <a:graphicFrameLocks noChangeAspect="1"/>
            </wp:cNvGraphicFramePr>
            <a:graphic>
              <a:graphicData uri="http://schemas.openxmlformats.org/drawingml/2006/picture">
                <pic:pic>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ns2:paraId="53069E0C" ns2: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ns2:paraId="3FEA121E" ns2: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ns2:paraId="11C5E7FC" ns2: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ns2:paraId="70617547" ns2: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ns2:paraId="65DD109D" ns2: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和规划对象之间的一致性直接决定了后续结果是否可比较、可传递和可复核。</w:t>
      </w:r>
    </w:p>
    <w:p ns2:paraId="6CD33F8F" ns2:textId="77777777" w:rsidR="007E22B6" w:rsidRDefault="007E22B6"/>
    <w:p ns2:paraId="7F3A39B2" ns2:textId="77777777" w:rsidR="007E22B6" w:rsidRDefault="00A249E2" w:rsidP="00A046E0">
      <w:pPr>
        <w:pStyle w:val="12"/>
      </w:pPr>
      <w:r>
        <w:rPr>
          <w:rFonts w:ascii="宋体" w:eastAsia="宋体" w:hAnsi="宋体"/>
          <w:sz w:val="21"/>
        </w:rPr>
        <w:t>2.3 多场景 ODI 风险表征结果</w:t>
      </w:r>
    </w:p>
    <w:p ns2:paraId="77C45F77" ns2: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覆岩破坏</w:t>
      </w:r>
      <w:proofErr w:type="gramEnd"/>
      <w:r>
        <w:t>与含水层受扰需结合岩层结构、采高、工作面尺度、含水层富水性和导水通道共同判读</w:t>
      </w:r>
      <w:hyperlink w:anchor="REF_018" w:history="1">
        <w:r w:rsidRPr="000E0157">
          <w:rPr>
            <w:color w:val="000000"/>
            <w:sz w:val="18"/>
            <w:vertAlign w:val="superscript"/>
          </w:rPr>
          <w:t>[18-33]</w:t>
        </w:r>
      </w:hyperlink>
      <w:r>
        <w:t>。若各场景以独立判据参与规划，容易造成尺度不统一和结果难复用。本文引入</w:t>
      </w:r>
      <w:r>
        <w:t>ODI</w:t>
      </w:r>
      <w:r>
        <w:t>作为统一风险组织口径，以支撑多场景风险在同一规划框架中的表达、比较与传递。</w:t>
      </w:r>
    </w:p>
    <w:p ns2:paraId="438F5789" ns2: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w:t>
      </w:r>
      <w:proofErr w:type="gramStart"/>
      <w:r>
        <w:t>例计算</w:t>
      </w:r>
      <w:proofErr w:type="gramEnd"/>
      <w:r>
        <w:t>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m:rPr>
            <m:nor/>
          </m:rP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ns2:paraId="6D1DED9F" ns2:textId="77777777" w:rsidR="00195275" w:rsidRDefault="00A249E2">
      <w:pPr>
        <w:jc w:val="center"/>
      </w:pPr>
      <w:r>
        <w:rPr>
          <w:rFonts w:ascii="宋体" w:eastAsia="宋体" w:hAnsi="宋体"/>
          <w:noProof/>
        </w:rPr>
        <w:drawing>
          <wp:inline distT="0" distB="0" distL="0" distR="0" ns5:anchorId="238299D1" ns5:editId="6453A736">
            <wp:extent cx="2788920" cy="1864259"/>
            <wp:effectExtent l="0" t="0" r="0" b="0"/>
            <wp:docPr id="4" name="Picture 4"/>
            <wp:cNvGraphicFramePr>
              <a:graphicFrameLocks noChangeAspect="1"/>
            </wp:cNvGraphicFramePr>
            <a:graphic>
              <a:graphicData uri="http://schemas.openxmlformats.org/drawingml/2006/picture">
                <pic:pic>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ns2:paraId="3031D836" ns2:textId="77777777" w:rsidR="00195275" w:rsidRDefault="00A249E2">
      <w:pPr>
        <w:pStyle w:val="14"/>
      </w:pPr>
      <w:r>
        <w:t>图</w:t>
      </w:r>
      <w:r>
        <w:t xml:space="preserve">4 </w:t>
      </w:r>
      <w:r>
        <w:t>多场景</w:t>
      </w:r>
      <w:r>
        <w:t>ODI</w:t>
      </w:r>
      <w:r>
        <w:t>分布结果对比图</w:t>
      </w:r>
      <w:r>
        <w:br/>
        <w:t>Fig.4 Comparison of multi-scenario ODI distribution results</w:t>
      </w:r>
    </w:p>
    <w:p ns2:paraId="03405561" ns2: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fldChar w:fldCharType="begin"/>
      </w:r>
      <w:r>
        <w:instrText>HYPERLINK \l "REF_018"</w:instrText>
      </w:r>
      <w:r>
        <w:fldChar w:fldCharType="separate"/>
      </w:r>
      <w:r w:rsidRPr="000E0157">
        <w:rPr>
          <w:color w:val="000000"/>
          <w:sz w:val="18"/>
          <w:vertAlign w:val="superscript"/>
        </w:rPr>
        <w:t>[18-21,23-26,28-30,32-33]</w:t>
      </w:r>
      <w:r>
        <w:fldChar w:fldCharType="end"/>
      </w:r>
      <w:r>
        <w:t>。统一为</w:t>
      </w:r>
      <w:r>
        <w:t>ODI</w:t>
      </w:r>
      <w:r>
        <w:t>后，各场景可在同</w:t>
      </w:r>
      <w:proofErr w:type="gramStart"/>
      <w:r>
        <w:t>一统计</w:t>
      </w:r>
      <w:proofErr w:type="gramEnd"/>
      <w:r>
        <w:t>口径下进入方案筛选。</w:t>
      </w:r>
    </w:p>
    <w:p ns2:paraId="561821D6" ns2: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ns2:paraId="76D6E00A" ns2: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ns2:paraId="2C5DD38C" ns2: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ns2:paraId="7F3750D5" ns2:textId="77777777" w:rsidTr="006A6807">
        <w:trPr>
          <w:tblHeader/>
          <w:tblCellSpacing w:w="15" w:type="dxa"/>
          <w:jc w:val="center"/>
        </w:trPr>
        <w:tc>
          <w:tcPr>
            <w:tcW w:w="892" w:type="pct"/>
            <w:tcBorders>
              <w:top w:val="single" w:sz="8" w:space="0" w:color="000000"/>
              <w:bottom w:val="single" w:sz="6" w:space="0" w:color="000000"/>
            </w:tcBorders>
            <w:vAlign w:val="center"/>
            <w:hideMark/>
          </w:tcPr>
          <w:p ns2:paraId="26897BB3" ns2: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ns2:paraId="035B53B4" ns2: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ns2:paraId="61A6D36A" ns2: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ns2:paraId="58097E18" ns2: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ns2:paraId="193BA390" ns2:textId="77777777" w:rsidTr="006A6807">
        <w:trPr>
          <w:tblCellSpacing w:w="15" w:type="dxa"/>
          <w:jc w:val="center"/>
        </w:trPr>
        <w:tc>
          <w:tcPr>
            <w:tcW w:w="892" w:type="pct"/>
            <w:vAlign w:val="center"/>
            <w:hideMark/>
          </w:tcPr>
          <w:p ns2:paraId="0824EDB9" ns2: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ns2:paraId="0BC08CE1" ns2: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ns2:paraId="74E94FD4" ns2: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ns2:paraId="35A86BC8" ns2: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ns2:paraId="58FDFA72" ns2:textId="77777777" w:rsidTr="006A6807">
        <w:trPr>
          <w:tblCellSpacing w:w="15" w:type="dxa"/>
          <w:jc w:val="center"/>
        </w:trPr>
        <w:tc>
          <w:tcPr>
            <w:tcW w:w="892" w:type="pct"/>
            <w:vAlign w:val="center"/>
            <w:hideMark/>
          </w:tcPr>
          <w:p ns2:paraId="1FFE7EDE" ns2: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ns2:paraId="0155BCEE" ns2: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ns2:paraId="513DA55E" ns2: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ns2:paraId="44FDD5C0" ns2: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ns2:paraId="55D1F678" ns2:textId="77777777" w:rsidTr="006A6807">
        <w:trPr>
          <w:tblCellSpacing w:w="15" w:type="dxa"/>
          <w:jc w:val="center"/>
        </w:trPr>
        <w:tc>
          <w:tcPr>
            <w:tcW w:w="892" w:type="pct"/>
            <w:vAlign w:val="center"/>
            <w:hideMark/>
          </w:tcPr>
          <w:p ns2:paraId="227DBD22" ns2: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ns2:paraId="4CCD9366" ns2: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ns2:paraId="059C85ED" ns2: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ns2:paraId="60CA8EB7" ns2: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ns2:paraId="10260EEC" ns2:textId="77777777" w:rsidTr="006A6807">
        <w:trPr>
          <w:tblCellSpacing w:w="15" w:type="dxa"/>
          <w:jc w:val="center"/>
        </w:trPr>
        <w:tc>
          <w:tcPr>
            <w:tcW w:w="892" w:type="pct"/>
            <w:tcBorders>
              <w:bottom w:val="single" w:sz="8" w:space="0" w:color="000000"/>
            </w:tcBorders>
            <w:vAlign w:val="center"/>
            <w:hideMark/>
          </w:tcPr>
          <w:p ns2:paraId="72E93A53" ns2: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ns2:paraId="786F6F18" ns2: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ns2:paraId="6605F01D" ns2: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ns2:paraId="0CD9873E" ns2: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ns2:paraId="1F172C75" ns2:textId="77777777" w:rsidR="00A046E0" w:rsidRPr="00A046E0" w:rsidRDefault="00A046E0" w:rsidP="00801D65">
      <w:pPr>
        <w:spacing w:after="40"/>
        <w:ind w:firstLine="420"/>
        <w:rPr>
          <w:rFonts w:ascii="宋体" w:hAnsi="宋体"/>
        </w:rPr>
      </w:pPr>
    </w:p>
    <w:p ns2:paraId="57114B3C" ns2:textId="77777777" w:rsidR="00DE4743" w:rsidRDefault="00DE4743" w:rsidP="00A046E0">
      <w:pPr>
        <w:pStyle w:val="11"/>
      </w:pPr>
      <w:r>
        <w:rPr>
          <w:sz w:val="21"/>
        </w:rPr>
        <w:lastRenderedPageBreak/>
        <w:t xml:space="preserve">3 </w:t>
      </w:r>
      <w:r>
        <w:rPr>
          <w:sz w:val="21"/>
        </w:rPr>
        <w:t>候选方案对比与风险统计</w:t>
      </w:r>
    </w:p>
    <w:p ns2:paraId="4D80289E" ns2:textId="77777777" w:rsidR="007E22B6" w:rsidRDefault="00DE4743" w:rsidP="00A046E0">
      <w:pPr>
        <w:pStyle w:val="12"/>
      </w:pPr>
      <w:r>
        <w:rPr>
          <w:sz w:val="21"/>
        </w:rPr>
        <w:t xml:space="preserve">3.1 </w:t>
      </w:r>
      <w:r>
        <w:rPr>
          <w:sz w:val="21"/>
        </w:rPr>
        <w:t>候选方案生成结果与对比</w:t>
      </w:r>
    </w:p>
    <w:p ns2:paraId="48A31DD9" ns2: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指标的变化。与仅展示单一方案结果相比，候选方案对比能够更直接回答</w:t>
      </w:r>
      <w:r>
        <w:t>“ODI</w:t>
      </w:r>
      <w:r>
        <w:t>约束如何影响方案筛选</w:t>
      </w:r>
      <w:r>
        <w:t>”</w:t>
      </w:r>
      <w:r>
        <w:t>的问题。</w:t>
      </w:r>
    </w:p>
    <w:p ns2:paraId="34BCEF9D" ns2: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ns2:paraId="4F413572" ns2: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ns2:paraId="13AC4756" ns2: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m:rPr>
            <m:nor/>
          </m:rP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ns2:paraId="53395774" ns2: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ns2:paraId="59DCD33B" ns2: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ns2:paraId="07A07353" ns2: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ns2:paraId="3174F86B" ns2:textId="77777777" w:rsidR="00EC2F84" w:rsidRDefault="002D6C96" w:rsidP="00CD164F">
      <w:pPr>
        <w:pStyle w:val="10"/>
        <w:ind w:firstLineChars="0" w:firstLine="0"/>
        <w:jc w:val="center"/>
      </w:pPr>
      <w:r>
        <w:rPr>
          <w:noProof/>
        </w:rPr>
        <w:drawing>
          <wp:inline distT="0" distB="0" distL="0" distR="0" ns5:anchorId="7D06C6EA" ns5:editId="4CFBB8F3">
            <wp:extent cx="5714310" cy="1341120"/>
            <wp:effectExtent l="0" t="0" r="1270" b="0"/>
            <wp:docPr id="24631854" name="Picture 24631854"/>
            <wp:cNvGraphicFramePr>
              <a:graphicFrameLocks noChangeAspect="1"/>
            </wp:cNvGraphicFramePr>
            <a:graphic>
              <a:graphicData uri="http://schemas.openxmlformats.org/drawingml/2006/picture">
                <pic:pic>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ns9:shadowObscured/>
                      </a:ext>
                    </a:extLst>
                  </pic:spPr>
                </pic:pic>
              </a:graphicData>
            </a:graphic>
          </wp:inline>
        </w:drawing>
      </w:r>
    </w:p>
    <w:p ns2:paraId="6F6ADC5D" ns2: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ns2:paraId="7194BE2A" ns2: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ns2:paraId="36464F33" ns2:textId="77777777" w:rsidTr="006A6807">
        <w:trPr>
          <w:jc w:val="center"/>
        </w:trPr>
        <w:tc>
          <w:tcPr>
            <w:tcW w:w="420" w:type="dxa"/>
            <w:tcBorders>
              <w:top w:val="single" w:sz="8" w:space="0" w:color="000000"/>
              <w:bottom w:val="single" w:sz="6" w:space="0" w:color="000000"/>
            </w:tcBorders>
            <w:vAlign w:val="center"/>
          </w:tcPr>
          <w:p ns2:paraId="72503E20" ns2: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ns2:paraId="0B6C4EFC" ns2: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ns2:paraId="551EC8AD" ns2: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ns2:paraId="1905785B" ns2: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ns2:paraId="01E6F6EE" ns2:textId="77777777" w:rsidR="00390073" w:rsidRDefault="005E44A0">
            <w:pPr>
              <w:spacing w:before="0" w:after="0"/>
              <w:jc w:val="left"/>
            </w:pPr>
            <w:r>
              <w:rPr>
                <w:sz w:val="16"/>
              </w:rPr>
              <w:t>复核状态</w:t>
            </w:r>
          </w:p>
        </w:tc>
        <w:tc>
          <w:tcPr>
            <w:tcW w:w="780" w:type="dxa"/>
          </w:tcPr>
          <w:p ns2:paraId="149BC0F6" ns2:textId="77777777" w:rsidR="002F1BBD" w:rsidRDefault="002D6C96">
            <w:pPr>
              <w:spacing w:before="0" w:after="0"/>
              <w:jc w:val="left"/>
            </w:pPr>
            <w:r>
              <w:rPr>
                <w:sz w:val="16"/>
              </w:rPr>
              <w:t>主导排序指标</w:t>
            </w:r>
          </w:p>
        </w:tc>
      </w:tr>
      <w:tr w:rsidR="00D007CE" w:rsidRPr="006A6807" ns2:paraId="2E7D5A70" ns2:textId="77777777" w:rsidTr="006A6807">
        <w:trPr>
          <w:jc w:val="center"/>
        </w:trPr>
        <w:tc>
          <w:tcPr>
            <w:tcW w:w="420" w:type="dxa"/>
            <w:vAlign w:val="center"/>
          </w:tcPr>
          <w:p ns2:paraId="425919FD" ns2:textId="77777777" w:rsidR="002F1BBD" w:rsidRDefault="002D6C96">
            <w:pPr>
              <w:spacing w:before="0" w:after="0"/>
              <w:jc w:val="left"/>
            </w:pPr>
            <w:r>
              <w:rPr>
                <w:sz w:val="16"/>
              </w:rPr>
              <w:t>A</w:t>
            </w:r>
          </w:p>
        </w:tc>
        <w:tc>
          <w:tcPr>
            <w:tcW w:w="1500" w:type="dxa"/>
            <w:vAlign w:val="center"/>
          </w:tcPr>
          <w:p ns2:paraId="6F46DD2B" ns2:textId="77777777" w:rsidR="002F1BBD" w:rsidRDefault="002D6C96">
            <w:pPr>
              <w:spacing w:before="0" w:after="0"/>
              <w:jc w:val="left"/>
            </w:pPr>
            <w:r>
              <w:rPr>
                <w:sz w:val="16"/>
              </w:rPr>
              <w:t>工程效率偏好</w:t>
            </w:r>
          </w:p>
        </w:tc>
        <w:tc>
          <w:tcPr>
            <w:tcW w:w="1850" w:type="dxa"/>
            <w:vAlign w:val="center"/>
          </w:tcPr>
          <w:p ns2:paraId="0C9FA7CC" ns2: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ns2:paraId="63F4E33F" ns2: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ns2:paraId="44BED32F" ns2:textId="77777777" w:rsidR="002F1BBD" w:rsidRDefault="002D6C96">
            <w:pPr>
              <w:spacing w:before="0" w:after="0"/>
              <w:jc w:val="left"/>
            </w:pPr>
            <w:r>
              <w:rPr>
                <w:sz w:val="16"/>
              </w:rPr>
              <w:t>按工程效率分项排序</w:t>
            </w:r>
          </w:p>
        </w:tc>
        <w:tc>
          <w:tcPr>
            <w:tcW w:w="780" w:type="dxa"/>
          </w:tcPr>
          <w:p ns2:paraId="67B8901B" ns2:textId="522DA414" w:rsidR="002F1BBD" w:rsidRDefault="0000000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ns2:paraId="2DD47745" ns2:textId="77777777" w:rsidTr="006A6807">
        <w:trPr>
          <w:jc w:val="center"/>
        </w:trPr>
        <w:tc>
          <w:tcPr>
            <w:tcW w:w="420" w:type="dxa"/>
            <w:vAlign w:val="center"/>
          </w:tcPr>
          <w:p ns2:paraId="1A03537B" ns2:textId="77777777" w:rsidR="002F1BBD" w:rsidRDefault="002D6C96">
            <w:pPr>
              <w:spacing w:before="0" w:after="0"/>
              <w:jc w:val="left"/>
            </w:pPr>
            <w:r>
              <w:rPr>
                <w:sz w:val="16"/>
              </w:rPr>
              <w:t>B</w:t>
            </w:r>
          </w:p>
        </w:tc>
        <w:tc>
          <w:tcPr>
            <w:tcW w:w="1500" w:type="dxa"/>
            <w:vAlign w:val="center"/>
          </w:tcPr>
          <w:p ns2:paraId="0CA65287" ns2:textId="77777777" w:rsidR="002F1BBD" w:rsidRDefault="002D6C96">
            <w:pPr>
              <w:spacing w:before="0" w:after="0"/>
              <w:jc w:val="left"/>
            </w:pPr>
            <w:r>
              <w:rPr>
                <w:sz w:val="16"/>
              </w:rPr>
              <w:t>资源回收偏好</w:t>
            </w:r>
          </w:p>
        </w:tc>
        <w:tc>
          <w:tcPr>
            <w:tcW w:w="1850" w:type="dxa"/>
            <w:vAlign w:val="center"/>
          </w:tcPr>
          <w:p ns2:paraId="63B8CB66" ns2: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ns2:paraId="435FF766" ns2: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ns2:paraId="53A2DABF" ns2:textId="77777777" w:rsidR="002F1BBD" w:rsidRDefault="002D6C96">
            <w:pPr>
              <w:spacing w:before="0" w:after="0"/>
              <w:jc w:val="left"/>
            </w:pPr>
            <w:r>
              <w:rPr>
                <w:sz w:val="16"/>
              </w:rPr>
              <w:t>按资源回收分项排序</w:t>
            </w:r>
          </w:p>
        </w:tc>
        <w:tc>
          <w:tcPr>
            <w:tcW w:w="780" w:type="dxa"/>
          </w:tcPr>
          <w:p ns2:paraId="29AEB14C" ns2:textId="4E8C59FE" w:rsidR="002F1BBD" w:rsidRDefault="0000000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ns2:paraId="6B01EE6C" ns2:textId="77777777" w:rsidTr="006A6807">
        <w:trPr>
          <w:jc w:val="center"/>
        </w:trPr>
        <w:tc>
          <w:tcPr>
            <w:tcW w:w="420" w:type="dxa"/>
            <w:vAlign w:val="center"/>
          </w:tcPr>
          <w:p ns2:paraId="4AF0508E" ns2:textId="77777777" w:rsidR="002F1BBD" w:rsidRDefault="002D6C96">
            <w:pPr>
              <w:spacing w:before="0" w:after="0"/>
              <w:jc w:val="left"/>
            </w:pPr>
            <w:r>
              <w:rPr>
                <w:sz w:val="16"/>
              </w:rPr>
              <w:t>C</w:t>
            </w:r>
          </w:p>
        </w:tc>
        <w:tc>
          <w:tcPr>
            <w:tcW w:w="1500" w:type="dxa"/>
            <w:vAlign w:val="center"/>
          </w:tcPr>
          <w:p ns2:paraId="004F4429" ns2:textId="77777777" w:rsidR="002F1BBD" w:rsidRDefault="002D6C96">
            <w:pPr>
              <w:spacing w:before="0" w:after="0"/>
              <w:jc w:val="left"/>
            </w:pPr>
            <w:r>
              <w:rPr>
                <w:sz w:val="16"/>
              </w:rPr>
              <w:t>联合判据下低扰动候选</w:t>
            </w:r>
          </w:p>
        </w:tc>
        <w:tc>
          <w:tcPr>
            <w:tcW w:w="1850" w:type="dxa"/>
            <w:vAlign w:val="center"/>
          </w:tcPr>
          <w:p ns2:paraId="7BF693EF" ns2: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ns2:paraId="3D963D20" ns2: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ns2:paraId="47B3BBE2" ns2:textId="77777777" w:rsidR="002F1BBD" w:rsidRDefault="002D6C96">
            <w:pPr>
              <w:spacing w:before="0" w:after="0"/>
              <w:jc w:val="left"/>
            </w:pPr>
            <w:r>
              <w:rPr>
                <w:sz w:val="16"/>
              </w:rPr>
              <w:t>联合判据下低扰动候选</w:t>
            </w:r>
          </w:p>
        </w:tc>
        <w:tc>
          <w:tcPr>
            <w:tcW w:w="780" w:type="dxa"/>
          </w:tcPr>
          <w:p ns2:paraId="553B9CF9" ns2:textId="62E31641" w:rsidR="002F1BBD" w:rsidRDefault="00000000">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ns2:paraId="6DEFB6E1" ns2:textId="77777777" w:rsidTr="006A6807">
        <w:trPr>
          <w:jc w:val="center"/>
        </w:trPr>
        <w:tc>
          <w:tcPr>
            <w:tcW w:w="420" w:type="dxa"/>
            <w:vAlign w:val="center"/>
          </w:tcPr>
          <w:p ns2:paraId="442489A3" ns2:textId="77777777" w:rsidR="002F1BBD" w:rsidRDefault="002D6C96">
            <w:pPr>
              <w:spacing w:before="0" w:after="0"/>
              <w:jc w:val="left"/>
            </w:pPr>
            <w:r>
              <w:rPr>
                <w:sz w:val="16"/>
              </w:rPr>
              <w:t>C0</w:t>
            </w:r>
          </w:p>
        </w:tc>
        <w:tc>
          <w:tcPr>
            <w:tcW w:w="1500" w:type="dxa"/>
            <w:vAlign w:val="center"/>
          </w:tcPr>
          <w:p ns2:paraId="48C11B57" ns2:textId="77777777" w:rsidR="002F1BBD" w:rsidRDefault="002D6C96">
            <w:pPr>
              <w:spacing w:before="0" w:after="0"/>
              <w:jc w:val="left"/>
            </w:pPr>
            <w:r>
              <w:rPr>
                <w:sz w:val="16"/>
              </w:rPr>
              <w:t>早期扰动控制偏好</w:t>
            </w:r>
          </w:p>
        </w:tc>
        <w:tc>
          <w:tcPr>
            <w:tcW w:w="1850" w:type="dxa"/>
            <w:vAlign w:val="center"/>
          </w:tcPr>
          <w:p ns2:paraId="3342AC60" ns2: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ns2:paraId="1FDBBB90" ns2: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ns2:paraId="4BB7513D" ns2: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ns2:paraId="52B46767" ns2:textId="77777777" w:rsidR="002F1BBD" w:rsidRDefault="002D6C96">
            <w:pPr>
              <w:spacing w:before="0" w:after="0"/>
              <w:jc w:val="left"/>
            </w:pPr>
            <w:r>
              <w:rPr>
                <w:sz w:val="16"/>
              </w:rPr>
              <w:t>不纳入</w:t>
            </w:r>
          </w:p>
        </w:tc>
      </w:tr>
    </w:tbl>
    <w:p ns2:paraId="2047B520" ns2:textId="77777777" w:rsidR="00A046E0" w:rsidRDefault="00A046E0" w:rsidP="00A046E0">
      <w:pPr>
        <w:spacing w:after="40"/>
        <w:rPr>
          <w:rFonts w:ascii="宋体" w:hAnsi="宋体"/>
        </w:rPr>
      </w:pPr>
    </w:p>
    <w:p ns2:paraId="79FC48F0" ns2:textId="77777777" w:rsidR="00DE4743" w:rsidRPr="00DE4743" w:rsidRDefault="00DE4743" w:rsidP="00A046E0">
      <w:pPr>
        <w:pStyle w:val="12"/>
      </w:pPr>
      <w:r>
        <w:rPr>
          <w:sz w:val="21"/>
        </w:rPr>
        <w:t xml:space="preserve">3.2 </w:t>
      </w:r>
      <w:r>
        <w:rPr>
          <w:sz w:val="21"/>
        </w:rPr>
        <w:t>阈值与权重敏感性分析</w:t>
      </w:r>
    </w:p>
    <w:p ns2:paraId="5E8727DB" ns2: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ns2:paraId="0210E264" ns2: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ns2:paraId="5CC9C408" ns2: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ns2:paraId="43725F78" ns2: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ns2:paraId="15C5530A" ns2: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ns2:paraId="4E0F754F" ns2: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ns2:paraId="421426E6" ns2: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ns2:paraId="773B68C9" ns2:textId="77777777" w:rsidTr="006A6807">
        <w:trPr>
          <w:jc w:val="center"/>
        </w:trPr>
        <w:tc>
          <w:tcPr>
            <w:tcW w:w="585" w:type="pct"/>
            <w:tcBorders>
              <w:top w:val="single" w:sz="8" w:space="0" w:color="000000"/>
              <w:bottom w:val="single" w:sz="6" w:space="0" w:color="000000"/>
            </w:tcBorders>
            <w:vAlign w:val="center"/>
          </w:tcPr>
          <w:p ns2:paraId="1A251F2C" ns2: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ns2:paraId="1D2997C1" ns2: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ns2:paraId="5FAF8680" ns2: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ns2:paraId="6BC7CFF6" ns2: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ns2:paraId="6B820D0C" ns2:textId="77777777" w:rsidR="00390073" w:rsidRDefault="005E44A0">
            <w:pPr>
              <w:spacing w:before="0" w:after="0"/>
              <w:jc w:val="center"/>
            </w:pPr>
            <w:r>
              <w:rPr>
                <w:sz w:val="18"/>
              </w:rPr>
              <w:t>说明</w:t>
            </w:r>
          </w:p>
        </w:tc>
      </w:tr>
      <w:tr w:rsidR="00D007CE" w:rsidRPr="006A6807" ns2:paraId="5D6EA5EC" ns2:textId="77777777" w:rsidTr="006A6807">
        <w:trPr>
          <w:jc w:val="center"/>
        </w:trPr>
        <w:tc>
          <w:tcPr>
            <w:tcW w:w="585" w:type="pct"/>
            <w:vAlign w:val="center"/>
          </w:tcPr>
          <w:p ns2:paraId="3D2FE8B9" ns2:textId="77777777" w:rsidR="00390073" w:rsidRDefault="005E44A0">
            <w:pPr>
              <w:spacing w:before="0" w:after="0"/>
              <w:jc w:val="left"/>
            </w:pPr>
            <w:r>
              <w:rPr>
                <w:sz w:val="18"/>
              </w:rPr>
              <w:t>全域</w:t>
            </w:r>
            <w:r>
              <w:rPr>
                <w:sz w:val="18"/>
              </w:rPr>
              <w:t>ODI</w:t>
            </w:r>
            <w:r>
              <w:rPr>
                <w:sz w:val="18"/>
              </w:rPr>
              <w:t>场</w:t>
            </w:r>
          </w:p>
        </w:tc>
        <w:tc>
          <w:tcPr>
            <w:tcW w:w="1227" w:type="pct"/>
            <w:vAlign w:val="center"/>
          </w:tcPr>
          <w:p ns2:paraId="71FFC4DD" ns2: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m:rPr>
                  <m:nor/>
                </m:rPr>
                <w:rPr>
                  <w:rFonts w:ascii="Cambria Math" w:hAnsi="Cambria Math"/>
                  <w:sz w:val="18"/>
                </w:rPr>
                <m:t>ODI&gt;0.70</m:t>
              </m:r>
            </m:oMath>
            <w:r>
              <w:rPr>
                <w:sz w:val="18"/>
              </w:rPr>
              <w:t>为</w:t>
            </w:r>
            <w:r>
              <w:rPr>
                <w:sz w:val="18"/>
              </w:rPr>
              <w:t>15.89%</w:t>
            </w:r>
          </w:p>
        </w:tc>
        <w:tc>
          <w:tcPr>
            <w:tcW w:w="1345" w:type="pct"/>
            <w:vAlign w:val="center"/>
          </w:tcPr>
          <w:p ns2:paraId="7C30534F" ns2:textId="77777777" w:rsidR="00390073" w:rsidRDefault="005E44A0">
            <w:pPr>
              <w:spacing w:before="0" w:after="0"/>
              <w:jc w:val="left"/>
            </w:pPr>
            <w:r>
              <w:rPr>
                <w:sz w:val="18"/>
              </w:rPr>
              <w:t>研究</w:t>
            </w:r>
            <w:proofErr w:type="gramStart"/>
            <w:r>
              <w:rPr>
                <w:sz w:val="18"/>
              </w:rPr>
              <w:t>区风险</w:t>
            </w:r>
            <w:proofErr w:type="gramEnd"/>
            <w:r>
              <w:rPr>
                <w:sz w:val="18"/>
              </w:rPr>
              <w:t>背景</w:t>
            </w:r>
          </w:p>
        </w:tc>
        <w:tc>
          <w:tcPr>
            <w:tcW w:w="485" w:type="pct"/>
            <w:vAlign w:val="center"/>
          </w:tcPr>
          <w:p ns2:paraId="64F8F5CF" ns2: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ns2:paraId="3DFAE6A2" ns2:textId="77777777" w:rsidR="00390073" w:rsidRDefault="005E44A0">
            <w:pPr>
              <w:spacing w:before="0" w:after="0"/>
              <w:jc w:val="left"/>
            </w:pPr>
            <w:r>
              <w:rPr>
                <w:sz w:val="18"/>
              </w:rPr>
              <w:t>已复核</w:t>
            </w:r>
          </w:p>
        </w:tc>
      </w:tr>
      <w:tr w:rsidR="00D007CE" w:rsidRPr="006A6807" ns2:paraId="470B1576" ns2:textId="77777777" w:rsidTr="006A6807">
        <w:trPr>
          <w:jc w:val="center"/>
        </w:trPr>
        <w:tc>
          <w:tcPr>
            <w:tcW w:w="585" w:type="pct"/>
            <w:vAlign w:val="center"/>
          </w:tcPr>
          <w:p ns2:paraId="78E03D1A" ns2:textId="77777777" w:rsidR="00390073" w:rsidRDefault="005E44A0">
            <w:pPr>
              <w:spacing w:before="0" w:after="0"/>
              <w:jc w:val="left"/>
            </w:pPr>
            <w:r>
              <w:rPr>
                <w:sz w:val="18"/>
              </w:rPr>
              <w:t>统一方案对比</w:t>
            </w:r>
          </w:p>
        </w:tc>
        <w:tc>
          <w:tcPr>
            <w:tcW w:w="1227" w:type="pct"/>
            <w:vAlign w:val="center"/>
          </w:tcPr>
          <w:p ns2:paraId="4D94FDA3" ns2: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ns2:paraId="67D34555" ns2:textId="77777777" w:rsidR="00390073" w:rsidRDefault="005E44A0">
            <w:pPr>
              <w:spacing w:before="0" w:after="0"/>
              <w:jc w:val="left"/>
            </w:pPr>
            <w:proofErr w:type="gramStart"/>
            <w:r>
              <w:rPr>
                <w:sz w:val="18"/>
              </w:rPr>
              <w:t>方案级风险</w:t>
            </w:r>
            <w:proofErr w:type="gramEnd"/>
            <w:r>
              <w:rPr>
                <w:sz w:val="18"/>
              </w:rPr>
              <w:t>比较</w:t>
            </w:r>
          </w:p>
        </w:tc>
        <w:tc>
          <w:tcPr>
            <w:tcW w:w="485" w:type="pct"/>
            <w:vAlign w:val="center"/>
          </w:tcPr>
          <w:p ns2:paraId="2F17B608" ns2: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ns2:paraId="3BAF16D1" ns2:textId="77777777" w:rsidR="00390073" w:rsidRDefault="005E44A0">
            <w:pPr>
              <w:spacing w:before="0" w:after="0"/>
              <w:jc w:val="left"/>
            </w:pPr>
            <w:r>
              <w:rPr>
                <w:sz w:val="18"/>
              </w:rPr>
              <w:t>同一</w:t>
            </w:r>
            <w:r>
              <w:rPr>
                <w:sz w:val="18"/>
              </w:rPr>
              <w:t>ODI</w:t>
            </w:r>
            <w:r>
              <w:rPr>
                <w:sz w:val="18"/>
              </w:rPr>
              <w:t>场采样</w:t>
            </w:r>
          </w:p>
        </w:tc>
      </w:tr>
      <w:tr w:rsidR="00D007CE" w:rsidRPr="006A6807" ns2:paraId="45B5F287" ns2:textId="77777777" w:rsidTr="006A6807">
        <w:trPr>
          <w:jc w:val="center"/>
        </w:trPr>
        <w:tc>
          <w:tcPr>
            <w:tcW w:w="585" w:type="pct"/>
            <w:vAlign w:val="center"/>
          </w:tcPr>
          <w:p ns2:paraId="0F4318ED" ns2:textId="77777777" w:rsidR="00390073" w:rsidRDefault="005E44A0">
            <w:pPr>
              <w:spacing w:before="0" w:after="0"/>
              <w:jc w:val="left"/>
            </w:pPr>
            <w:r>
              <w:rPr>
                <w:sz w:val="18"/>
              </w:rPr>
              <w:t>阈值敏感性</w:t>
            </w:r>
          </w:p>
        </w:tc>
        <w:tc>
          <w:tcPr>
            <w:tcW w:w="1227" w:type="pct"/>
            <w:vAlign w:val="center"/>
          </w:tcPr>
          <w:p ns2:paraId="1C1FF366" ns2: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ns2:paraId="10C9457B" ns2:textId="77777777" w:rsidR="00390073" w:rsidRDefault="005E44A0">
            <w:pPr>
              <w:spacing w:before="0" w:after="0"/>
              <w:jc w:val="left"/>
            </w:pPr>
            <w:r>
              <w:rPr>
                <w:sz w:val="18"/>
              </w:rPr>
              <w:t>检验阈值影响</w:t>
            </w:r>
          </w:p>
        </w:tc>
        <w:tc>
          <w:tcPr>
            <w:tcW w:w="485" w:type="pct"/>
            <w:vAlign w:val="center"/>
          </w:tcPr>
          <w:p ns2:paraId="147B46B8" ns2:textId="77777777" w:rsidR="00EC2F84" w:rsidRDefault="002D6C96">
            <w:pPr>
              <w:spacing w:before="0" w:after="0"/>
              <w:jc w:val="left"/>
            </w:pPr>
            <w:r>
              <w:rPr>
                <w:sz w:val="18"/>
              </w:rPr>
              <w:t>阈值敏感性统计表</w:t>
            </w:r>
          </w:p>
        </w:tc>
        <w:tc>
          <w:tcPr>
            <w:tcW w:w="1359" w:type="pct"/>
            <w:vAlign w:val="center"/>
          </w:tcPr>
          <w:p ns2:paraId="5854BBD0" ns2: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ns2:paraId="47EE3C56" ns2:textId="77777777" w:rsidTr="006A6807">
        <w:trPr>
          <w:jc w:val="center"/>
        </w:trPr>
        <w:tc>
          <w:tcPr>
            <w:tcW w:w="585" w:type="pct"/>
            <w:vAlign w:val="center"/>
          </w:tcPr>
          <w:p ns2:paraId="70260852" ns2:textId="77777777" w:rsidR="00390073" w:rsidRDefault="005E44A0">
            <w:pPr>
              <w:spacing w:before="0" w:after="0"/>
              <w:jc w:val="left"/>
            </w:pPr>
            <w:r>
              <w:rPr>
                <w:sz w:val="18"/>
              </w:rPr>
              <w:t>权重敏感性</w:t>
            </w:r>
          </w:p>
        </w:tc>
        <w:tc>
          <w:tcPr>
            <w:tcW w:w="1227" w:type="pct"/>
            <w:vAlign w:val="center"/>
          </w:tcPr>
          <w:p ns2:paraId="7E1A257A" ns2: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ns2:paraId="4C1CA48B" ns2:textId="77777777" w:rsidR="00390073" w:rsidRDefault="005E44A0">
            <w:pPr>
              <w:spacing w:before="0" w:after="0"/>
              <w:jc w:val="left"/>
            </w:pPr>
            <w:r>
              <w:rPr>
                <w:sz w:val="18"/>
              </w:rPr>
              <w:t>检验权重稳定性</w:t>
            </w:r>
          </w:p>
        </w:tc>
        <w:tc>
          <w:tcPr>
            <w:tcW w:w="485" w:type="pct"/>
            <w:vAlign w:val="center"/>
          </w:tcPr>
          <w:p ns2:paraId="01E13FA4" ns2:textId="77777777" w:rsidR="00EC2F84" w:rsidRDefault="002D6C96">
            <w:pPr>
              <w:spacing w:before="0" w:after="0"/>
              <w:jc w:val="left"/>
            </w:pPr>
            <w:r>
              <w:rPr>
                <w:sz w:val="18"/>
              </w:rPr>
              <w:t>权重敏感性统计结果</w:t>
            </w:r>
          </w:p>
        </w:tc>
        <w:tc>
          <w:tcPr>
            <w:tcW w:w="1359" w:type="pct"/>
            <w:vAlign w:val="center"/>
          </w:tcPr>
          <w:p ns2:paraId="39533392" ns2:textId="77777777" w:rsidR="00390073" w:rsidRDefault="005E44A0">
            <w:pPr>
              <w:spacing w:before="0" w:after="0"/>
              <w:jc w:val="left"/>
            </w:pPr>
            <w:r>
              <w:rPr>
                <w:sz w:val="18"/>
              </w:rPr>
              <w:t>风险得分越小越优</w:t>
            </w:r>
          </w:p>
        </w:tc>
      </w:tr>
      <w:tr w:rsidR="00D007CE" w:rsidRPr="006A6807" ns2:paraId="0C25F812" ns2:textId="77777777" w:rsidTr="006A6807">
        <w:trPr>
          <w:jc w:val="center"/>
        </w:trPr>
        <w:tc>
          <w:tcPr>
            <w:tcW w:w="585" w:type="pct"/>
            <w:vAlign w:val="center"/>
          </w:tcPr>
          <w:p ns2:paraId="198D86FC" ns2:textId="77777777" w:rsidR="00390073" w:rsidRDefault="005E44A0">
            <w:pPr>
              <w:spacing w:before="0" w:after="0"/>
              <w:jc w:val="left"/>
            </w:pPr>
            <w:r>
              <w:rPr>
                <w:sz w:val="18"/>
              </w:rPr>
              <w:t>经济评价</w:t>
            </w:r>
          </w:p>
        </w:tc>
        <w:tc>
          <w:tcPr>
            <w:tcW w:w="1227" w:type="pct"/>
            <w:vAlign w:val="center"/>
          </w:tcPr>
          <w:p ns2:paraId="65803FEB" ns2:textId="77777777" w:rsidR="00390073" w:rsidRDefault="005E44A0">
            <w:pPr>
              <w:spacing w:before="0" w:after="0"/>
              <w:jc w:val="left"/>
            </w:pPr>
            <w:r>
              <w:rPr>
                <w:sz w:val="18"/>
              </w:rPr>
              <w:t>仅保留输入关系</w:t>
            </w:r>
          </w:p>
        </w:tc>
        <w:tc>
          <w:tcPr>
            <w:tcW w:w="1345" w:type="pct"/>
            <w:vAlign w:val="center"/>
          </w:tcPr>
          <w:p ns2:paraId="04211A6D" ns2:textId="77777777" w:rsidR="00390073" w:rsidRDefault="005E44A0">
            <w:pPr>
              <w:spacing w:before="0" w:after="0"/>
              <w:jc w:val="left"/>
            </w:pPr>
            <w:r>
              <w:rPr>
                <w:sz w:val="18"/>
              </w:rPr>
              <w:t>下游输入关系说明</w:t>
            </w:r>
          </w:p>
        </w:tc>
        <w:tc>
          <w:tcPr>
            <w:tcW w:w="485" w:type="pct"/>
            <w:vAlign w:val="center"/>
          </w:tcPr>
          <w:p ns2:paraId="04FF8B56" ns2:textId="77777777" w:rsidR="00EC2F84" w:rsidRDefault="002D6C96">
            <w:pPr>
              <w:spacing w:before="0" w:after="0"/>
              <w:jc w:val="left"/>
            </w:pPr>
            <w:r>
              <w:rPr>
                <w:sz w:val="18"/>
              </w:rPr>
              <w:t>规划对象与接续输入关系</w:t>
            </w:r>
          </w:p>
        </w:tc>
        <w:tc>
          <w:tcPr>
            <w:tcW w:w="1359" w:type="pct"/>
            <w:vAlign w:val="center"/>
          </w:tcPr>
          <w:p ns2:paraId="5A911D82" ns2:textId="77777777" w:rsidR="00390073" w:rsidRDefault="005E44A0">
            <w:pPr>
              <w:spacing w:before="0" w:after="0"/>
              <w:jc w:val="left"/>
            </w:pPr>
            <w:r>
              <w:rPr>
                <w:sz w:val="18"/>
              </w:rPr>
              <w:t>不写未经独立导出的</w:t>
            </w:r>
            <w:r>
              <w:rPr>
                <w:sz w:val="18"/>
              </w:rPr>
              <w:t>NPV</w:t>
            </w:r>
            <w:r>
              <w:rPr>
                <w:sz w:val="18"/>
              </w:rPr>
              <w:t>和回收期</w:t>
            </w:r>
          </w:p>
        </w:tc>
      </w:tr>
    </w:tbl>
    <w:p ns2:paraId="27AA76F9" ns2:textId="77777777" w:rsidR="007E22B6" w:rsidRDefault="00DE4743" w:rsidP="00A046E0">
      <w:pPr>
        <w:pStyle w:val="11"/>
      </w:pPr>
      <w:r>
        <w:t xml:space="preserve">3.3 </w:t>
      </w:r>
      <w:r>
        <w:t>规划结果传递与评价边界</w:t>
      </w:r>
    </w:p>
    <w:p ns2:paraId="51A2FD48" ns2:textId="19F690B4"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hyperlink w:anchor="REF_006" w:history="1">
        <w:r w:rsidRPr="00D72261">
          <w:rPr>
            <w:color w:val="000000"/>
            <w:sz w:val="18"/>
            <w:vertAlign w:val="superscript"/>
          </w:rPr>
          <w:t>[6,9-10]</w:t>
        </w:r>
      </w:hyperlink>
      <w:r>
        <w:t>；地下水库储水空间、库容和调度研究也说明，</w:t>
      </w:r>
      <w:proofErr w:type="gramStart"/>
      <w:r>
        <w:t>采动空间</w:t>
      </w:r>
      <w:proofErr w:type="gramEnd"/>
      <w:r>
        <w:t>对象可继续服务于水资源调控和风险管理</w:t>
      </w:r>
      <w:r>
        <w:fldChar w:fldCharType="begin"/>
      </w:r>
      <w:r>
        <w:instrText>HYPERLINK \l "REF_030"</w:instrText>
      </w:r>
      <w:r>
        <w:fldChar w:fldCharType="separate"/>
      </w:r>
      <w:r w:rsidRPr="000E0157">
        <w:rPr>
          <w:color w:val="000000"/>
          <w:sz w:val="18"/>
          <w:vertAlign w:val="superscript"/>
        </w:rPr>
        <w:t>[30,46-50]</w:t>
      </w:r>
      <w:r>
        <w:fldChar w:fldCharType="end"/>
      </w:r>
      <w:r>
        <w:t>。本样</w:t>
      </w:r>
      <w:proofErr w:type="gramStart"/>
      <w:r>
        <w:t>例形成</w:t>
      </w:r>
      <w:proofErr w:type="gramEnd"/>
      <w:r>
        <w:t>的工作面边界、巷道路径、推进长度、布置面积和</w:t>
      </w:r>
      <w:r>
        <w:t>ODI</w:t>
      </w:r>
      <w:r>
        <w:t>统计量，可作为后续生产顺序、产量核算和经济评价的输入对象。</w:t>
      </w:r>
    </w:p>
    <w:p ns2:paraId="74DB904A" ns2:textId="77777777" w:rsidR="007E22B6" w:rsidRDefault="00DE4743" w:rsidP="00A046E0">
      <w:pPr>
        <w:pStyle w:val="10"/>
        <w:ind w:firstLine="420"/>
      </w:pPr>
      <w:r>
        <w:t>在采掘接续层面，规划阶段形成的工作面边界和推进关系可映射为接续任务对象。</w:t>
      </w:r>
      <w:proofErr w:type="gramStart"/>
      <w:r>
        <w:t>当前样</w:t>
      </w:r>
      <w:proofErr w:type="gramEnd"/>
      <w:r>
        <w:t>例仅保留对象传递口径说明，不插入缺乏独立数据支撑的接续图件；其证据重点是</w:t>
      </w:r>
      <w:r>
        <w:t>“</w:t>
      </w:r>
      <w:r>
        <w:t>对象可传递、链路可延伸</w:t>
      </w:r>
      <w:r>
        <w:t>”</w:t>
      </w:r>
      <w:r>
        <w:t>，而不是未经独立导出的量化优选结论。</w:t>
      </w:r>
    </w:p>
    <w:p ns2:paraId="263B5E9F" ns2: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w:t>
      </w:r>
      <w:proofErr w:type="gramStart"/>
      <w:r>
        <w:t>方案级统计</w:t>
      </w:r>
      <w:proofErr w:type="gramEnd"/>
      <w:r>
        <w:t>，其</w:t>
      </w:r>
      <w:r>
        <w:t>ODI</w:t>
      </w:r>
      <w:r>
        <w:t>均值、</w:t>
      </w:r>
      <w:r>
        <w:t>P90</w:t>
      </w:r>
      <w:r>
        <w:t>和超阈值暴露比例可作为后续采高、煤柱宽度、推进方向和工作面宽度调整的反馈指标。</w:t>
      </w:r>
    </w:p>
    <w:p ns2:paraId="4EA9B76D" ns2:textId="77777777" w:rsidR="007E22B6" w:rsidRDefault="00DE4743" w:rsidP="00A046E0">
      <w:pPr>
        <w:pStyle w:val="10"/>
        <w:ind w:firstLine="420"/>
      </w:pPr>
      <w:r>
        <w:t>在工程经济评价层面，规划与接续结果可以继续进入收入、成本、风险联动成本和现金流分析过程。</w:t>
      </w:r>
      <w:proofErr w:type="gramStart"/>
      <w:r>
        <w:t>当前样</w:t>
      </w:r>
      <w:proofErr w:type="gramEnd"/>
      <w:r>
        <w:t>例已完成规划对象向后续评价口径的传递，但尚不具备独立导出的真实矿井经济对照数据，因此本文仅说明工程经济评价的输入关系与计算口径，不给出未经数据支撑的现金流曲线或经济优选结论。</w:t>
      </w:r>
    </w:p>
    <w:p ns2:paraId="5FEEBD3E" ns2: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ns2:paraId="64DEDBE6" ns2:textId="17F0CBF2" w:rsidR="00390073" w:rsidRDefault="005E44A0">
      <w:pPr>
        <w:pStyle w:val="10"/>
        <w:ind w:firstLine="420"/>
      </w:pPr>
      <w:r>
        <w:t>从可复现角度看，本文样</w:t>
      </w:r>
      <w:proofErr w:type="gramStart"/>
      <w:r>
        <w:t>例至少</w:t>
      </w:r>
      <w:proofErr w:type="gramEnd"/>
      <w:r>
        <w:t>需保留</w:t>
      </w:r>
      <w:r>
        <w:t>4</w:t>
      </w:r>
      <w:r>
        <w:t>类过程对象：研究区边界与钻孔样点、连续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ns2:paraId="54A6E15E" ns2:textId="77777777" w:rsidR="007E22B6" w:rsidRDefault="00DE4743" w:rsidP="00A046E0">
      <w:pPr>
        <w:pStyle w:val="11"/>
        <w:pageBreakBefore/>
      </w:pPr>
      <w:r>
        <w:rPr>
          <w:rFonts w:ascii="宋体" w:eastAsia="宋体" w:hAnsi="宋体"/>
          <w:sz w:val="21"/>
        </w:rPr>
        <w:lastRenderedPageBreak/>
        <w:t>4 讨论</w:t>
      </w:r>
    </w:p>
    <w:p ns2:paraId="2120B2AF" ns2:textId="77777777" w:rsidR="007E22B6" w:rsidRDefault="00DE4743" w:rsidP="00A046E0">
      <w:pPr>
        <w:pStyle w:val="12"/>
      </w:pPr>
      <w:r>
        <w:rPr>
          <w:sz w:val="21"/>
        </w:rPr>
        <w:t xml:space="preserve">4.1 ODI </w:t>
      </w:r>
      <w:r>
        <w:rPr>
          <w:sz w:val="21"/>
        </w:rPr>
        <w:t>前置约束对采区规划的作用与边界</w:t>
      </w:r>
    </w:p>
    <w:p ns2:paraId="7E73ADC0" ns2: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fldChar w:fldCharType="begin"/>
      </w:r>
      <w:r>
        <w:instrText>HYPERLINK \l "REF_004"</w:instrText>
      </w:r>
      <w:r>
        <w:fldChar w:fldCharType="separate"/>
      </w:r>
      <w:r w:rsidRPr="000E0157">
        <w:rPr>
          <w:color w:val="000000"/>
          <w:sz w:val="18"/>
          <w:vertAlign w:val="superscript"/>
        </w:rPr>
        <w:t>[4,22-26,29-33]</w:t>
      </w:r>
      <w:r>
        <w:fldChar w:fldCharType="end"/>
      </w:r>
      <w:r>
        <w:t>。本文将</w:t>
      </w:r>
      <w:r>
        <w:t>ODI</w:t>
      </w:r>
      <w:r>
        <w:t>转化为候选方案生成阶段即可调用的空间统计量，使风险控制前移至候选方案集合筛选与排序环节。</w:t>
      </w:r>
    </w:p>
    <w:p ns2:paraId="36DD9836" ns2: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ns2:paraId="6E251406" ns2: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ns2:paraId="1F7E242A" ns2: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ns2:paraId="453E2E02" ns2: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fldChar w:fldCharType="begin"/>
      </w:r>
      <w:r>
        <w:instrText>HYPERLINK \l "REF_008"</w:instrText>
      </w:r>
      <w:r>
        <w:fldChar w:fldCharType="separate"/>
      </w:r>
      <w:r w:rsidRPr="000E0157">
        <w:rPr>
          <w:color w:val="000000"/>
          <w:sz w:val="18"/>
          <w:vertAlign w:val="superscript"/>
        </w:rPr>
        <w:t>[8-10]</w:t>
      </w:r>
      <w:r>
        <w:fldChar w:fldCharType="end"/>
      </w:r>
      <w:r>
        <w:t>。</w:t>
      </w:r>
    </w:p>
    <w:p ns2:paraId="7D77D8E4" ns2:textId="77777777" w:rsidR="007E22B6" w:rsidRDefault="00DE4743" w:rsidP="00A046E0">
      <w:pPr>
        <w:pStyle w:val="10"/>
        <w:ind w:firstLine="420"/>
      </w:pPr>
      <w:r>
        <w:t>本样例中，</w:t>
      </w:r>
      <w:proofErr w:type="gramStart"/>
      <w:r>
        <w:t>煤厚样点</w:t>
      </w:r>
      <w:proofErr w:type="gramEnd"/>
      <w:r>
        <w:t>由</w:t>
      </w:r>
      <w:r>
        <w:t>2.8 m</w:t>
      </w:r>
      <w:r>
        <w:t>变化到</w:t>
      </w:r>
      <w:r>
        <w:t>4.8 m</w:t>
      </w:r>
      <w:r>
        <w:t>，平均值为</w:t>
      </w:r>
      <w:r>
        <w:t>3.7933 m</w:t>
      </w:r>
      <w:r>
        <w:t>。厚煤区在资源覆盖评价中具有更高权重，低厚度区则提示边界调整、煤柱保留或低优先级布置的必要性。由此可见，</w:t>
      </w:r>
      <w:proofErr w:type="gramStart"/>
      <w:r>
        <w:t>参数场</w:t>
      </w:r>
      <w:proofErr w:type="gramEnd"/>
      <w:r>
        <w:t>不是单纯的制图结果，而是候选方案评分和资源回收评价的输入条件。</w:t>
      </w:r>
    </w:p>
    <w:p ns2:paraId="79C89EAE" ns2:textId="77777777" w:rsidR="007E22B6" w:rsidRDefault="00DE4743" w:rsidP="00A046E0">
      <w:pPr>
        <w:pStyle w:val="10"/>
        <w:ind w:firstLine="420"/>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fldChar w:fldCharType="begin"/>
      </w:r>
      <w:r>
        <w:instrText>HYPERLINK \l "REF_009"</w:instrText>
      </w:r>
      <w:r>
        <w:fldChar w:fldCharType="separate"/>
      </w:r>
      <w:r w:rsidRPr="000E0157">
        <w:rPr>
          <w:color w:val="000000"/>
          <w:sz w:val="18"/>
          <w:vertAlign w:val="superscript"/>
        </w:rPr>
        <w:t>[9-10]</w:t>
      </w:r>
      <w:r>
        <w:fldChar w:fldCharType="end"/>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ns2:paraId="207C8328" ns2:textId="77777777" w:rsidR="007E22B6" w:rsidRDefault="00DE4743" w:rsidP="00A046E0">
      <w:pPr>
        <w:pStyle w:val="12"/>
      </w:pPr>
      <w:r>
        <w:rPr>
          <w:rFonts w:ascii="宋体" w:eastAsia="宋体" w:hAnsi="宋体"/>
          <w:sz w:val="21"/>
        </w:rPr>
        <w:t>4.3 后续深化方向</w:t>
      </w:r>
    </w:p>
    <w:p ns2:paraId="63C05871" ns2:textId="77777777" w:rsidR="007E22B6" w:rsidRDefault="00DE4743" w:rsidP="00A046E0">
      <w:pPr>
        <w:pStyle w:val="10"/>
        <w:ind w:firstLine="420"/>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ns2:paraId="650DC8C1" ns2: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w:t>
      </w:r>
      <w:proofErr w:type="gramStart"/>
      <w:r>
        <w:t>凭对象</w:t>
      </w:r>
      <w:proofErr w:type="gramEnd"/>
      <w:r>
        <w:t>传递关系给出现金流优选。保</w:t>
      </w:r>
      <w:proofErr w:type="gramStart"/>
      <w:r>
        <w:t>水采</w:t>
      </w:r>
      <w:proofErr w:type="gramEnd"/>
      <w:r>
        <w:t>煤、顶板水害防控和地下水库研究也表明，风险控制指标必须回到具体矿区水文地质结构、保护目标和运行制度中标定</w:t>
      </w:r>
      <w:r>
        <w:fldChar w:fldCharType="begin"/>
      </w:r>
      <w:r>
        <w:instrText>HYPERLINK \l "REF_004"</w:instrText>
      </w:r>
      <w:r>
        <w:fldChar w:fldCharType="separate"/>
      </w:r>
      <w:r w:rsidRPr="000E0157">
        <w:rPr>
          <w:color w:val="000000"/>
          <w:sz w:val="18"/>
          <w:vertAlign w:val="superscript"/>
        </w:rPr>
        <w:t>[4,29-31,33,46-50]</w:t>
      </w:r>
      <w:r>
        <w:fldChar w:fldCharType="end"/>
      </w:r>
      <w:r>
        <w:t>。</w:t>
      </w:r>
    </w:p>
    <w:p ns2:paraId="5CDB8EEB" ns2:textId="77777777" w:rsidR="007E22B6" w:rsidRDefault="00DE4743" w:rsidP="00A046E0">
      <w:pPr>
        <w:pStyle w:val="10"/>
        <w:ind w:firstLine="420"/>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ns2:paraId="6E06C268" ns2: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w:t>
      </w:r>
      <w:proofErr w:type="gramStart"/>
      <w:r>
        <w:t>方案级</w:t>
      </w:r>
      <w:proofErr w:type="gramEnd"/>
      <w:r>
        <w:t>ODI</w:t>
      </w:r>
      <w:r>
        <w:t>统计和敏感性分析共同构成论文的主要证据链。</w:t>
      </w:r>
    </w:p>
    <w:p ns2:paraId="145D0559" ns2:textId="77777777" w:rsidR="007E22B6" w:rsidRDefault="00DE4743" w:rsidP="00A046E0">
      <w:pPr>
        <w:pStyle w:val="11"/>
      </w:pPr>
      <w:r>
        <w:rPr>
          <w:rFonts w:ascii="宋体" w:eastAsia="宋体" w:hAnsi="宋体"/>
          <w:sz w:val="21"/>
        </w:rPr>
        <w:t>5 结论</w:t>
      </w:r>
    </w:p>
    <w:p ns2:paraId="4FA2DAA8" ns2: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ns2:paraId="35AB4921" ns2: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w:t>
      </w:r>
      <w:proofErr w:type="gramStart"/>
      <w:r>
        <w:t>方案级</w:t>
      </w:r>
      <w:proofErr w:type="gramEnd"/>
      <w:r>
        <w:t>ODI</w:t>
      </w:r>
      <w:r>
        <w:t>均值、</w:t>
      </w:r>
      <m:oMath>
        <m:r>
          <w:rPr>
            <w:rFonts w:ascii="Cambria Math" w:hAnsi="Cambria Math"/>
          </w:rPr>
          <m:t>P90</m:t>
        </m:r>
      </m:oMath>
      <w:r>
        <w:t>、超阈值暴露比例等计算口径，为异构风险进入采区规划比选提供了统一表达。</w:t>
      </w:r>
    </w:p>
    <w:p ns2:paraId="072158A0" ns2: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ns2:paraId="2551993D" ns2: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ns2:paraId="46708BF5" ns2:textId="77777777" w:rsidR="007E22B6" w:rsidRDefault="00A249E2" w:rsidP="00A046E0">
      <w:pPr>
        <w:pStyle w:val="11"/>
      </w:pPr>
      <w:r>
        <w:rPr>
          <w:rFonts w:ascii="宋体" w:eastAsia="宋体" w:hAnsi="宋体"/>
          <w:sz w:val="21"/>
        </w:rPr>
        <w:t>参考文献</w:t>
      </w:r>
    </w:p>
    <w:p ns2:paraId="66B604D4" ns2:textId="77777777" w:rsidR="00390073" w:rsidRDefault="005E44A0" w:rsidP="001D7DFF">
      <w:pPr>
        <w:pStyle w:val="17"/>
      </w:pPr>
      <w:bookmarkStart w:id="0" w:name="REF_001"/>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bookmarkEnd w:id="0"/>
    </w:p>
    <w:p ns2:paraId="6FE41626" ns2:textId="77777777" w:rsidR="00390073" w:rsidRDefault="005E44A0" w:rsidP="001D7DFF">
      <w:pPr>
        <w:pStyle w:val="17"/>
      </w:pPr>
      <w:bookmarkStart w:id="1" w:name="REF_002"/>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bookmarkEnd w:id="1"/>
    </w:p>
    <w:p ns2:paraId="1C32A78B" ns2:textId="77777777" w:rsidR="00390073" w:rsidRDefault="005E44A0" w:rsidP="001D7DFF">
      <w:pPr>
        <w:pStyle w:val="17"/>
      </w:pPr>
      <w:bookmarkStart w:id="2" w:name="REF_003"/>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bookmarkEnd w:id="2"/>
    </w:p>
    <w:p ns2:paraId="1077ECCD" ns2:textId="77777777" w:rsidR="00390073" w:rsidRDefault="005E44A0" w:rsidP="001D7DFF">
      <w:pPr>
        <w:pStyle w:val="17"/>
      </w:pPr>
      <w:bookmarkStart w:id="3" w:name="REF_004"/>
      <w:r>
        <w:t>[4]</w:t>
      </w:r>
      <w:r>
        <w:tab/>
      </w:r>
      <w:r>
        <w:t>许家林</w:t>
      </w:r>
      <w:r>
        <w:t xml:space="preserve">. </w:t>
      </w:r>
      <w:r>
        <w:t>煤矿绿色开采</w:t>
      </w:r>
      <w:r>
        <w:t>20</w:t>
      </w:r>
      <w:r>
        <w:t>年研究及进展</w:t>
      </w:r>
      <w:r>
        <w:t xml:space="preserve">[J]. </w:t>
      </w:r>
      <w:r>
        <w:t>煤炭科学技术</w:t>
      </w:r>
      <w:r>
        <w:t>, 2020, 48(9): 1-15. DOI: 10.13199/j.cnki.cst.2020.09.001.</w:t>
      </w:r>
      <w:bookmarkEnd w:id="3"/>
    </w:p>
    <w:p ns2:paraId="63C43B0E" ns2:textId="77777777" w:rsidR="00390073" w:rsidRDefault="005E44A0" w:rsidP="001D7DFF">
      <w:pPr>
        <w:pStyle w:val="17"/>
      </w:pPr>
      <w:bookmarkStart w:id="4" w:name="REF_005"/>
      <w:r>
        <w:t>[5]</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bookmarkEnd w:id="4"/>
    </w:p>
    <w:p ns2:paraId="7A1A65F8" ns2:textId="77777777" w:rsidR="00390073" w:rsidRDefault="005E44A0" w:rsidP="001D7DFF">
      <w:pPr>
        <w:pStyle w:val="17"/>
      </w:pPr>
      <w:bookmarkStart w:id="5" w:name="REF_006"/>
      <w:r>
        <w:t>[6]</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bookmarkEnd w:id="5"/>
    </w:p>
    <w:p ns2:paraId="61C6CBC9" ns2:textId="77777777" w:rsidR="00390073" w:rsidRDefault="005E44A0" w:rsidP="001D7DFF">
      <w:pPr>
        <w:pStyle w:val="17"/>
      </w:pPr>
      <w:bookmarkStart w:id="6" w:name="REF_007"/>
      <w:r>
        <w:t>[7]</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bookmarkEnd w:id="6"/>
    </w:p>
    <w:p ns2:paraId="2284BF0E" ns2:textId="77777777" w:rsidR="00390073" w:rsidRDefault="005E44A0" w:rsidP="001D7DFF">
      <w:pPr>
        <w:pStyle w:val="17"/>
      </w:pPr>
      <w:bookmarkStart w:id="7" w:name="REF_008"/>
      <w:r>
        <w:t>[8]</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bookmarkEnd w:id="7"/>
    </w:p>
    <w:p ns2:paraId="59A2382D" ns2:textId="77777777" w:rsidR="00390073" w:rsidRDefault="005E44A0" w:rsidP="001D7DFF">
      <w:pPr>
        <w:pStyle w:val="17"/>
      </w:pPr>
      <w:bookmarkStart w:id="8" w:name="REF_009"/>
      <w:r>
        <w:t>[9]</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bookmarkEnd w:id="8"/>
    </w:p>
    <w:p ns2:paraId="3F520A1D" ns2:textId="77777777" w:rsidR="00390073" w:rsidRDefault="005E44A0" w:rsidP="001D7DFF">
      <w:pPr>
        <w:pStyle w:val="17"/>
      </w:pPr>
      <w:bookmarkStart w:id="9" w:name="REF_010"/>
      <w:r>
        <w:t>[10]</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bookmarkEnd w:id="9"/>
    </w:p>
    <w:p ns2:paraId="5E523D29" ns2:textId="77777777" w:rsidR="00390073" w:rsidRDefault="005E44A0" w:rsidP="001D7DFF">
      <w:pPr>
        <w:pStyle w:val="17"/>
      </w:pPr>
      <w:bookmarkStart w:id="10" w:name="REF_011"/>
      <w:r>
        <w:t>[11]</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bookmarkEnd w:id="10"/>
    </w:p>
    <w:p ns2:paraId="14013A8B" ns2:textId="77777777" w:rsidR="00390073" w:rsidRDefault="005E44A0" w:rsidP="001D7DFF">
      <w:pPr>
        <w:pStyle w:val="17"/>
      </w:pPr>
      <w:bookmarkStart w:id="11" w:name="REF_012"/>
      <w:r>
        <w:t>[12]</w:t>
      </w:r>
      <w:r>
        <w:tab/>
        <w:t>REN Yiwei, YUAN Qiang, CHEN Jie, et al. Evolution characteristics of mining-induced fractures in overburden strata under close-multi coal seams mining based on optical fiber monitoring[J]. Engineering Geology, 2024, 343: 107802. DOI: 10.1016/j.enggeo.2024.107802.</w:t>
      </w:r>
      <w:bookmarkEnd w:id="11"/>
    </w:p>
    <w:p ns2:paraId="0E2FA883" ns2:textId="77777777" w:rsidR="00390073" w:rsidRDefault="005E44A0" w:rsidP="001D7DFF">
      <w:pPr>
        <w:pStyle w:val="17"/>
      </w:pPr>
      <w:bookmarkStart w:id="12" w:name="REF_013"/>
      <w:r>
        <w:t>[13]</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bookmarkEnd w:id="12"/>
    </w:p>
    <w:p ns2:paraId="55605E0A" ns2:textId="77777777" w:rsidR="00390073" w:rsidRDefault="005E44A0" w:rsidP="001D7DFF">
      <w:pPr>
        <w:pStyle w:val="17"/>
      </w:pPr>
      <w:bookmarkStart w:id="13" w:name="REF_014"/>
      <w:r>
        <w:lastRenderedPageBreak/>
        <w:t>[14]</w:t>
      </w:r>
      <w:r>
        <w:tab/>
        <w:t>ZHANG Jie, WANG Li, YANG Tao, et al. Study on overburden failure characteristics and ground pressure behavior in shallow coal seam mining underneath the gully[J]. Frontiers in Earth Science, 2024, 12. DOI: 10.3389/feart.2024.1375979.</w:t>
      </w:r>
      <w:bookmarkEnd w:id="13"/>
    </w:p>
    <w:p ns2:paraId="6D04852A" ns2:textId="77777777" w:rsidR="00390073" w:rsidRDefault="005E44A0" w:rsidP="001D7DFF">
      <w:pPr>
        <w:pStyle w:val="17"/>
      </w:pPr>
      <w:bookmarkStart w:id="14" w:name="REF_015"/>
      <w:r>
        <w:t>[15]</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bookmarkEnd w:id="14"/>
    </w:p>
    <w:p ns2:paraId="61758CCC" ns2:textId="77777777" w:rsidR="00390073" w:rsidRDefault="005E44A0" w:rsidP="001D7DFF">
      <w:pPr>
        <w:pStyle w:val="17"/>
      </w:pPr>
      <w:bookmarkStart w:id="15" w:name="REF_016"/>
      <w:r>
        <w:t>[16]</w:t>
      </w:r>
      <w:r>
        <w:tab/>
        <w:t>PRAKASH Amar, BHARTI Abhay Kumar, VERMA Aniket. Unearthing underground mining-induced strata disturbance by electrical resistivity tomography interpretation[J]. Environmental &amp; Engineering Geoscience, 2022, 28(4): 361-369. DOI: 10.2113/eeg-d-21-00073.</w:t>
      </w:r>
      <w:bookmarkEnd w:id="15"/>
    </w:p>
    <w:p ns2:paraId="75A767B7" ns2:textId="77777777" w:rsidR="00390073" w:rsidRDefault="005E44A0" w:rsidP="001D7DFF">
      <w:pPr>
        <w:pStyle w:val="17"/>
      </w:pPr>
      <w:bookmarkStart w:id="16" w:name="REF_017"/>
      <w:r>
        <w:t>[17]</w:t>
      </w:r>
      <w:r>
        <w:tab/>
        <w:t xml:space="preserve">SHI Xiuchang, ZHANG </w:t>
      </w:r>
      <w:proofErr w:type="spellStart"/>
      <w:r>
        <w:t>Jixing</w:t>
      </w:r>
      <w:proofErr w:type="spellEnd"/>
      <w:r>
        <w:t>. Characteristics of overburden failure and fracture evolution in shallow buried working face with large mining height[J]. Sustainability, 2021, 13(24): 13775. DOI: 10.3390/su132413775.</w:t>
      </w:r>
      <w:bookmarkEnd w:id="16"/>
    </w:p>
    <w:p ns2:paraId="2C01058F" ns2:textId="77777777" w:rsidR="00390073" w:rsidRDefault="005E44A0" w:rsidP="001D7DFF">
      <w:pPr>
        <w:pStyle w:val="17"/>
      </w:pPr>
      <w:bookmarkStart w:id="17" w:name="REF_018"/>
      <w:r>
        <w:t>[18]</w:t>
      </w:r>
      <w:r>
        <w:tab/>
        <w:t>LIU Xiong, ZHENG Lulin, LIU Hao, et al. Evolution of overburden fractures and the water-conducting fracture zone in closely spaced coal mine seams under highly water-rich aquifers[J]. ACS Omega, 2025. DOI: 10.1021/acsomega.5c09774.</w:t>
      </w:r>
      <w:bookmarkEnd w:id="17"/>
    </w:p>
    <w:p ns2:paraId="3E3F14D1" ns2:textId="77777777" w:rsidR="00390073" w:rsidRDefault="005E44A0" w:rsidP="001D7DFF">
      <w:pPr>
        <w:pStyle w:val="17"/>
      </w:pPr>
      <w:bookmarkStart w:id="18" w:name="REF_019"/>
      <w:r>
        <w:t>[19]</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bookmarkEnd w:id="18"/>
    </w:p>
    <w:p ns2:paraId="150E75E9" ns2:textId="77777777" w:rsidR="00390073" w:rsidRDefault="005E44A0" w:rsidP="001D7DFF">
      <w:pPr>
        <w:pStyle w:val="17"/>
      </w:pPr>
      <w:bookmarkStart w:id="19" w:name="REF_020"/>
      <w:r>
        <w:t>[20]</w:t>
      </w:r>
      <w:r>
        <w:tab/>
        <w:t>ZHU Xiaojun, ZHA Feng, GUO Guangli, et al. Mechanical prediction method of strata movement and surface subsidence in backfill-strip mining[J]. Scientific Reports, 2024, 14(1). DOI: 10.1038/s41598-024-82761-5.</w:t>
      </w:r>
      <w:bookmarkEnd w:id="19"/>
    </w:p>
    <w:p ns2:paraId="66CE3945" ns2:textId="77777777" w:rsidR="00390073" w:rsidRDefault="005E44A0" w:rsidP="001D7DFF">
      <w:pPr>
        <w:pStyle w:val="17"/>
      </w:pPr>
      <w:bookmarkStart w:id="20" w:name="REF_021"/>
      <w:r>
        <w:t>[21]</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bookmarkEnd w:id="20"/>
    </w:p>
    <w:p ns2:paraId="495AC65D" ns2:textId="77777777" w:rsidR="00390073" w:rsidRDefault="005E44A0" w:rsidP="001D7DFF">
      <w:pPr>
        <w:pStyle w:val="17"/>
      </w:pPr>
      <w:bookmarkStart w:id="21" w:name="REF_022"/>
      <w:r>
        <w:t>[22]</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bookmarkEnd w:id="21"/>
    </w:p>
    <w:p ns2:paraId="3A78B0BB" ns2:textId="77777777" w:rsidR="00390073" w:rsidRDefault="005E44A0" w:rsidP="001D7DFF">
      <w:pPr>
        <w:pStyle w:val="17"/>
      </w:pPr>
      <w:bookmarkStart w:id="22" w:name="REF_023"/>
      <w:r>
        <w:t>[23]</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bookmarkEnd w:id="22"/>
    </w:p>
    <w:p ns2:paraId="4320D2B2" ns2:textId="77777777" w:rsidR="00390073" w:rsidRDefault="005E44A0" w:rsidP="001D7DFF">
      <w:pPr>
        <w:pStyle w:val="17"/>
      </w:pPr>
      <w:bookmarkStart w:id="23" w:name="REF_024"/>
      <w:r>
        <w:t>[24]</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bookmarkEnd w:id="23"/>
    </w:p>
    <w:p ns2:paraId="5D3FCB8E" ns2:textId="77777777" w:rsidR="00390073" w:rsidRDefault="005E44A0" w:rsidP="001D7DFF">
      <w:pPr>
        <w:pStyle w:val="17"/>
      </w:pPr>
      <w:bookmarkStart w:id="24" w:name="REF_025"/>
      <w:r>
        <w:t>[25]</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bookmarkEnd w:id="24"/>
    </w:p>
    <w:p ns2:paraId="7370FF11" ns2:textId="77777777" w:rsidR="00390073" w:rsidRDefault="005E44A0" w:rsidP="001D7DFF">
      <w:pPr>
        <w:pStyle w:val="17"/>
      </w:pPr>
      <w:bookmarkStart w:id="25" w:name="REF_026"/>
      <w:r>
        <w:t>[26]</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bookmarkEnd w:id="25"/>
    </w:p>
    <w:p ns2:paraId="0FF768D1" ns2:textId="77777777" w:rsidR="00390073" w:rsidRDefault="005E44A0" w:rsidP="001D7DFF">
      <w:pPr>
        <w:pStyle w:val="17"/>
      </w:pPr>
      <w:bookmarkStart w:id="26" w:name="REF_027"/>
      <w:r>
        <w:t>[27]</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bookmarkEnd w:id="26"/>
    </w:p>
    <w:p ns2:paraId="217CC889" ns2:textId="77777777" w:rsidR="00390073" w:rsidRDefault="005E44A0" w:rsidP="001D7DFF">
      <w:pPr>
        <w:pStyle w:val="17"/>
      </w:pPr>
      <w:bookmarkStart w:id="27" w:name="REF_028"/>
      <w:r>
        <w:t>[28]</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bookmarkEnd w:id="27"/>
    </w:p>
    <w:p ns2:paraId="4B25E27F" ns2:textId="77777777" w:rsidR="00390073" w:rsidRDefault="005E44A0" w:rsidP="001D7DFF">
      <w:pPr>
        <w:pStyle w:val="17"/>
      </w:pPr>
      <w:bookmarkStart w:id="28" w:name="REF_029"/>
      <w:r>
        <w:t>[29]</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bookmarkEnd w:id="28"/>
    </w:p>
    <w:p ns2:paraId="65C8C471" ns2:textId="77777777" w:rsidR="00390073" w:rsidRDefault="005E44A0" w:rsidP="001D7DFF">
      <w:pPr>
        <w:pStyle w:val="17"/>
      </w:pPr>
      <w:bookmarkStart w:id="29" w:name="REF_030"/>
      <w:r>
        <w:t>[30]</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bookmarkEnd w:id="29"/>
    </w:p>
    <w:p ns2:paraId="7D0F8157" ns2:textId="77777777" w:rsidR="00390073" w:rsidRDefault="005E44A0" w:rsidP="001D7DFF">
      <w:pPr>
        <w:pStyle w:val="17"/>
      </w:pPr>
      <w:bookmarkStart w:id="30" w:name="REF_031"/>
      <w:r>
        <w:t>[31]</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bookmarkEnd w:id="30"/>
    </w:p>
    <w:p ns2:paraId="56E1DD11" ns2:textId="77777777" w:rsidR="00390073" w:rsidRDefault="005E44A0" w:rsidP="001D7DFF">
      <w:pPr>
        <w:pStyle w:val="17"/>
      </w:pPr>
      <w:bookmarkStart w:id="31" w:name="REF_032"/>
      <w:r>
        <w:t>[32]</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bookmarkEnd w:id="31"/>
    </w:p>
    <w:p ns2:paraId="31EAB5C2" ns2:textId="77777777" w:rsidR="00390073" w:rsidRDefault="005E44A0" w:rsidP="001D7DFF">
      <w:pPr>
        <w:pStyle w:val="17"/>
      </w:pPr>
      <w:bookmarkStart w:id="32" w:name="REF_033"/>
      <w:r>
        <w:t>[33]</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bookmarkEnd w:id="32"/>
    </w:p>
    <w:p ns2:paraId="3242D01E" ns2:textId="77777777" w:rsidR="00390073" w:rsidRDefault="005E44A0" w:rsidP="001D7DFF">
      <w:pPr>
        <w:pStyle w:val="17"/>
      </w:pPr>
      <w:bookmarkStart w:id="33" w:name="REF_034"/>
      <w:r>
        <w:t>[34]</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bookmarkEnd w:id="33"/>
    </w:p>
    <w:p ns2:paraId="4836D375" ns2:textId="77777777" w:rsidR="00390073" w:rsidRDefault="005E44A0" w:rsidP="001D7DFF">
      <w:pPr>
        <w:pStyle w:val="17"/>
      </w:pPr>
      <w:bookmarkStart w:id="34" w:name="REF_035"/>
      <w:r>
        <w:t>[35]</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bookmarkEnd w:id="34"/>
    </w:p>
    <w:p ns2:paraId="7A5B110F" ns2:textId="77777777" w:rsidR="00390073" w:rsidRDefault="005E44A0" w:rsidP="001D7DFF">
      <w:pPr>
        <w:pStyle w:val="17"/>
      </w:pPr>
      <w:bookmarkStart w:id="35" w:name="REF_036"/>
      <w:r>
        <w:t>[36]</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bookmarkEnd w:id="35"/>
    </w:p>
    <w:p ns2:paraId="12AA5953" ns2:textId="77777777" w:rsidR="00390073" w:rsidRDefault="005E44A0" w:rsidP="001D7DFF">
      <w:pPr>
        <w:pStyle w:val="17"/>
      </w:pPr>
      <w:bookmarkStart w:id="36" w:name="REF_037"/>
      <w:r>
        <w:t>[37]</w:t>
      </w:r>
      <w:r>
        <w:tab/>
        <w:t>NESBITT Peter, BLAKE Lewis R., LAMAS Patricio, et al. Underground mine scheduling under uncertainty[J]. European Journal of Operational Research, 2021, 294(1): 340-352. DOI: 10.1016/j.ejor.2021.01.011.</w:t>
      </w:r>
      <w:bookmarkEnd w:id="36"/>
    </w:p>
    <w:p ns2:paraId="2C3175C8" ns2:textId="77777777" w:rsidR="00390073" w:rsidRDefault="005E44A0" w:rsidP="001D7DFF">
      <w:pPr>
        <w:pStyle w:val="17"/>
      </w:pPr>
      <w:bookmarkStart w:id="37" w:name="REF_038"/>
      <w:r>
        <w:t>[38]</w:t>
      </w:r>
      <w:r>
        <w:tab/>
        <w:t>PATHIRANAGE Ishara Hewa, NEUMANN Aneta. Multi-objective evolutionary optimization for large-scale open pit mine scheduling[C]//2024 IEEE Congress on Evolutionary Computation (CEC). 2024: 1-8. DOI: 10.1109/CEC60901.2024.10612008.</w:t>
      </w:r>
      <w:bookmarkEnd w:id="37"/>
    </w:p>
    <w:p ns2:paraId="50F63260" ns2:textId="77777777" w:rsidR="00390073" w:rsidRDefault="005E44A0" w:rsidP="001D7DFF">
      <w:pPr>
        <w:pStyle w:val="17"/>
      </w:pPr>
      <w:bookmarkStart w:id="38" w:name="REF_039"/>
      <w:r>
        <w:t>[39]</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bookmarkEnd w:id="38"/>
    </w:p>
    <w:p ns2:paraId="00804F14" ns2:textId="77777777" w:rsidR="00390073" w:rsidRDefault="005E44A0" w:rsidP="001D7DFF">
      <w:pPr>
        <w:pStyle w:val="17"/>
      </w:pPr>
      <w:bookmarkStart w:id="39" w:name="REF_040"/>
      <w:r>
        <w:t>[40]</w:t>
      </w:r>
      <w:r>
        <w:tab/>
        <w:t>ZHANG Xuhui, LV Xinyuan, WANG Yan, et al. Production process management for intelligent coal mining based on digital twin[M]//Digital Twin Driven Service. 2022: 251-277. DOI: 10.1016/B978-0-323-91300-3.00008-5.</w:t>
      </w:r>
      <w:bookmarkEnd w:id="39"/>
    </w:p>
    <w:p ns2:paraId="55666870" ns2:textId="77777777" w:rsidR="00390073" w:rsidRDefault="005E44A0" w:rsidP="001D7DFF">
      <w:pPr>
        <w:pStyle w:val="17"/>
      </w:pPr>
      <w:bookmarkStart w:id="40" w:name="REF_041"/>
      <w:r>
        <w:t>[41]</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bookmarkEnd w:id="40"/>
    </w:p>
    <w:p ns2:paraId="54C1770A" ns2:textId="77777777" w:rsidR="00390073" w:rsidRDefault="005E44A0" w:rsidP="001D7DFF">
      <w:pPr>
        <w:pStyle w:val="17"/>
      </w:pPr>
      <w:bookmarkStart w:id="41" w:name="REF_042"/>
      <w:r>
        <w:t>[42]</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bookmarkEnd w:id="41"/>
    </w:p>
    <w:p ns2:paraId="1D00A495" ns2:textId="77777777" w:rsidR="00390073" w:rsidRDefault="005E44A0" w:rsidP="001D7DFF">
      <w:pPr>
        <w:pStyle w:val="17"/>
      </w:pPr>
      <w:bookmarkStart w:id="42" w:name="REF_043"/>
      <w:r>
        <w:t>[43]</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bookmarkEnd w:id="42"/>
    </w:p>
    <w:p ns2:paraId="3CB6BBD3" ns2:textId="77777777" w:rsidR="00390073" w:rsidRDefault="005E44A0" w:rsidP="001D7DFF">
      <w:pPr>
        <w:pStyle w:val="17"/>
      </w:pPr>
      <w:bookmarkStart w:id="43" w:name="REF_044"/>
      <w:r>
        <w:lastRenderedPageBreak/>
        <w:t>[44]</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bookmarkEnd w:id="43"/>
    </w:p>
    <w:p ns2:paraId="4950635F" ns2:textId="77777777" w:rsidR="00390073" w:rsidRDefault="005E44A0" w:rsidP="001D7DFF">
      <w:pPr>
        <w:pStyle w:val="17"/>
      </w:pPr>
      <w:bookmarkStart w:id="44" w:name="REF_045"/>
      <w:r>
        <w:t>[45]</w:t>
      </w:r>
      <w:r>
        <w:tab/>
        <w:t>DEHGHANI Hesam, ATAEE-POUR Majid, ESFAHANIPOUR Akbar. Evaluation of the mining projects under economic uncertainties using multidimensional binomial tree[J]. Resources Policy, 2014, 39: 124-133. DOI: 10.1016/j.resourpol.2014.01.003.</w:t>
      </w:r>
      <w:bookmarkEnd w:id="44"/>
    </w:p>
    <w:p ns2:paraId="6224FD43" ns2:textId="77777777" w:rsidR="00390073" w:rsidRDefault="005E44A0" w:rsidP="001D7DFF">
      <w:pPr>
        <w:pStyle w:val="17"/>
      </w:pPr>
      <w:bookmarkStart w:id="45" w:name="REF_046"/>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bookmarkEnd w:id="45"/>
    </w:p>
    <w:p ns2:paraId="4014E7DB" ns2:textId="77777777" w:rsidR="00390073" w:rsidRDefault="005E44A0" w:rsidP="001D7DFF">
      <w:pPr>
        <w:pStyle w:val="17"/>
      </w:pPr>
      <w:bookmarkStart w:id="46" w:name="REF_047"/>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bookmarkEnd w:id="46"/>
    </w:p>
    <w:p ns2:paraId="076EFADB" ns2:textId="77777777" w:rsidR="00390073" w:rsidRDefault="005E44A0" w:rsidP="001D7DFF">
      <w:pPr>
        <w:pStyle w:val="17"/>
      </w:pPr>
      <w:bookmarkStart w:id="47" w:name="REF_048"/>
      <w:r>
        <w:t>[48]</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bookmarkEnd w:id="47"/>
    </w:p>
    <w:p ns2:paraId="479A596F" ns2:textId="77777777" w:rsidR="00390073" w:rsidRDefault="005E44A0" w:rsidP="001D7DFF">
      <w:pPr>
        <w:pStyle w:val="17"/>
      </w:pPr>
      <w:bookmarkStart w:id="48" w:name="REF_049"/>
      <w:r>
        <w:t>[49]</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bookmarkEnd w:id="48"/>
    </w:p>
    <w:p ns2:paraId="0765C1CF" ns2:textId="77777777" w:rsidR="00390073" w:rsidRDefault="005E44A0" w:rsidP="001D7DFF">
      <w:pPr>
        <w:pStyle w:val="17"/>
      </w:pPr>
      <w:bookmarkStart w:id="49" w:name="REF_050"/>
      <w:r>
        <w:t>[50]</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bookmarkEnd w:id="49"/>
    </w:p>
    <w:p ns2:paraId="144BB27D" ns2:textId="77777777" w:rsidR="00EC2F84" w:rsidRDefault="00EC2F84"/>
    <w:p ns2:paraId="370B252D" ns2:textId="77777777" w:rsidR="00EC2F84" w:rsidRDefault="00EC2F84"/>
    <w:p ns2:paraId="419DF8ED" ns2: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76CB" w14:textId="77777777" w:rsidR="00FB69B3" w:rsidRDefault="00FB69B3" w:rsidP="00A31ACE">
      <w:pPr>
        <w:spacing w:after="0"/>
      </w:pPr>
      <w:r>
        <w:separator/>
      </w:r>
    </w:p>
  </w:endnote>
  <w:endnote w:type="continuationSeparator" w:id="0">
    <w:p w14:paraId="29CDC2CB" w14:textId="77777777" w:rsidR="00FB69B3" w:rsidRDefault="00FB69B3"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FC769" w14:textId="77777777" w:rsidR="00FB69B3" w:rsidRDefault="00FB69B3" w:rsidP="00A31ACE">
      <w:pPr>
        <w:spacing w:after="0"/>
      </w:pPr>
      <w:r>
        <w:separator/>
      </w:r>
    </w:p>
  </w:footnote>
  <w:footnote w:type="continuationSeparator" w:id="0">
    <w:p w14:paraId="59F6FB6D" w14:textId="77777777" w:rsidR="00FB69B3" w:rsidRDefault="00FB69B3"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0E0157"/>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3366F"/>
    <w:rsid w:val="0059553B"/>
    <w:rsid w:val="005E44A0"/>
    <w:rsid w:val="005F7DCE"/>
    <w:rsid w:val="00624D06"/>
    <w:rsid w:val="00633AE9"/>
    <w:rsid w:val="006A6807"/>
    <w:rsid w:val="006B0BC3"/>
    <w:rsid w:val="006C4376"/>
    <w:rsid w:val="006E7780"/>
    <w:rsid w:val="006F7733"/>
    <w:rsid w:val="007142AD"/>
    <w:rsid w:val="007E22B6"/>
    <w:rsid w:val="00801D65"/>
    <w:rsid w:val="008200F3"/>
    <w:rsid w:val="008C3A29"/>
    <w:rsid w:val="008D74B9"/>
    <w:rsid w:val="008E1D10"/>
    <w:rsid w:val="009330B5"/>
    <w:rsid w:val="009E77E4"/>
    <w:rsid w:val="00A046E0"/>
    <w:rsid w:val="00A10AA8"/>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2261"/>
    <w:rsid w:val="00D76BC3"/>
    <w:rsid w:val="00D823FF"/>
    <w:rsid w:val="00DC435D"/>
    <w:rsid w:val="00DE4743"/>
    <w:rsid w:val="00E05130"/>
    <w:rsid w:val="00E66A04"/>
    <w:rsid w:val="00EC2F84"/>
    <w:rsid w:val="00ED5334"/>
    <w:rsid w:val="00F57282"/>
    <w:rsid w:val="00F63B3D"/>
    <w:rsid w:val="00F8065C"/>
    <w:rsid w:val="00FA4E99"/>
    <w:rsid w:val="00FB69B3"/>
    <w:rsid w:val="00FC5721"/>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character" w:styleId="af5">
    <w:name w:val="Hyperlink"/>
    <w:basedOn w:val="a1"/>
    <w:uiPriority w:val="99"/>
    <w:unhideWhenUsed/>
    <w:rsid w:val="0053366F"/>
    <w:rPr>
      <w:color w:val="0000FF" w:themeColor="hyperlink"/>
      <w:u w:val="single"/>
    </w:rPr>
  </w:style>
  <w:style w:type="character" w:styleId="af6">
    <w:name w:val="Unresolved Mention"/>
    <w:basedOn w:val="a1"/>
    <w:uiPriority w:val="99"/>
    <w:semiHidden/>
    <w:unhideWhenUsed/>
    <w:rsid w:val="0053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Pages>
  <Words>12485</Words>
  <Characters>19604</Characters>
  <Application>Microsoft Office Word</Application>
  <DocSecurity>0</DocSecurity>
  <Lines>676</Lines>
  <Paragraphs>478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37</cp:revision>
  <dcterms:created xsi:type="dcterms:W3CDTF">2013-12-23T23:15:00Z</dcterms:created>
  <dcterms:modified xsi:type="dcterms:W3CDTF">2026-04-19T17:12:00Z</dcterms:modified>
  <cp:category/>
</cp:coreProperties>
</file>