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论文插图建议</w:t>
      </w:r>
    </w:p>
    <w:p>
      <w:r>
        <w:t>对应论文：E:\xiangmu\miningplan\论文\重构工作区\06_投稿包\最新版论文4.16.docx</w:t>
      </w:r>
    </w:p>
    <w:p>
      <w:r>
        <w:t>图件目录：E:\xiangmu\miningplan\output\scene_visual_exports\20260416_201037</w:t>
      </w:r>
    </w:p>
    <w:p>
      <w:pPr>
        <w:pStyle w:val="ListBullet"/>
      </w:pPr>
      <w:r>
        <w:t>导出目录：`E:\xiangmu\miningplan\output\scene_visual_exports\20260416_201037`</w:t>
      </w:r>
    </w:p>
    <w:p>
      <w:pPr>
        <w:pStyle w:val="ListBullet"/>
      </w:pPr>
      <w:r>
        <w:t>场景范围：00_surface_subsidence, 01_aquifer_pre_eval, 02_aquifer_eval, 03_mining_planning, 04_cocontrol_water_inrush, 05_mining_succession, 06_full_overburden</w:t>
      </w:r>
    </w:p>
    <w:p>
      <w:pPr>
        <w:pStyle w:val="ListBullet"/>
      </w:pPr>
      <w:r>
        <w:t>论文文件：`E:\xiangmu\miningplan\论文\重构工作区\06_投稿包\最新版论文4.16.docx`</w:t>
      </w:r>
    </w:p>
    <w:p>
      <w:r>
        <w:t>以下建议按论文章节组织，优先选择已经导出的矢量图（SVG/PDF）。</w:t>
      </w:r>
    </w:p>
    <w:p>
      <w:pPr>
        <w:pStyle w:val="Heading1"/>
      </w:pPr>
      <w:r>
        <w:t>0 引言</w:t>
      </w:r>
    </w:p>
    <w:p>
      <w:pPr>
        <w:pStyle w:val="ListBullet"/>
      </w:pPr>
      <w:r>
        <w:t>暂未匹配到对应图件，可结合本节文字说明从同场景相邻图件中补选。</w:t>
      </w:r>
    </w:p>
    <w:p>
      <w:pPr>
        <w:pStyle w:val="Heading1"/>
      </w:pPr>
      <w:r>
        <w:t>1 基于覆岩扰动指数约束的采区多目标协同规划方法</w:t>
      </w:r>
    </w:p>
    <w:p>
      <w:pPr>
        <w:pStyle w:val="ListBullet"/>
      </w:pPr>
      <w:r>
        <w:t>暂未匹配到对应图件，可结合本节文字说明从同场景相邻图件中补选。</w:t>
      </w:r>
    </w:p>
    <w:p>
      <w:pPr>
        <w:pStyle w:val="Heading1"/>
      </w:pPr>
      <w:r>
        <w:t>1.1 覆岩扰动约束机理与 ODI 统一表达</w:t>
      </w:r>
    </w:p>
    <w:p>
      <w:pPr>
        <w:pStyle w:val="ListBullet"/>
      </w:pPr>
      <w:r>
        <w:t>暂未匹配到对应图件，可结合本节文字说明从同场景相邻图件中补选。</w:t>
      </w:r>
    </w:p>
    <w:p>
      <w:pPr>
        <w:pStyle w:val="Heading1"/>
      </w:pPr>
      <w:r>
        <w:t>1.2 有效布置域与连续参数场构建</w:t>
      </w:r>
    </w:p>
    <w:p>
      <w:pPr>
        <w:pStyle w:val="ListBullet"/>
      </w:pPr>
      <w:r>
        <w:t>暂未匹配到对应图件，可结合本节文字说明从同场景相邻图件中补选。</w:t>
      </w:r>
    </w:p>
    <w:p>
      <w:pPr>
        <w:pStyle w:val="Heading1"/>
      </w:pPr>
      <w:r>
        <w:t>1.3 候选方案生成与多目标协同规划模型</w:t>
      </w:r>
    </w:p>
    <w:p>
      <w:pPr>
        <w:pStyle w:val="ListBullet"/>
      </w:pPr>
      <w:r>
        <w:t>暂未匹配到对应图件，可结合本节文字说明从同场景相邻图件中补选。</w:t>
      </w:r>
    </w:p>
    <w:p>
      <w:pPr>
        <w:pStyle w:val="Heading1"/>
      </w:pPr>
      <w:r>
        <w:t>1.4 方案传递与评价流程</w:t>
      </w:r>
    </w:p>
    <w:p>
      <w:pPr>
        <w:pStyle w:val="ListBullet"/>
      </w:pPr>
      <w:r>
        <w:t>暂未匹配到对应图件，可结合本节文字说明从同场景相邻图件中补选。</w:t>
      </w:r>
    </w:p>
    <w:p>
      <w:pPr>
        <w:pStyle w:val="Heading1"/>
      </w:pPr>
      <w:r>
        <w:t>2 工程案例与结果分析</w:t>
      </w:r>
    </w:p>
    <w:p>
      <w:pPr>
        <w:pStyle w:val="ListBullet"/>
      </w:pPr>
      <w:r>
        <w:t>暂未匹配到对应图件，可结合本节文字说明从同场景相邻图件中补选。</w:t>
      </w:r>
    </w:p>
    <w:p>
      <w:pPr>
        <w:pStyle w:val="Heading1"/>
      </w:pPr>
      <w:r>
        <w:t>2.1 研究区概况与输入数据</w:t>
      </w:r>
    </w:p>
    <w:p>
      <w:pPr>
        <w:pStyle w:val="ListBullet"/>
      </w:pPr>
      <w:r>
        <w:t>暂未匹配到对应图件，可结合本节文字说明从同场景相邻图件中补选。</w:t>
      </w:r>
    </w:p>
    <w:p>
      <w:pPr>
        <w:pStyle w:val="Heading1"/>
      </w:pPr>
      <w:r>
        <w:t>2.2 连续参数场构建结果</w:t>
      </w:r>
    </w:p>
    <w:p>
      <w:pPr>
        <w:pStyle w:val="ListBullet"/>
      </w:pPr>
      <w:r>
        <w:t>建议插入：`00_surface_subsidence/surface/02-地质参数云图.svg`</w:t>
      </w:r>
    </w:p>
    <w:p>
      <w:pPr>
        <w:pStyle w:val="ListBullet"/>
      </w:pPr>
      <w:r>
        <w:t>建议插入：`01_aquifer_pre_eval/aquifer/02-地质参数云图.svg`</w:t>
      </w:r>
    </w:p>
    <w:p>
      <w:pPr>
        <w:pStyle w:val="ListBullet"/>
      </w:pPr>
      <w:r>
        <w:t>建议插入：`02_aquifer_eval/aquifer/02-地质参数云图.svg`</w:t>
      </w:r>
    </w:p>
    <w:p>
      <w:pPr>
        <w:pStyle w:val="ListBullet"/>
      </w:pPr>
      <w:r>
        <w:t>建议插入：`06_full_overburden/full/02-地质参数云图.svg`</w:t>
      </w:r>
    </w:p>
    <w:p>
      <w:pPr>
        <w:pStyle w:val="Heading1"/>
      </w:pPr>
      <w:r>
        <w:t>2.3 多场景 ODI 风险表征结果</w:t>
      </w:r>
    </w:p>
    <w:p>
      <w:pPr>
        <w:pStyle w:val="ListBullet"/>
      </w:pPr>
      <w:r>
        <w:t>建议插入：`00_surface_subsidence/surface/01-ODI分布图.svg`</w:t>
      </w:r>
    </w:p>
    <w:p>
      <w:pPr>
        <w:pStyle w:val="ListBullet"/>
      </w:pPr>
      <w:r>
        <w:t>建议插入：`00_surface_subsidence/surface/05-ODI分级占比.svg`</w:t>
      </w:r>
    </w:p>
    <w:p>
      <w:pPr>
        <w:pStyle w:val="ListBullet"/>
      </w:pPr>
      <w:r>
        <w:t>建议插入：`01_aquifer_pre_eval/aquifer/01-ODI分布图.svg`</w:t>
      </w:r>
    </w:p>
    <w:p>
      <w:pPr>
        <w:pStyle w:val="ListBullet"/>
      </w:pPr>
      <w:r>
        <w:t>建议插入：`01_aquifer_pre_eval/aquifer/05-ODI分级占比.svg`</w:t>
      </w:r>
    </w:p>
    <w:p>
      <w:pPr>
        <w:pStyle w:val="ListBullet"/>
      </w:pPr>
      <w:r>
        <w:t>建议插入：`02_aquifer_eval/aquifer/01-ODI分布图.svg`</w:t>
      </w:r>
    </w:p>
    <w:p>
      <w:pPr>
        <w:pStyle w:val="ListBullet"/>
      </w:pPr>
      <w:r>
        <w:t>建议插入：`02_aquifer_eval/aquifer/05-ODI分级占比.svg`</w:t>
      </w:r>
    </w:p>
    <w:p>
      <w:pPr>
        <w:pStyle w:val="ListBullet"/>
      </w:pPr>
      <w:r>
        <w:t>建议插入：`04_cocontrol_water_inrush/aquifer/01-ODI分布图.svg`</w:t>
      </w:r>
    </w:p>
    <w:p>
      <w:pPr>
        <w:pStyle w:val="ListBullet"/>
      </w:pPr>
      <w:r>
        <w:t>建议插入：`04_cocontrol_water_inrush/aquifer/05-ODI分级占比.svg`</w:t>
      </w:r>
    </w:p>
    <w:p>
      <w:pPr>
        <w:pStyle w:val="ListBullet"/>
      </w:pPr>
      <w:r>
        <w:t>建议插入：`06_full_overburden/full/01-ODI分布图.svg`</w:t>
      </w:r>
    </w:p>
    <w:p>
      <w:pPr>
        <w:pStyle w:val="ListBullet"/>
      </w:pPr>
      <w:r>
        <w:t>建议插入：`06_full_overburden/full/05-ODI分级占比.svg`</w:t>
      </w:r>
    </w:p>
    <w:p>
      <w:pPr>
        <w:pStyle w:val="Heading1"/>
      </w:pPr>
      <w:r>
        <w:t>3 四模式规划结果与方案比选</w:t>
      </w:r>
    </w:p>
    <w:p>
      <w:pPr>
        <w:pStyle w:val="ListBullet"/>
      </w:pPr>
      <w:r>
        <w:t>暂未匹配到对应图件，可结合本节文字说明从同场景相邻图件中补选。</w:t>
      </w:r>
    </w:p>
    <w:p>
      <w:pPr>
        <w:pStyle w:val="Heading1"/>
      </w:pPr>
      <w:r>
        <w:t>3.1 结构化规划结果</w:t>
      </w:r>
    </w:p>
    <w:p>
      <w:pPr>
        <w:pStyle w:val="ListBullet"/>
      </w:pPr>
      <w:r>
        <w:t>建议插入：`03_mining_planning/overview/01-采区规划布局.svg`</w:t>
      </w:r>
    </w:p>
    <w:p>
      <w:pPr>
        <w:pStyle w:val="ListBullet"/>
      </w:pPr>
      <w:r>
        <w:t>建议插入：`03_mining_planning/overview/02-四模式规划指标对比.svg`</w:t>
      </w:r>
    </w:p>
    <w:p>
      <w:pPr>
        <w:pStyle w:val="ListBullet"/>
      </w:pPr>
      <w:r>
        <w:t>建议插入：`05_mining_succession/overview/01-采区规划布局.svg`</w:t>
      </w:r>
    </w:p>
    <w:p>
      <w:pPr>
        <w:pStyle w:val="ListBullet"/>
      </w:pPr>
      <w:r>
        <w:t>建议插入：`05_mining_succession/overview/02-四模式规划指标对比.svg`</w:t>
      </w:r>
    </w:p>
    <w:p>
      <w:pPr>
        <w:pStyle w:val="Heading1"/>
      </w:pPr>
      <w:r>
        <w:t>3.2 四模式候选规划与方案比选</w:t>
      </w:r>
    </w:p>
    <w:p>
      <w:pPr>
        <w:pStyle w:val="ListBullet"/>
      </w:pPr>
      <w:r>
        <w:t>建议插入：`03_mining_planning/overview/03-加权优选候选方案.svg`</w:t>
      </w:r>
    </w:p>
    <w:p>
      <w:pPr>
        <w:pStyle w:val="ListBullet"/>
      </w:pPr>
      <w:r>
        <w:t>建议插入：`05_mining_succession/overview/03-加权优选候选方案.svg`</w:t>
      </w:r>
    </w:p>
    <w:p>
      <w:pPr>
        <w:pStyle w:val="Heading1"/>
      </w:pPr>
      <w:r>
        <w:t>3.3 规划结果向采掘接续与工程经济评价的传递</w:t>
      </w:r>
    </w:p>
    <w:p>
      <w:pPr>
        <w:pStyle w:val="ListBullet"/>
      </w:pPr>
      <w:r>
        <w:t>建议插入：`05_mining_succession/succession/01-月产曲线.svg`</w:t>
      </w:r>
    </w:p>
    <w:p>
      <w:pPr>
        <w:pStyle w:val="ListBullet"/>
      </w:pPr>
      <w:r>
        <w:t>建议插入：`05_mining_succession/succession/02-采掘接续甘特图.svg`</w:t>
      </w:r>
    </w:p>
    <w:p>
      <w:pPr>
        <w:pStyle w:val="ListBullet"/>
      </w:pPr>
      <w:r>
        <w:t>建议插入：`05_mining_succession/succession/03-接续方案对比.svg`</w:t>
      </w:r>
    </w:p>
    <w:p>
      <w:pPr>
        <w:pStyle w:val="ListBullet"/>
      </w:pPr>
      <w:r>
        <w:t>建议插入：`05_mining_succession/economics/01-现金流分析.svg`</w:t>
      </w:r>
    </w:p>
    <w:p>
      <w:pPr>
        <w:pStyle w:val="ListBullet"/>
      </w:pPr>
      <w:r>
        <w:t>建议插入：`05_mining_succession/economics/02-收入成本结构.svg`</w:t>
      </w:r>
    </w:p>
    <w:p>
      <w:pPr>
        <w:pStyle w:val="ListBullet"/>
      </w:pPr>
      <w:r>
        <w:t>建议插入：`05_mining_succession/economics/03-成本构成.svg`</w:t>
      </w:r>
    </w:p>
    <w:p>
      <w:pPr>
        <w:pStyle w:val="Heading1"/>
      </w:pPr>
      <w:r>
        <w:t>4 讨论</w:t>
      </w:r>
    </w:p>
    <w:p>
      <w:pPr>
        <w:pStyle w:val="ListBullet"/>
      </w:pPr>
      <w:r>
        <w:t>暂未匹配到对应图件，可结合本节文字说明从同场景相邻图件中补选。</w:t>
      </w:r>
    </w:p>
    <w:p>
      <w:pPr>
        <w:pStyle w:val="Heading1"/>
      </w:pPr>
      <w:r>
        <w:t>4.1 ODI 前置约束对采区规划的作用</w:t>
      </w:r>
    </w:p>
    <w:p>
      <w:pPr>
        <w:pStyle w:val="ListBullet"/>
      </w:pPr>
      <w:r>
        <w:t>暂未匹配到对应图件，可结合本节文字说明从同场景相邻图件中补选。</w:t>
      </w:r>
    </w:p>
    <w:p>
      <w:pPr>
        <w:pStyle w:val="Heading1"/>
      </w:pPr>
      <w:r>
        <w:t>4.2 参数场驱动的规划方法相对于传统经验布置的意义</w:t>
      </w:r>
    </w:p>
    <w:p>
      <w:pPr>
        <w:pStyle w:val="ListBullet"/>
      </w:pPr>
      <w:r>
        <w:t>暂未匹配到对应图件，可结合本节文字说明从同场景相邻图件中补选。</w:t>
      </w:r>
    </w:p>
    <w:p>
      <w:pPr>
        <w:pStyle w:val="Heading1"/>
      </w:pPr>
      <w:r>
        <w:t>4.3 后续深化方向</w:t>
      </w:r>
    </w:p>
    <w:p>
      <w:pPr>
        <w:pStyle w:val="ListBullet"/>
      </w:pPr>
      <w:r>
        <w:t>暂未匹配到对应图件，可结合本节文字说明从同场景相邻图件中补选。</w:t>
      </w:r>
    </w:p>
    <w:p>
      <w:pPr>
        <w:pStyle w:val="Heading1"/>
      </w:pPr>
      <w:r>
        <w:t>5 结论</w:t>
      </w:r>
    </w:p>
    <w:p>
      <w:pPr>
        <w:pStyle w:val="ListBullet"/>
      </w:pPr>
      <w:r>
        <w:t>暂未匹配到对应图件，可结合本节文字说明从同场景相邻图件中补选。</w:t>
      </w:r>
    </w:p>
    <w:p>
      <w:pPr>
        <w:pStyle w:val="Heading1"/>
      </w:pPr>
      <w:r>
        <w:t>参考文献</w:t>
      </w:r>
    </w:p>
    <w:p>
      <w:pPr>
        <w:pStyle w:val="ListBullet"/>
      </w:pPr>
      <w:r>
        <w:t>暂未匹配到对应图件，可结合本节文字说明从同场景相邻图件中补选。</w:t>
      </w:r>
    </w:p>
    <w:p>
      <w:pPr>
        <w:pStyle w:val="Heading1"/>
      </w:pPr>
      <w:r>
        <w:t>插图编排建议</w:t>
      </w:r>
    </w:p>
    <w:p>
      <w:pPr>
        <w:pStyle w:val="ListBullet"/>
      </w:pPr>
      <w:r>
        <w:t>参数场与 ODI 主图建议放在第 2 章，优先展示方法输入与多场景风险差异。</w:t>
      </w:r>
    </w:p>
    <w:p>
      <w:pPr>
        <w:pStyle w:val="ListBullet"/>
      </w:pPr>
      <w:r>
        <w:t>四模式规划与加权优选图建议放在第 3 章前半部分，作为方案比选核心证据。</w:t>
      </w:r>
    </w:p>
    <w:p>
      <w:pPr>
        <w:pStyle w:val="ListBullet"/>
      </w:pPr>
      <w:r>
        <w:t>采掘接续与工程经济图建议放在第 3.3 节，形成“规划 -&gt; 排程 -&gt; 经济”链条。</w:t>
      </w:r>
    </w:p>
    <w:p>
      <w:pPr>
        <w:pStyle w:val="ListBullet"/>
      </w:pPr>
      <w:r>
        <w:t>若版面有限，优先保留主图、对比图和一张经济性主图，其他图作为补充材料。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