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EE53A">
      <w:pPr>
        <w:spacing w:line="360" w:lineRule="auto"/>
        <w:ind w:firstLine="420"/>
        <w:jc w:val="center"/>
        <w:rPr>
          <w:rFonts w:ascii="黑体" w:hAnsi="华文仿宋" w:eastAsia="黑体"/>
          <w:bCs/>
          <w:sz w:val="52"/>
          <w:szCs w:val="52"/>
        </w:rPr>
      </w:pPr>
    </w:p>
    <w:p w14:paraId="1910D17A">
      <w:pPr>
        <w:spacing w:line="360" w:lineRule="auto"/>
        <w:jc w:val="center"/>
        <w:rPr>
          <w:rFonts w:ascii="楷体" w:hAnsi="楷体" w:eastAsia="楷体"/>
          <w:bCs/>
          <w:color w:val="000000" w:themeColor="text1"/>
          <w:sz w:val="52"/>
          <w:szCs w:val="52"/>
          <w14:textFill>
            <w14:solidFill>
              <w14:schemeClr w14:val="tx1"/>
            </w14:solidFill>
          </w14:textFill>
        </w:rPr>
      </w:pPr>
      <w:r>
        <w:rPr>
          <w:rFonts w:ascii="黑体" w:hAnsi="黑体"/>
          <w:b/>
          <w:color w:val="000000"/>
          <w:sz w:val="52"/>
        </w:rPr>
        <w:t>网络工程项目综合实践开题报告</w:t>
      </w:r>
    </w:p>
    <w:p w14:paraId="3563BDF1">
      <w:pPr>
        <w:spacing w:line="360" w:lineRule="auto"/>
        <w:ind w:firstLine="420"/>
        <w:jc w:val="center"/>
        <w:rPr>
          <w:rFonts w:ascii="黑体" w:hAnsi="华文仿宋" w:eastAsia="黑体"/>
          <w:bCs/>
          <w:color w:val="FF0000"/>
          <w:sz w:val="44"/>
          <w:szCs w:val="44"/>
        </w:rPr>
      </w:pPr>
      <w:r>
        <w:rPr>
          <w:rFonts w:ascii="黑体" w:hAnsi="黑体"/>
          <w:sz w:val="32"/>
          <w:szCs w:val="18"/>
        </w:rPr>
        <w:t>----威胁情报自动化提取与分析平台</w:t>
      </w:r>
    </w:p>
    <w:p w14:paraId="4E7A8B8F">
      <w:pPr>
        <w:spacing w:line="360" w:lineRule="auto"/>
        <w:ind w:firstLine="420"/>
        <w:jc w:val="center"/>
        <w:rPr>
          <w:rFonts w:ascii="黑体" w:hAnsi="华文仿宋" w:eastAsia="黑体"/>
          <w:bCs/>
          <w:sz w:val="52"/>
          <w:szCs w:val="52"/>
        </w:rPr>
      </w:pPr>
    </w:p>
    <w:p w14:paraId="42C1B2BF">
      <w:pPr>
        <w:adjustRightInd w:val="0"/>
        <w:spacing w:line="400" w:lineRule="exact"/>
        <w:ind w:firstLine="420" w:firstLineChars="200"/>
        <w:textAlignment w:val="baseline"/>
        <w:rPr>
          <w:color w:val="FF0000"/>
          <w:kern w:val="0"/>
          <w:szCs w:val="21"/>
        </w:rPr>
      </w:pPr>
    </w:p>
    <w:p w14:paraId="17BAFAD0">
      <w:pPr>
        <w:adjustRightInd w:val="0"/>
        <w:spacing w:line="400" w:lineRule="exact"/>
        <w:ind w:firstLine="420" w:firstLineChars="200"/>
        <w:textAlignment w:val="baseline"/>
        <w:rPr>
          <w:color w:val="FF0000"/>
          <w:kern w:val="0"/>
          <w:szCs w:val="21"/>
        </w:rPr>
      </w:pPr>
      <w:bookmarkStart w:id="1" w:name="_GoBack"/>
      <w:bookmarkEnd w:id="1"/>
    </w:p>
    <w:p w14:paraId="32781BC7">
      <w:pPr>
        <w:adjustRightInd w:val="0"/>
        <w:spacing w:line="400" w:lineRule="exact"/>
        <w:ind w:firstLine="420" w:firstLineChars="200"/>
        <w:textAlignment w:val="baseline"/>
        <w:rPr>
          <w:color w:val="FF0000"/>
          <w:kern w:val="0"/>
          <w:szCs w:val="21"/>
        </w:rPr>
      </w:pPr>
    </w:p>
    <w:p w14:paraId="3C5D06CE">
      <w:pPr>
        <w:adjustRightInd w:val="0"/>
        <w:spacing w:line="400" w:lineRule="exact"/>
        <w:ind w:firstLine="420" w:firstLineChars="200"/>
        <w:textAlignment w:val="baseline"/>
        <w:rPr>
          <w:color w:val="FF0000"/>
          <w:kern w:val="0"/>
          <w:szCs w:val="21"/>
        </w:rPr>
      </w:pPr>
    </w:p>
    <w:p w14:paraId="03E74B7D">
      <w:pPr>
        <w:adjustRightInd w:val="0"/>
        <w:spacing w:line="400" w:lineRule="exact"/>
        <w:ind w:firstLine="420" w:firstLineChars="200"/>
        <w:textAlignment w:val="baseline"/>
        <w:rPr>
          <w:color w:val="FF0000"/>
          <w:kern w:val="0"/>
          <w:szCs w:val="21"/>
        </w:rPr>
      </w:pPr>
    </w:p>
    <w:p w14:paraId="0011E410">
      <w:pPr>
        <w:adjustRightInd w:val="0"/>
        <w:spacing w:line="400" w:lineRule="exact"/>
        <w:ind w:firstLine="420" w:firstLineChars="200"/>
        <w:textAlignment w:val="baseline"/>
        <w:rPr>
          <w:color w:val="FF0000"/>
          <w:kern w:val="0"/>
          <w:szCs w:val="21"/>
        </w:rPr>
      </w:pPr>
    </w:p>
    <w:p w14:paraId="0A4B7CD9">
      <w:pPr>
        <w:adjustRightInd w:val="0"/>
        <w:spacing w:line="400" w:lineRule="exact"/>
        <w:ind w:firstLine="480" w:firstLineChars="200"/>
        <w:textAlignment w:val="baseline"/>
        <w:rPr>
          <w:rFonts w:hint="eastAsia"/>
          <w:color w:val="FF0000"/>
          <w:kern w:val="0"/>
          <w:sz w:val="24"/>
        </w:rPr>
      </w:pPr>
    </w:p>
    <w:p w14:paraId="1BF3319D">
      <w:pPr>
        <w:spacing w:line="360" w:lineRule="auto"/>
        <w:ind w:firstLine="420"/>
        <w:jc w:val="center"/>
        <w:rPr>
          <w:rFonts w:ascii="黑体" w:hAnsi="华文仿宋" w:eastAsia="黑体"/>
          <w:bCs/>
          <w:sz w:val="52"/>
          <w:szCs w:val="52"/>
        </w:rPr>
      </w:pPr>
    </w:p>
    <w:p w14:paraId="5BC320E9">
      <w:pPr>
        <w:rPr>
          <w:rFonts w:hAnsi="宋体" w:cs="宋体"/>
          <w:sz w:val="28"/>
          <w:szCs w:val="28"/>
          <w:u w:val="single"/>
        </w:rPr>
      </w:pPr>
      <w:bookmarkStart w:id="0" w:name="_Toc328906321"/>
    </w:p>
    <w:tbl>
      <w:tblPr>
        <w:tblStyle w:val="11"/>
        <w:tblW w:w="7174" w:type="dxa"/>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2090"/>
        <w:gridCol w:w="5084"/>
      </w:tblGrid>
      <w:tr w14:paraId="31E1EDE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51" w:hRule="atLeast"/>
          <w:jc w:val="center"/>
        </w:trPr>
        <w:tc>
          <w:tcPr>
            <w:tcW w:w="2090" w:type="dxa"/>
            <w:tcBorders>
              <w:top w:val="single" w:color="FFFFFF" w:sz="4" w:space="0"/>
              <w:left w:val="single" w:color="FFFFFF" w:sz="4" w:space="0"/>
              <w:bottom w:val="nil"/>
              <w:right w:val="nil"/>
              <w:insideH w:val="nil"/>
              <w:insideV w:val="nil"/>
              <w:tl2br w:val="nil"/>
              <w:tr2bl w:val="nil"/>
            </w:tcBorders>
            <w:vAlign w:val="bottom"/>
          </w:tcPr>
          <w:p w14:paraId="67D2726B">
            <w:pPr>
              <w:pStyle w:val="21"/>
              <w:widowControl/>
              <w:jc w:val="distribute"/>
            </w:pPr>
            <w:r>
              <w:rPr>
                <w:rFonts w:hint="eastAsia" w:ascii="黑体" w:hAnsi="黑体" w:eastAsia="黑体"/>
              </w:rPr>
              <w:t>学院</w:t>
            </w:r>
          </w:p>
        </w:tc>
        <w:tc>
          <w:tcPr>
            <w:tcW w:w="5084" w:type="dxa"/>
            <w:tcBorders>
              <w:top w:val="nil"/>
              <w:bottom w:val="single" w:color="auto" w:sz="4" w:space="0"/>
              <w:right w:val="nil"/>
              <w:insideV w:val="nil"/>
              <w:tl2br w:val="nil"/>
              <w:tr2bl w:val="nil"/>
            </w:tcBorders>
            <w:vAlign w:val="bottom"/>
          </w:tcPr>
          <w:p w14:paraId="0F7C62AB">
            <w:pPr>
              <w:pStyle w:val="21"/>
              <w:widowControl/>
            </w:pPr>
            <w:r>
              <w:t>计算机学院</w:t>
            </w:r>
          </w:p>
        </w:tc>
      </w:tr>
      <w:tr w14:paraId="5F82A86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51" w:hRule="atLeast"/>
          <w:jc w:val="center"/>
        </w:trPr>
        <w:tc>
          <w:tcPr>
            <w:tcW w:w="2090" w:type="dxa"/>
            <w:tcBorders>
              <w:top w:val="single" w:color="FFFFFF" w:sz="4" w:space="0"/>
              <w:left w:val="single" w:color="FFFFFF" w:sz="4" w:space="0"/>
              <w:bottom w:val="nil"/>
              <w:right w:val="nil"/>
              <w:insideH w:val="nil"/>
              <w:tl2br w:val="nil"/>
              <w:tr2bl w:val="nil"/>
            </w:tcBorders>
            <w:vAlign w:val="bottom"/>
          </w:tcPr>
          <w:p w14:paraId="437057BD">
            <w:pPr>
              <w:pStyle w:val="21"/>
              <w:widowControl/>
              <w:jc w:val="distribute"/>
              <w:rPr>
                <w:rFonts w:ascii="黑体" w:hAnsi="黑体" w:eastAsia="黑体"/>
              </w:rPr>
            </w:pPr>
            <w:r>
              <w:rPr>
                <w:rFonts w:hint="eastAsia" w:ascii="黑体" w:hAnsi="黑体" w:eastAsia="黑体"/>
              </w:rPr>
              <w:t>专业</w:t>
            </w:r>
          </w:p>
        </w:tc>
        <w:tc>
          <w:tcPr>
            <w:tcW w:w="5084" w:type="dxa"/>
            <w:tcBorders>
              <w:top w:val="single" w:color="auto" w:sz="4" w:space="0"/>
              <w:left w:val="nil"/>
              <w:bottom w:val="single" w:color="auto" w:sz="4" w:space="0"/>
              <w:right w:val="nil"/>
            </w:tcBorders>
            <w:vAlign w:val="bottom"/>
          </w:tcPr>
          <w:p w14:paraId="47E2B691">
            <w:pPr>
              <w:pStyle w:val="21"/>
              <w:widowControl/>
            </w:pPr>
            <w:r>
              <w:t>网络工程</w:t>
            </w:r>
          </w:p>
        </w:tc>
      </w:tr>
      <w:tr w14:paraId="64BF8CC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51" w:hRule="atLeast"/>
          <w:jc w:val="center"/>
        </w:trPr>
        <w:tc>
          <w:tcPr>
            <w:tcW w:w="2090" w:type="dxa"/>
            <w:tcBorders>
              <w:top w:val="single" w:color="FFFFFF" w:sz="4" w:space="0"/>
              <w:left w:val="single" w:color="FFFFFF" w:sz="4" w:space="0"/>
              <w:bottom w:val="nil"/>
              <w:right w:val="nil"/>
              <w:insideH w:val="nil"/>
              <w:tl2br w:val="nil"/>
              <w:tr2bl w:val="nil"/>
            </w:tcBorders>
            <w:vAlign w:val="bottom"/>
          </w:tcPr>
          <w:p w14:paraId="32833516">
            <w:pPr>
              <w:pStyle w:val="21"/>
              <w:widowControl/>
              <w:jc w:val="distribute"/>
            </w:pPr>
            <w:r>
              <w:rPr>
                <w:rFonts w:hint="eastAsia" w:ascii="黑体" w:hAnsi="黑体" w:eastAsia="黑体"/>
              </w:rPr>
              <w:t>学生姓名</w:t>
            </w:r>
          </w:p>
        </w:tc>
        <w:tc>
          <w:tcPr>
            <w:tcW w:w="5084" w:type="dxa"/>
            <w:tcBorders>
              <w:top w:val="single" w:color="auto" w:sz="4" w:space="0"/>
              <w:left w:val="nil"/>
              <w:bottom w:val="single" w:color="auto" w:sz="4" w:space="0"/>
              <w:right w:val="nil"/>
            </w:tcBorders>
            <w:vAlign w:val="bottom"/>
          </w:tcPr>
          <w:p w14:paraId="6E985346">
            <w:pPr>
              <w:pStyle w:val="21"/>
              <w:widowControl/>
              <w:rPr>
                <w:rFonts w:hint="eastAsia" w:eastAsia="宋体"/>
                <w:lang w:val="en-US" w:eastAsia="zh-CN"/>
              </w:rPr>
            </w:pPr>
            <w:r>
              <w:t>网工230</w:t>
            </w:r>
            <w:r>
              <w:rPr>
                <w:rFonts w:hint="eastAsia"/>
                <w:lang w:val="en-US" w:eastAsia="zh-CN"/>
              </w:rPr>
              <w:t>1</w:t>
            </w:r>
            <w:r>
              <w:t>/20230</w:t>
            </w:r>
            <w:r>
              <w:rPr>
                <w:rFonts w:hint="eastAsia"/>
                <w:lang w:val="en-US" w:eastAsia="zh-CN"/>
              </w:rPr>
              <w:t>1</w:t>
            </w:r>
            <w:r>
              <w:t>1496/</w:t>
            </w:r>
            <w:r>
              <w:rPr>
                <w:rFonts w:hint="eastAsia"/>
                <w:lang w:val="en-US" w:eastAsia="zh-CN"/>
              </w:rPr>
              <w:t>王旭</w:t>
            </w:r>
          </w:p>
        </w:tc>
      </w:tr>
      <w:tr w14:paraId="258ACC2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51" w:hRule="atLeast"/>
          <w:jc w:val="center"/>
        </w:trPr>
        <w:tc>
          <w:tcPr>
            <w:tcW w:w="2090" w:type="dxa"/>
            <w:tcBorders>
              <w:top w:val="single" w:color="FFFFFF" w:sz="4" w:space="0"/>
              <w:left w:val="single" w:color="FFFFFF" w:sz="4" w:space="0"/>
              <w:bottom w:val="nil"/>
              <w:right w:val="nil"/>
              <w:insideH w:val="nil"/>
              <w:tl2br w:val="nil"/>
              <w:tr2bl w:val="nil"/>
            </w:tcBorders>
            <w:vAlign w:val="bottom"/>
          </w:tcPr>
          <w:p w14:paraId="238995BA">
            <w:pPr>
              <w:pStyle w:val="21"/>
              <w:widowControl/>
              <w:jc w:val="distribute"/>
              <w:rPr>
                <w:rFonts w:ascii="黑体" w:eastAsia="黑体"/>
              </w:rPr>
            </w:pPr>
            <w:r>
              <w:rPr>
                <w:rFonts w:ascii="Times New Roman"/>
                <w:b/>
                <w:sz w:val="28"/>
              </w:rPr>
              <w:t>指导老师/督导老师</w:t>
            </w:r>
          </w:p>
        </w:tc>
        <w:tc>
          <w:tcPr>
            <w:tcW w:w="5084" w:type="dxa"/>
            <w:tcBorders>
              <w:top w:val="single" w:color="auto" w:sz="4" w:space="0"/>
              <w:left w:val="nil"/>
              <w:bottom w:val="single" w:color="auto" w:sz="4" w:space="0"/>
              <w:right w:val="nil"/>
            </w:tcBorders>
            <w:vAlign w:val="center"/>
          </w:tcPr>
          <w:p w14:paraId="7041C0B5">
            <w:pPr>
              <w:pStyle w:val="21"/>
              <w:widowControl/>
              <w:rPr>
                <w:rFonts w:hint="eastAsia" w:eastAsia="宋体"/>
                <w:lang w:eastAsia="zh-CN"/>
              </w:rPr>
            </w:pPr>
            <w:r>
              <w:rPr>
                <w:rFonts w:hint="eastAsia"/>
                <w:lang w:val="en-US" w:eastAsia="zh-CN"/>
              </w:rPr>
              <w:t>马利民</w:t>
            </w:r>
          </w:p>
        </w:tc>
      </w:tr>
      <w:tr w14:paraId="2B5DB7B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51" w:hRule="atLeast"/>
          <w:jc w:val="center"/>
        </w:trPr>
        <w:tc>
          <w:tcPr>
            <w:tcW w:w="2090" w:type="dxa"/>
            <w:tcBorders>
              <w:top w:val="single" w:color="FFFFFF" w:sz="4" w:space="0"/>
              <w:left w:val="single" w:color="FFFFFF" w:sz="4" w:space="0"/>
              <w:bottom w:val="single" w:color="FFFFFF" w:sz="4" w:space="0"/>
              <w:right w:val="nil"/>
              <w:insideH w:val="nil"/>
              <w:tl2br w:val="nil"/>
              <w:tr2bl w:val="nil"/>
            </w:tcBorders>
            <w:vAlign w:val="bottom"/>
          </w:tcPr>
          <w:p w14:paraId="58C7ADE4">
            <w:pPr>
              <w:pStyle w:val="21"/>
              <w:widowControl/>
              <w:jc w:val="distribute"/>
              <w:rPr>
                <w:rFonts w:ascii="Times New Roman"/>
                <w:b/>
                <w:sz w:val="28"/>
              </w:rPr>
            </w:pPr>
            <w:r>
              <w:rPr>
                <w:rFonts w:ascii="Times New Roman"/>
                <w:b/>
                <w:sz w:val="28"/>
              </w:rPr>
              <w:t>起止时间</w:t>
            </w:r>
          </w:p>
        </w:tc>
        <w:tc>
          <w:tcPr>
            <w:tcW w:w="5084" w:type="dxa"/>
            <w:tcBorders>
              <w:top w:val="single" w:color="auto" w:sz="4" w:space="0"/>
              <w:left w:val="nil"/>
              <w:bottom w:val="single" w:color="auto" w:sz="4" w:space="0"/>
              <w:right w:val="nil"/>
            </w:tcBorders>
            <w:vAlign w:val="bottom"/>
          </w:tcPr>
          <w:p w14:paraId="7F66F1F8">
            <w:pPr>
              <w:pStyle w:val="21"/>
              <w:widowControl/>
            </w:pPr>
            <w:r>
              <w:t>2026年 6月15日 至 2026年 7月3日</w:t>
            </w:r>
          </w:p>
        </w:tc>
      </w:tr>
    </w:tbl>
    <w:p w14:paraId="455EEF95">
      <w:pPr>
        <w:ind w:firstLine="1800"/>
        <w:rPr>
          <w:rFonts w:hAnsi="宋体" w:cs="宋体"/>
          <w:sz w:val="28"/>
          <w:szCs w:val="28"/>
          <w:u w:val="single"/>
        </w:rPr>
      </w:pPr>
    </w:p>
    <w:p w14:paraId="6619EEC2">
      <w:pPr>
        <w:ind w:firstLine="1800"/>
        <w:rPr>
          <w:rFonts w:ascii="Times New Roman"/>
          <w:u w:val="single"/>
        </w:rPr>
      </w:pPr>
    </w:p>
    <w:tbl>
      <w:tblPr>
        <w:tblStyle w:val="10"/>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851"/>
        <w:gridCol w:w="1984"/>
        <w:gridCol w:w="3686"/>
        <w:gridCol w:w="567"/>
      </w:tblGrid>
      <w:tr w14:paraId="63A37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1838" w:type="dxa"/>
          </w:tcPr>
          <w:p w14:paraId="0BE97B32">
            <w:pPr>
              <w:jc w:val="center"/>
              <w:rPr>
                <w:rFonts w:ascii="宋体" w:hAnsi="宋体"/>
                <w:szCs w:val="21"/>
              </w:rPr>
            </w:pPr>
            <w:r>
              <w:rPr>
                <w:rFonts w:hint="eastAsia" w:ascii="宋体" w:hAnsi="宋体"/>
                <w:szCs w:val="21"/>
              </w:rPr>
              <w:t>问题分析</w:t>
            </w:r>
          </w:p>
        </w:tc>
        <w:tc>
          <w:tcPr>
            <w:tcW w:w="2835" w:type="dxa"/>
            <w:gridSpan w:val="2"/>
          </w:tcPr>
          <w:p w14:paraId="1727E42A">
            <w:pPr>
              <w:snapToGrid w:val="0"/>
              <w:spacing w:line="300" w:lineRule="auto"/>
              <w:jc w:val="center"/>
              <w:rPr>
                <w:rFonts w:ascii="宋体" w:hAnsi="宋体"/>
                <w:szCs w:val="21"/>
              </w:rPr>
            </w:pPr>
            <w:r>
              <w:rPr>
                <w:rFonts w:hint="eastAsia" w:ascii="宋体" w:hAnsi="宋体"/>
                <w:szCs w:val="21"/>
              </w:rPr>
              <w:t>职业规范</w:t>
            </w:r>
          </w:p>
        </w:tc>
        <w:tc>
          <w:tcPr>
            <w:tcW w:w="3686" w:type="dxa"/>
          </w:tcPr>
          <w:p w14:paraId="7068DF2B">
            <w:pPr>
              <w:jc w:val="center"/>
              <w:rPr>
                <w:szCs w:val="21"/>
              </w:rPr>
            </w:pPr>
            <w:r>
              <w:rPr>
                <w:rFonts w:hint="eastAsia"/>
                <w:szCs w:val="21"/>
              </w:rPr>
              <w:t>环境和可持续发展</w:t>
            </w:r>
          </w:p>
        </w:tc>
        <w:tc>
          <w:tcPr>
            <w:tcW w:w="567" w:type="dxa"/>
            <w:vMerge w:val="restart"/>
            <w:vAlign w:val="center"/>
          </w:tcPr>
          <w:p w14:paraId="02467281">
            <w:pPr>
              <w:jc w:val="center"/>
              <w:rPr>
                <w:szCs w:val="21"/>
              </w:rPr>
            </w:pPr>
            <w:r>
              <w:rPr>
                <w:rFonts w:hint="eastAsia"/>
                <w:szCs w:val="21"/>
              </w:rPr>
              <w:t>总分</w:t>
            </w:r>
          </w:p>
        </w:tc>
      </w:tr>
      <w:tr w14:paraId="58413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2" w:hRule="atLeast"/>
        </w:trPr>
        <w:tc>
          <w:tcPr>
            <w:tcW w:w="1838" w:type="dxa"/>
          </w:tcPr>
          <w:p w14:paraId="114C3AF0">
            <w:pPr>
              <w:rPr>
                <w:rFonts w:ascii="宋体" w:hAnsi="宋体"/>
                <w:szCs w:val="21"/>
              </w:rPr>
            </w:pPr>
            <w:r>
              <w:rPr>
                <w:rFonts w:hint="eastAsia" w:ascii="宋体" w:hAnsi="宋体"/>
                <w:szCs w:val="21"/>
              </w:rPr>
              <w:t>能够通过文献资料的学习了解相关技术，分析课题并确定方案。(</w:t>
            </w:r>
            <w:r>
              <w:rPr>
                <w:rFonts w:ascii="宋体" w:hAnsi="宋体"/>
                <w:szCs w:val="21"/>
              </w:rPr>
              <w:t>15)</w:t>
            </w:r>
          </w:p>
        </w:tc>
        <w:tc>
          <w:tcPr>
            <w:tcW w:w="851" w:type="dxa"/>
          </w:tcPr>
          <w:p w14:paraId="347DBC71">
            <w:pPr>
              <w:snapToGrid w:val="0"/>
              <w:rPr>
                <w:rFonts w:ascii="宋体" w:hAnsi="宋体"/>
                <w:szCs w:val="21"/>
              </w:rPr>
            </w:pPr>
            <w:r>
              <w:rPr>
                <w:rFonts w:hint="eastAsia" w:ascii="宋体" w:hAnsi="宋体"/>
                <w:szCs w:val="21"/>
              </w:rPr>
              <w:t>项目任务完成情况。(</w:t>
            </w:r>
            <w:r>
              <w:rPr>
                <w:rFonts w:ascii="宋体" w:hAnsi="宋体"/>
                <w:szCs w:val="21"/>
              </w:rPr>
              <w:t>50)</w:t>
            </w:r>
          </w:p>
        </w:tc>
        <w:tc>
          <w:tcPr>
            <w:tcW w:w="1984" w:type="dxa"/>
          </w:tcPr>
          <w:p w14:paraId="56B2F7D1">
            <w:pPr>
              <w:rPr>
                <w:rFonts w:ascii="宋体" w:hAnsi="宋体"/>
                <w:szCs w:val="21"/>
              </w:rPr>
            </w:pPr>
            <w:r>
              <w:rPr>
                <w:rFonts w:hint="eastAsia" w:ascii="宋体" w:hAnsi="宋体"/>
                <w:szCs w:val="21"/>
              </w:rPr>
              <w:t>能够适应实习职位的要求，遵守实习单位的相关规定，具有一定的职业道德。(</w:t>
            </w:r>
            <w:r>
              <w:rPr>
                <w:rFonts w:ascii="宋体" w:hAnsi="宋体"/>
                <w:szCs w:val="21"/>
              </w:rPr>
              <w:t>20)</w:t>
            </w:r>
          </w:p>
        </w:tc>
        <w:tc>
          <w:tcPr>
            <w:tcW w:w="3686" w:type="dxa"/>
          </w:tcPr>
          <w:p w14:paraId="2AD9F2AE">
            <w:pPr>
              <w:rPr>
                <w:szCs w:val="21"/>
              </w:rPr>
            </w:pPr>
            <w:r>
              <w:rPr>
                <w:rFonts w:hint="eastAsia"/>
                <w:color w:val="000000"/>
                <w:kern w:val="21"/>
                <w:szCs w:val="21"/>
              </w:rPr>
              <w:t>能够认识到所从事的实践工作的复杂性，对制定的网络解决方案或实践工作产生的社会和环境影响有一定的认识，并且能够系统的阐述相关内容。(</w:t>
            </w:r>
            <w:r>
              <w:rPr>
                <w:color w:val="000000"/>
                <w:kern w:val="21"/>
                <w:szCs w:val="21"/>
              </w:rPr>
              <w:t>15)</w:t>
            </w:r>
          </w:p>
        </w:tc>
        <w:tc>
          <w:tcPr>
            <w:tcW w:w="567" w:type="dxa"/>
            <w:vMerge w:val="continue"/>
          </w:tcPr>
          <w:p w14:paraId="063FCA51">
            <w:pPr>
              <w:rPr>
                <w:color w:val="000000"/>
                <w:kern w:val="21"/>
                <w:szCs w:val="21"/>
              </w:rPr>
            </w:pPr>
          </w:p>
        </w:tc>
      </w:tr>
      <w:tr w14:paraId="555A3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1838" w:type="dxa"/>
          </w:tcPr>
          <w:p w14:paraId="58A9ADAB">
            <w:pPr>
              <w:rPr>
                <w:szCs w:val="21"/>
              </w:rPr>
            </w:pPr>
          </w:p>
        </w:tc>
        <w:tc>
          <w:tcPr>
            <w:tcW w:w="851" w:type="dxa"/>
          </w:tcPr>
          <w:p w14:paraId="00785463">
            <w:pPr>
              <w:rPr>
                <w:szCs w:val="21"/>
              </w:rPr>
            </w:pPr>
          </w:p>
        </w:tc>
        <w:tc>
          <w:tcPr>
            <w:tcW w:w="1984" w:type="dxa"/>
          </w:tcPr>
          <w:p w14:paraId="234A1695">
            <w:pPr>
              <w:rPr>
                <w:szCs w:val="21"/>
              </w:rPr>
            </w:pPr>
          </w:p>
        </w:tc>
        <w:tc>
          <w:tcPr>
            <w:tcW w:w="3686" w:type="dxa"/>
          </w:tcPr>
          <w:p w14:paraId="6C5129F2">
            <w:pPr>
              <w:rPr>
                <w:szCs w:val="21"/>
              </w:rPr>
            </w:pPr>
          </w:p>
        </w:tc>
        <w:tc>
          <w:tcPr>
            <w:tcW w:w="567" w:type="dxa"/>
          </w:tcPr>
          <w:p w14:paraId="00C309C3">
            <w:pPr>
              <w:rPr>
                <w:szCs w:val="21"/>
              </w:rPr>
            </w:pPr>
          </w:p>
        </w:tc>
      </w:tr>
      <w:bookmarkEnd w:id="0"/>
    </w:tbl>
    <w:p w14:paraId="78B372AB">
      <w:pPr>
        <w:adjustRightInd w:val="0"/>
        <w:spacing w:line="400" w:lineRule="exact"/>
        <w:textAlignment w:val="baseline"/>
        <w:outlineLvl w:val="1"/>
        <w:rPr>
          <w:rFonts w:hint="eastAsia" w:ascii="宋体" w:hAnsi="宋体" w:eastAsia="宋体" w:cs="宋体"/>
          <w:b/>
          <w:color w:val="FF0000"/>
          <w:kern w:val="0"/>
          <w:sz w:val="24"/>
          <w:szCs w:val="24"/>
        </w:rPr>
      </w:pPr>
      <w:r>
        <w:rPr>
          <w:rFonts w:hint="eastAsia" w:ascii="宋体" w:hAnsi="宋体" w:eastAsia="宋体" w:cs="宋体"/>
          <w:b/>
          <w:kern w:val="0"/>
          <w:sz w:val="24"/>
          <w:szCs w:val="24"/>
        </w:rPr>
        <w:t>1.项目综合实践(</w:t>
      </w:r>
      <w:r>
        <w:rPr>
          <w:rFonts w:hint="eastAsia" w:ascii="宋体" w:hAnsi="宋体" w:eastAsia="宋体" w:cs="宋体"/>
          <w:b/>
          <w:kern w:val="0"/>
          <w:sz w:val="24"/>
          <w:szCs w:val="24"/>
          <w:lang w:val="en-US" w:eastAsia="zh-CN"/>
        </w:rPr>
        <w:t>2</w:t>
      </w:r>
      <w:r>
        <w:rPr>
          <w:rFonts w:hint="eastAsia" w:ascii="宋体" w:hAnsi="宋体" w:eastAsia="宋体" w:cs="宋体"/>
          <w:b/>
          <w:kern w:val="0"/>
          <w:sz w:val="24"/>
          <w:szCs w:val="24"/>
        </w:rPr>
        <w:t>)内容介绍</w:t>
      </w:r>
    </w:p>
    <w:p w14:paraId="1742F439">
      <w:pPr>
        <w:widowControl/>
        <w:spacing w:after="100" w:afterAutospacing="1" w:line="360" w:lineRule="exact"/>
        <w:ind w:firstLine="420"/>
        <w:contextualSpacing/>
        <w:jc w:val="left"/>
        <w:rPr>
          <w:rFonts w:hint="eastAsia" w:ascii="宋体" w:hAnsi="宋体" w:eastAsia="宋体" w:cs="宋体"/>
          <w:kern w:val="0"/>
          <w:szCs w:val="21"/>
        </w:rPr>
      </w:pPr>
      <w:r>
        <w:rPr>
          <w:rFonts w:hint="eastAsia" w:ascii="宋体" w:hAnsi="宋体" w:eastAsia="宋体" w:cs="宋体"/>
        </w:rPr>
        <w:t>本次企业实践项目为威胁情报自动化提取与分析平台的设计与实现，旨在通过实际项目开发培养学生理解并掌握网络安全领域的威胁情报分析方法论和全栈开发流程，提升实战能力。项目的核心是开发一个威胁情报自动化提取与分析平台，该系统是企业网络安全架构中的关键组成部分，专注于从非结构化的威胁报告中自动提取威胁指标（IOC），包括IP地址、域名、URL、文件哈希、CVE编号、ATT&amp;CK技术编号、威胁组织名称等8种指标类型，并通过大语言模型（LLM）进行深度关联分析，最终生成包含攻击链还原、影响评估和防御建议的结构化威胁情报分析报告和交互式知识图谱。</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在为期三周的实践中，第一阶段主要完成了系统需求分析和整体技术架构设计。学生需要与指导老师进行深入讨论，确定平台的核心功能需求和性能指标。业界对此阶段的要求包括：完整的需求规格文档、系统设计方案、数据库ER图和技术选型报告。第二阶段为系统开发实现，学生应运用现代软件开发工具和方法，完成IOC正则提取引擎、LLM分析管道、前端Dashboard和知识图谱可视化等核心模块的编码工作。</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威胁情报自动化提取与分析平台的开发是本项目的核心工作任务，涵盖正则表达式IOC提取、大语言模型集成、SSE流式推送、知识图谱可视化等关键技术。通过这些技术，系统能够自动识别网络威胁报告中的各类威胁指标，并对指标进行详细的风险评估与关联分析，显著提升企业安全运营中心（SOC）的威胁情报处理效率。此外，系统的开发和实施过程中，需要充分考虑网络安全数据的敏感性、分析结果的可审计性等非功能性需求。</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该平台的开发与部署应对企业运行的经济环境、技术环境和社会环境产生积极影响。在经济环境方面，该系统的实施将促进企业安全运营的自动化、智能化转型，降低对高级安全分析师的依赖，减少人力成本。在技术环境方面，自动化的IOC提取和LLM分析替代了人工阅读报告的繁琐流程，提高了威胁情报的处理效率和分析质量。在社会环境方面，提升企业的威胁检测和响应能力，有助于维护国家和社会的网络空间安全。</w:t>
      </w:r>
    </w:p>
    <w:p w14:paraId="7E9FE9F9">
      <w:pPr>
        <w:widowControl/>
        <w:spacing w:after="100" w:afterAutospacing="1" w:line="360" w:lineRule="exact"/>
        <w:ind w:firstLine="420"/>
        <w:contextualSpacing/>
        <w:jc w:val="left"/>
        <w:rPr>
          <w:rFonts w:hint="eastAsia" w:ascii="宋体" w:hAnsi="宋体" w:eastAsia="宋体" w:cs="宋体"/>
          <w:kern w:val="0"/>
          <w:szCs w:val="21"/>
        </w:rPr>
      </w:pPr>
    </w:p>
    <w:p w14:paraId="57DFE94C">
      <w:pPr>
        <w:widowControl/>
        <w:spacing w:after="100" w:afterAutospacing="1" w:line="360" w:lineRule="exact"/>
        <w:ind w:firstLine="420"/>
        <w:contextualSpacing/>
        <w:jc w:val="left"/>
        <w:rPr>
          <w:rFonts w:hint="eastAsia" w:ascii="宋体" w:hAnsi="宋体" w:eastAsia="宋体" w:cs="宋体"/>
          <w:kern w:val="0"/>
          <w:szCs w:val="21"/>
        </w:rPr>
      </w:pPr>
    </w:p>
    <w:p w14:paraId="4405DB8E">
      <w:pPr>
        <w:widowControl/>
        <w:spacing w:after="100" w:afterAutospacing="1" w:line="360" w:lineRule="exact"/>
        <w:contextualSpacing/>
        <w:jc w:val="left"/>
        <w:rPr>
          <w:rFonts w:hint="eastAsia" w:ascii="宋体" w:hAnsi="宋体" w:eastAsia="宋体" w:cs="宋体"/>
          <w:kern w:val="0"/>
          <w:szCs w:val="21"/>
        </w:rPr>
      </w:pPr>
    </w:p>
    <w:p w14:paraId="2FC4B359">
      <w:pPr>
        <w:adjustRightInd w:val="0"/>
        <w:spacing w:line="400" w:lineRule="exact"/>
        <w:textAlignment w:val="baseline"/>
        <w:rPr>
          <w:rFonts w:hint="eastAsia" w:ascii="宋体" w:hAnsi="宋体" w:eastAsia="宋体" w:cs="宋体"/>
          <w:kern w:val="0"/>
          <w:sz w:val="24"/>
        </w:rPr>
      </w:pPr>
    </w:p>
    <w:p w14:paraId="2821323A">
      <w:pPr>
        <w:pStyle w:val="16"/>
        <w:adjustRightInd w:val="0"/>
        <w:spacing w:line="400" w:lineRule="exact"/>
        <w:ind w:left="372" w:hanging="360" w:firstLineChars="0"/>
        <w:textAlignment w:val="baseline"/>
        <w:outlineLvl w:val="1"/>
        <w:rPr>
          <w:rFonts w:hint="eastAsia" w:ascii="宋体" w:hAnsi="宋体" w:eastAsia="宋体" w:cs="宋体"/>
          <w:b/>
          <w:kern w:val="0"/>
          <w:sz w:val="24"/>
          <w:szCs w:val="24"/>
        </w:rPr>
      </w:pPr>
      <w:r>
        <w:rPr>
          <w:rFonts w:hint="eastAsia" w:ascii="宋体" w:hAnsi="宋体" w:eastAsia="宋体" w:cs="宋体"/>
          <w:b/>
          <w:kern w:val="0"/>
          <w:sz w:val="24"/>
          <w:szCs w:val="24"/>
        </w:rPr>
        <w:t>2.国内外技术发展现状和技术分析</w:t>
      </w:r>
    </w:p>
    <w:p w14:paraId="1C90AD32">
      <w:pPr>
        <w:widowControl/>
        <w:spacing w:after="100" w:afterAutospacing="1" w:line="360" w:lineRule="exact"/>
        <w:ind w:firstLine="420"/>
        <w:contextualSpacing/>
        <w:jc w:val="left"/>
        <w:rPr>
          <w:rFonts w:hint="eastAsia" w:ascii="宋体" w:hAnsi="宋体" w:eastAsia="宋体" w:cs="宋体"/>
          <w:kern w:val="0"/>
          <w:szCs w:val="21"/>
        </w:rPr>
      </w:pPr>
      <w:r>
        <w:rPr>
          <w:rFonts w:hint="eastAsia" w:ascii="宋体" w:hAnsi="宋体" w:eastAsia="宋体" w:cs="宋体"/>
        </w:rPr>
        <w:t>威胁情报（Threat Intelligence）的自动化提取与分析技术，传统方法主要通过人工阅读安全报告、手动提取IOC指标来完成。人工分析的方式主要依赖安全分析师的个人经验，时效性差，难以应对每天海量威胁报告的挑战。基于正则表达式的自动化IOC提取方式，主要在企业安全运营中心（SOC）部署了基于规则的提取引擎，虽然能够处理结构化程度较高的报告，但对于非结构化文本的适应性不足。</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随着人工智能技术的快速发展，现代威胁情报分析技术逐渐形成了三大技术路线：基于正则表达式的结构化提取、基于自然语言处理（NLP）的实体识别、以及基于大语言模型的端到端分析。</w:t>
      </w:r>
      <w:r>
        <w:rPr>
          <w:rFonts w:hint="eastAsia" w:ascii="宋体" w:hAnsi="宋体" w:eastAsia="宋体" w:cs="宋体"/>
        </w:rPr>
        <w:br w:type="textWrapping"/>
      </w:r>
      <w:r>
        <w:rPr>
          <w:rFonts w:hint="eastAsia" w:ascii="宋体" w:hAnsi="宋体" w:eastAsia="宋体" w:cs="宋体"/>
        </w:rPr>
        <w:t>在正则表达式提取技术方面，其基本原理为：对威胁报告中已知格式的IOC指标（IP地址、域名、文件哈希、CVE编号等），使用预定义的正则模式进行匹配，并将匹配结果分类输出。通过正则表达式，可以高效、准确地识别标准化格式的威胁指标。开源工具如IOC-Parser、STIX-Shifter等已经实现了基本的IOC提取功能，但缺乏对defanged格式（如1.2.3[.]4）的自动还原和对PDF/HTML等富文本格式的解析能力。</w:t>
      </w:r>
      <w:r>
        <w:rPr>
          <w:rFonts w:hint="eastAsia" w:ascii="宋体" w:hAnsi="宋体" w:eastAsia="宋体" w:cs="宋体"/>
        </w:rPr>
        <w:br w:type="textWrapping"/>
      </w:r>
      <w:r>
        <w:rPr>
          <w:rFonts w:hint="eastAsia" w:ascii="宋体" w:hAnsi="宋体" w:eastAsia="宋体" w:cs="宋体"/>
        </w:rPr>
        <w:t>在大语言模型（LLM）分析方面，不需要像传统NLP方法那样训练专门的实体识别模型，而是利用预训练大模型的理解和生成能力，对威胁报告进行端到端的分析。DeepSeek、GPT-4等大模型能够理解复杂的威胁描述文本，自动生成结构化的分析报告，包括攻击链还原、TTP分析、归因判断、影响评估和防御建议。通过SSE（Server-Sent Events）协议，可以将LLM的流式输出实时推送到前端，实现分析过程的可视化。</w:t>
      </w:r>
      <w:r>
        <w:rPr>
          <w:rFonts w:hint="eastAsia" w:ascii="宋体" w:hAnsi="宋体" w:eastAsia="宋体" w:cs="宋体"/>
        </w:rPr>
        <w:br w:type="textWrapping"/>
      </w:r>
      <w:r>
        <w:rPr>
          <w:rFonts w:hint="eastAsia" w:ascii="宋体" w:hAnsi="宋体" w:eastAsia="宋体" w:cs="宋体"/>
        </w:rPr>
        <w:t>在知识图谱可视化方面，网络威胁情报知识图谱通过节点-边模型展示威胁指标之间的关联关系，是目前威胁情报分析的主流可视化方式。Mermaid.js是一种流行的文本到图表转换工具，但在v11版本中存在语法兼容性问题（:::类赋值语法废弃、emoji渲染错误）。SVG自建知识图谱方案提供了更大的灵活性和交互性，支持节点拖拽、滚轮缩放、悬停高亮等操作。现代交互式图谱通常采用网格扇区布局，通过颜色编码区分节点类型（IOC橙色、威胁组织红色、报告绿色、ATT&amp;CK蓝色、CVE紫色）。全球市场上知名的威胁情报平台包括VirusTotal、AlienVault OTX、IBM X-Force Exchange、绿盟NTI威胁情报中心等。</w:t>
      </w:r>
    </w:p>
    <w:p w14:paraId="75510DA2">
      <w:pPr>
        <w:widowControl/>
        <w:spacing w:after="100" w:afterAutospacing="1" w:line="360" w:lineRule="exact"/>
        <w:ind w:firstLine="420"/>
        <w:contextualSpacing/>
        <w:jc w:val="left"/>
        <w:rPr>
          <w:rFonts w:hint="eastAsia" w:ascii="宋体" w:hAnsi="宋体" w:eastAsia="宋体" w:cs="宋体"/>
          <w:kern w:val="0"/>
          <w:szCs w:val="21"/>
        </w:rPr>
      </w:pPr>
    </w:p>
    <w:p w14:paraId="41850214">
      <w:pPr>
        <w:widowControl/>
        <w:spacing w:after="100" w:afterAutospacing="1" w:line="360" w:lineRule="exact"/>
        <w:ind w:firstLine="420"/>
        <w:contextualSpacing/>
        <w:jc w:val="left"/>
        <w:rPr>
          <w:rFonts w:hint="eastAsia" w:ascii="宋体" w:hAnsi="宋体" w:eastAsia="宋体" w:cs="宋体"/>
          <w:kern w:val="0"/>
          <w:szCs w:val="21"/>
        </w:rPr>
      </w:pPr>
    </w:p>
    <w:p w14:paraId="26AD876B">
      <w:pPr>
        <w:widowControl/>
        <w:spacing w:after="100" w:afterAutospacing="1" w:line="360" w:lineRule="exact"/>
        <w:ind w:firstLine="420"/>
        <w:contextualSpacing/>
        <w:jc w:val="left"/>
        <w:rPr>
          <w:rFonts w:hint="eastAsia" w:ascii="宋体" w:hAnsi="宋体" w:eastAsia="宋体" w:cs="宋体"/>
          <w:kern w:val="0"/>
          <w:szCs w:val="21"/>
        </w:rPr>
      </w:pPr>
    </w:p>
    <w:p w14:paraId="6A30D8A7">
      <w:pPr>
        <w:widowControl/>
        <w:spacing w:after="100" w:afterAutospacing="1" w:line="360" w:lineRule="exact"/>
        <w:ind w:firstLine="420"/>
        <w:contextualSpacing/>
        <w:jc w:val="left"/>
        <w:rPr>
          <w:rFonts w:hint="eastAsia" w:ascii="宋体" w:hAnsi="宋体" w:eastAsia="宋体" w:cs="宋体"/>
          <w:kern w:val="0"/>
          <w:szCs w:val="21"/>
        </w:rPr>
      </w:pPr>
    </w:p>
    <w:p w14:paraId="6EF47521">
      <w:pPr>
        <w:widowControl/>
        <w:spacing w:after="100" w:afterAutospacing="1" w:line="360" w:lineRule="exact"/>
        <w:ind w:firstLine="420"/>
        <w:contextualSpacing/>
        <w:jc w:val="left"/>
        <w:rPr>
          <w:rFonts w:hint="eastAsia" w:ascii="宋体" w:hAnsi="宋体" w:eastAsia="宋体" w:cs="宋体"/>
          <w:kern w:val="0"/>
          <w:szCs w:val="21"/>
        </w:rPr>
      </w:pPr>
    </w:p>
    <w:p w14:paraId="333E537F">
      <w:pPr>
        <w:widowControl/>
        <w:spacing w:after="100" w:afterAutospacing="1" w:line="360" w:lineRule="exact"/>
        <w:ind w:firstLine="420"/>
        <w:contextualSpacing/>
        <w:jc w:val="left"/>
        <w:rPr>
          <w:rFonts w:hint="eastAsia" w:ascii="宋体" w:hAnsi="宋体" w:eastAsia="宋体" w:cs="宋体"/>
          <w:kern w:val="0"/>
          <w:szCs w:val="21"/>
        </w:rPr>
      </w:pPr>
    </w:p>
    <w:p w14:paraId="7916072D">
      <w:pPr>
        <w:widowControl/>
        <w:spacing w:after="100" w:afterAutospacing="1" w:line="360" w:lineRule="exact"/>
        <w:ind w:firstLine="420"/>
        <w:contextualSpacing/>
        <w:jc w:val="left"/>
        <w:rPr>
          <w:rFonts w:hint="eastAsia" w:ascii="宋体" w:hAnsi="宋体" w:eastAsia="宋体" w:cs="宋体"/>
          <w:kern w:val="0"/>
          <w:szCs w:val="21"/>
        </w:rPr>
      </w:pPr>
    </w:p>
    <w:p w14:paraId="5D1E3398">
      <w:pPr>
        <w:widowControl/>
        <w:spacing w:after="100" w:afterAutospacing="1" w:line="360" w:lineRule="exact"/>
        <w:ind w:firstLine="420"/>
        <w:contextualSpacing/>
        <w:jc w:val="left"/>
        <w:rPr>
          <w:rFonts w:hint="eastAsia" w:ascii="宋体" w:hAnsi="宋体" w:eastAsia="宋体" w:cs="宋体"/>
          <w:kern w:val="0"/>
          <w:szCs w:val="21"/>
        </w:rPr>
      </w:pPr>
    </w:p>
    <w:p w14:paraId="6AAE3DEF">
      <w:pPr>
        <w:widowControl/>
        <w:spacing w:after="100" w:afterAutospacing="1" w:line="360" w:lineRule="exact"/>
        <w:ind w:firstLine="420"/>
        <w:contextualSpacing/>
        <w:jc w:val="left"/>
        <w:rPr>
          <w:rFonts w:hint="eastAsia" w:ascii="宋体" w:hAnsi="宋体" w:eastAsia="宋体" w:cs="宋体"/>
          <w:kern w:val="0"/>
          <w:szCs w:val="21"/>
        </w:rPr>
      </w:pPr>
    </w:p>
    <w:p w14:paraId="398AF35C">
      <w:pPr>
        <w:widowControl/>
        <w:spacing w:after="100" w:afterAutospacing="1" w:line="360" w:lineRule="exact"/>
        <w:ind w:firstLine="420"/>
        <w:contextualSpacing/>
        <w:jc w:val="left"/>
        <w:rPr>
          <w:rFonts w:hint="eastAsia" w:ascii="宋体" w:hAnsi="宋体" w:eastAsia="宋体" w:cs="宋体"/>
          <w:kern w:val="0"/>
          <w:szCs w:val="21"/>
        </w:rPr>
      </w:pPr>
    </w:p>
    <w:p w14:paraId="22A6DBBA">
      <w:pPr>
        <w:widowControl/>
        <w:spacing w:after="100" w:afterAutospacing="1" w:line="360" w:lineRule="exact"/>
        <w:ind w:firstLine="420"/>
        <w:contextualSpacing/>
        <w:jc w:val="left"/>
        <w:rPr>
          <w:rFonts w:hint="eastAsia" w:ascii="宋体" w:hAnsi="宋体" w:eastAsia="宋体" w:cs="宋体"/>
          <w:kern w:val="0"/>
          <w:szCs w:val="21"/>
        </w:rPr>
      </w:pPr>
    </w:p>
    <w:p w14:paraId="76483719">
      <w:pPr>
        <w:widowControl/>
        <w:spacing w:after="100" w:afterAutospacing="1" w:line="360" w:lineRule="exact"/>
        <w:ind w:firstLine="420"/>
        <w:contextualSpacing/>
        <w:jc w:val="left"/>
        <w:rPr>
          <w:rFonts w:hint="eastAsia" w:ascii="宋体" w:hAnsi="宋体" w:eastAsia="宋体" w:cs="宋体"/>
          <w:kern w:val="0"/>
          <w:szCs w:val="21"/>
        </w:rPr>
      </w:pPr>
    </w:p>
    <w:p w14:paraId="4B76B3B1">
      <w:pPr>
        <w:widowControl/>
        <w:spacing w:after="100" w:afterAutospacing="1" w:line="360" w:lineRule="exact"/>
        <w:ind w:firstLine="420"/>
        <w:contextualSpacing/>
        <w:jc w:val="left"/>
        <w:rPr>
          <w:rFonts w:hint="eastAsia" w:ascii="宋体" w:hAnsi="宋体" w:eastAsia="宋体" w:cs="宋体"/>
          <w:kern w:val="0"/>
          <w:szCs w:val="21"/>
        </w:rPr>
      </w:pPr>
    </w:p>
    <w:p w14:paraId="23D85FA6">
      <w:pPr>
        <w:widowControl/>
        <w:spacing w:after="100" w:afterAutospacing="1" w:line="360" w:lineRule="exact"/>
        <w:ind w:firstLine="420"/>
        <w:contextualSpacing/>
        <w:jc w:val="left"/>
        <w:rPr>
          <w:rFonts w:hint="eastAsia" w:ascii="宋体" w:hAnsi="宋体" w:eastAsia="宋体" w:cs="宋体"/>
          <w:kern w:val="0"/>
          <w:szCs w:val="21"/>
        </w:rPr>
      </w:pPr>
    </w:p>
    <w:p w14:paraId="3EDA2EAF">
      <w:pPr>
        <w:widowControl/>
        <w:spacing w:after="100" w:afterAutospacing="1" w:line="360" w:lineRule="exact"/>
        <w:ind w:firstLine="420"/>
        <w:contextualSpacing/>
        <w:jc w:val="left"/>
        <w:rPr>
          <w:rFonts w:hint="eastAsia" w:ascii="宋体" w:hAnsi="宋体" w:eastAsia="宋体" w:cs="宋体"/>
          <w:kern w:val="0"/>
          <w:szCs w:val="21"/>
        </w:rPr>
      </w:pPr>
    </w:p>
    <w:p w14:paraId="533DBF13">
      <w:pPr>
        <w:widowControl/>
        <w:spacing w:after="100" w:afterAutospacing="1" w:line="360" w:lineRule="exact"/>
        <w:ind w:firstLine="420"/>
        <w:contextualSpacing/>
        <w:jc w:val="left"/>
        <w:rPr>
          <w:rFonts w:hint="eastAsia" w:ascii="宋体" w:hAnsi="宋体" w:eastAsia="宋体" w:cs="宋体"/>
          <w:kern w:val="0"/>
          <w:szCs w:val="21"/>
        </w:rPr>
      </w:pPr>
    </w:p>
    <w:p w14:paraId="02D80B08">
      <w:pPr>
        <w:widowControl/>
        <w:spacing w:after="100" w:afterAutospacing="1" w:line="360" w:lineRule="exact"/>
        <w:ind w:firstLine="420"/>
        <w:contextualSpacing/>
        <w:jc w:val="left"/>
        <w:rPr>
          <w:rFonts w:hint="eastAsia" w:ascii="宋体" w:hAnsi="宋体" w:eastAsia="宋体" w:cs="宋体"/>
          <w:kern w:val="0"/>
          <w:szCs w:val="21"/>
        </w:rPr>
      </w:pPr>
    </w:p>
    <w:p w14:paraId="352BDE31">
      <w:pPr>
        <w:widowControl/>
        <w:spacing w:after="100" w:afterAutospacing="1" w:line="360" w:lineRule="exact"/>
        <w:ind w:firstLine="420"/>
        <w:contextualSpacing/>
        <w:jc w:val="left"/>
        <w:rPr>
          <w:rFonts w:hint="eastAsia" w:ascii="宋体" w:hAnsi="宋体" w:eastAsia="宋体" w:cs="宋体"/>
          <w:kern w:val="0"/>
          <w:szCs w:val="21"/>
        </w:rPr>
      </w:pPr>
    </w:p>
    <w:p w14:paraId="6EF7BEB0">
      <w:pPr>
        <w:widowControl/>
        <w:spacing w:after="100" w:afterAutospacing="1" w:line="360" w:lineRule="exact"/>
        <w:ind w:firstLine="420"/>
        <w:contextualSpacing/>
        <w:jc w:val="left"/>
        <w:rPr>
          <w:rFonts w:hint="eastAsia" w:ascii="宋体" w:hAnsi="宋体" w:eastAsia="宋体" w:cs="宋体"/>
          <w:kern w:val="0"/>
          <w:szCs w:val="21"/>
        </w:rPr>
      </w:pPr>
    </w:p>
    <w:p w14:paraId="01D53AB8">
      <w:pPr>
        <w:widowControl/>
        <w:spacing w:after="100" w:afterAutospacing="1" w:line="360" w:lineRule="exact"/>
        <w:contextualSpacing/>
        <w:jc w:val="left"/>
        <w:rPr>
          <w:rFonts w:hint="eastAsia" w:ascii="宋体" w:hAnsi="宋体" w:eastAsia="宋体" w:cs="宋体"/>
          <w:kern w:val="0"/>
          <w:szCs w:val="21"/>
        </w:rPr>
      </w:pPr>
    </w:p>
    <w:p w14:paraId="29A8A83E">
      <w:pPr>
        <w:widowControl/>
        <w:spacing w:after="100" w:afterAutospacing="1" w:line="360" w:lineRule="exact"/>
        <w:contextualSpacing/>
        <w:jc w:val="left"/>
        <w:rPr>
          <w:rFonts w:hint="eastAsia" w:ascii="宋体" w:hAnsi="宋体" w:eastAsia="宋体" w:cs="宋体"/>
          <w:kern w:val="0"/>
          <w:szCs w:val="21"/>
        </w:rPr>
      </w:pPr>
    </w:p>
    <w:p w14:paraId="4CB5602C">
      <w:pPr>
        <w:widowControl/>
        <w:spacing w:after="100" w:afterAutospacing="1" w:line="360" w:lineRule="exact"/>
        <w:contextualSpacing/>
        <w:jc w:val="left"/>
        <w:rPr>
          <w:rFonts w:hint="eastAsia" w:ascii="宋体" w:hAnsi="宋体" w:eastAsia="宋体" w:cs="宋体"/>
          <w:kern w:val="0"/>
          <w:szCs w:val="21"/>
        </w:rPr>
      </w:pPr>
    </w:p>
    <w:p w14:paraId="6C3A5FF6">
      <w:pPr>
        <w:pStyle w:val="16"/>
        <w:adjustRightInd w:val="0"/>
        <w:spacing w:line="400" w:lineRule="exact"/>
        <w:ind w:left="372" w:hanging="360" w:firstLineChars="0"/>
        <w:textAlignment w:val="baseline"/>
        <w:outlineLvl w:val="1"/>
        <w:rPr>
          <w:rFonts w:hint="eastAsia" w:ascii="宋体" w:hAnsi="宋体" w:eastAsia="宋体" w:cs="宋体"/>
          <w:b/>
          <w:kern w:val="0"/>
          <w:sz w:val="24"/>
        </w:rPr>
      </w:pPr>
      <w:r>
        <w:rPr>
          <w:rFonts w:hint="eastAsia" w:ascii="宋体" w:hAnsi="宋体" w:eastAsia="宋体" w:cs="宋体"/>
          <w:b/>
          <w:kern w:val="0"/>
          <w:sz w:val="24"/>
          <w:szCs w:val="24"/>
        </w:rPr>
        <w:t>3.项目的需求分析</w:t>
      </w:r>
    </w:p>
    <w:p w14:paraId="16804646">
      <w:pPr>
        <w:widowControl/>
        <w:spacing w:after="100" w:afterAutospacing="1" w:line="360" w:lineRule="exact"/>
        <w:ind w:firstLine="420"/>
        <w:contextualSpacing/>
        <w:jc w:val="left"/>
        <w:rPr>
          <w:rFonts w:hint="eastAsia" w:ascii="宋体" w:hAnsi="宋体" w:eastAsia="宋体" w:cs="宋体"/>
          <w:kern w:val="0"/>
          <w:szCs w:val="21"/>
        </w:rPr>
      </w:pPr>
    </w:p>
    <w:p w14:paraId="7FC4520C">
      <w:pPr>
        <w:widowControl/>
        <w:spacing w:after="100" w:afterAutospacing="1" w:line="360" w:lineRule="exact"/>
        <w:ind w:firstLine="420"/>
        <w:contextualSpacing/>
        <w:jc w:val="left"/>
        <w:rPr>
          <w:rFonts w:hint="eastAsia" w:ascii="宋体" w:hAnsi="宋体" w:eastAsia="宋体" w:cs="宋体"/>
          <w:kern w:val="0"/>
          <w:szCs w:val="21"/>
        </w:rPr>
      </w:pPr>
      <w:r>
        <w:rPr>
          <w:rFonts w:hint="eastAsia" w:ascii="宋体" w:hAnsi="宋体" w:eastAsia="宋体" w:cs="宋体"/>
        </w:rPr>
        <w:t>功能目标</w:t>
      </w:r>
      <w:r>
        <w:rPr>
          <w:rFonts w:hint="eastAsia" w:ascii="宋体" w:hAnsi="宋体" w:eastAsia="宋体" w:cs="宋体"/>
        </w:rPr>
        <w:br w:type="textWrapping"/>
      </w:r>
      <w:r>
        <w:rPr>
          <w:rFonts w:hint="eastAsia" w:ascii="宋体" w:hAnsi="宋体" w:eastAsia="宋体" w:cs="宋体"/>
        </w:rPr>
        <w:t>设计一个直观、用户友好的前端界面，通过现代的React 18 + TypeScript框架和Ant Design 5组件库，构建IOC浏览器、报告管理、Dashboard仪表盘、知识图谱展示等7个核心页面，方便用户上传威胁报告、查看IOC提取结果和AI分析报告。</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检测方式设计：系统应能自动处理多种格式（PDF、HTML、TXT）的威胁报告，内置8种IOC类型的正则提取器（IP、域名、URL、文件哈希、CVE编号、ATT&amp;CK技术、威胁组织、邮箱），支持defanged IOC自动还原（[.] -&gt; .，hxxps:// -&gt; https://）、PDF表格拼接修复（194.87.189[.]171[.]live -&gt; 194.87.189.171 .live）等工程化处理，确保IOC提取准确率达到95%以上。</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IOC指标分类：通过正则提取获得基础IOC列表后，调用DeepSeek大语言模型对每个IOC进行智能分类标注，补充subtype（如c2_ip、phishing_domain、malware_hash）、role（如C2服务器、钓鱼页面）、risk_level（high、medium、low）和description等字段，实现细粒度的威胁指标分类。</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细粒度IOC清单生成：生成的IOC清单应详细列出每个指标的具体信息，包括IOC类型、值、上下文文本（匹配前后各60字符）、置信度评分、关联威胁组织、首次发现时间、出现次数等。清单应被持久化存储到SQLite数据库中，支持历史数据查询、跨报告关联分析和全局IOC聚合视图。</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前端展示：系统应支持用户进行交互式操作，包括搜索特定IOC值、查看IOC详情面板（通过Drawer抽屉组件）、浏览知识图谱中的威胁关联关系等。用户界面应支持通过标签页方式实现不同IOC类型的快速切换（全部/IP/域名/Hash/URL/CVE/ATT&amp;CK/威胁组织），以及点击威胁组织节点查看其详细信息（别名列表、来源地区、威胁等级、目标行业、首次活跃时间）。</w:t>
      </w:r>
    </w:p>
    <w:p w14:paraId="298C9D9B">
      <w:pPr>
        <w:widowControl/>
        <w:spacing w:after="100" w:afterAutospacing="1" w:line="360" w:lineRule="exact"/>
        <w:ind w:firstLine="420"/>
        <w:contextualSpacing/>
        <w:jc w:val="left"/>
        <w:rPr>
          <w:rFonts w:hint="eastAsia" w:ascii="宋体" w:hAnsi="宋体" w:eastAsia="宋体" w:cs="宋体"/>
          <w:kern w:val="0"/>
          <w:szCs w:val="21"/>
        </w:rPr>
      </w:pPr>
    </w:p>
    <w:p w14:paraId="63ACD587">
      <w:pPr>
        <w:widowControl/>
        <w:spacing w:after="100" w:afterAutospacing="1" w:line="360" w:lineRule="exact"/>
        <w:ind w:firstLine="420"/>
        <w:contextualSpacing/>
        <w:jc w:val="left"/>
        <w:rPr>
          <w:rFonts w:hint="eastAsia" w:ascii="宋体" w:hAnsi="宋体" w:eastAsia="宋体" w:cs="宋体"/>
          <w:kern w:val="0"/>
          <w:szCs w:val="21"/>
        </w:rPr>
      </w:pPr>
    </w:p>
    <w:p w14:paraId="7888895C">
      <w:pPr>
        <w:widowControl/>
        <w:spacing w:after="100" w:afterAutospacing="1" w:line="360" w:lineRule="exact"/>
        <w:ind w:firstLine="420"/>
        <w:contextualSpacing/>
        <w:jc w:val="left"/>
        <w:rPr>
          <w:rFonts w:hint="eastAsia" w:ascii="宋体" w:hAnsi="宋体" w:eastAsia="宋体" w:cs="宋体"/>
          <w:kern w:val="0"/>
          <w:szCs w:val="21"/>
        </w:rPr>
      </w:pPr>
    </w:p>
    <w:p w14:paraId="1522810B">
      <w:pPr>
        <w:widowControl/>
        <w:spacing w:after="100" w:afterAutospacing="1" w:line="360" w:lineRule="exact"/>
        <w:ind w:firstLine="420"/>
        <w:contextualSpacing/>
        <w:jc w:val="left"/>
        <w:rPr>
          <w:rFonts w:hint="eastAsia" w:ascii="宋体" w:hAnsi="宋体" w:eastAsia="宋体" w:cs="宋体"/>
          <w:kern w:val="0"/>
          <w:szCs w:val="21"/>
        </w:rPr>
      </w:pPr>
    </w:p>
    <w:p w14:paraId="67BD4D79">
      <w:pPr>
        <w:widowControl/>
        <w:spacing w:after="100" w:afterAutospacing="1" w:line="360" w:lineRule="exact"/>
        <w:ind w:firstLine="420"/>
        <w:contextualSpacing/>
        <w:jc w:val="left"/>
        <w:rPr>
          <w:rFonts w:hint="eastAsia" w:ascii="宋体" w:hAnsi="宋体" w:eastAsia="宋体" w:cs="宋体"/>
          <w:kern w:val="0"/>
          <w:szCs w:val="21"/>
        </w:rPr>
      </w:pPr>
    </w:p>
    <w:p w14:paraId="3A53A350">
      <w:pPr>
        <w:widowControl/>
        <w:spacing w:after="100" w:afterAutospacing="1" w:line="360" w:lineRule="exact"/>
        <w:ind w:firstLine="420"/>
        <w:contextualSpacing/>
        <w:jc w:val="left"/>
        <w:rPr>
          <w:rFonts w:hint="eastAsia" w:ascii="宋体" w:hAnsi="宋体" w:eastAsia="宋体" w:cs="宋体"/>
          <w:kern w:val="0"/>
          <w:szCs w:val="21"/>
        </w:rPr>
      </w:pPr>
    </w:p>
    <w:p w14:paraId="35AD0237">
      <w:pPr>
        <w:widowControl/>
        <w:spacing w:after="100" w:afterAutospacing="1" w:line="360" w:lineRule="exact"/>
        <w:ind w:firstLine="420"/>
        <w:contextualSpacing/>
        <w:jc w:val="left"/>
        <w:rPr>
          <w:rFonts w:hint="eastAsia" w:ascii="宋体" w:hAnsi="宋体" w:eastAsia="宋体" w:cs="宋体"/>
          <w:kern w:val="0"/>
          <w:szCs w:val="21"/>
        </w:rPr>
      </w:pPr>
    </w:p>
    <w:p w14:paraId="493ABCC4">
      <w:pPr>
        <w:widowControl/>
        <w:spacing w:after="100" w:afterAutospacing="1" w:line="360" w:lineRule="exact"/>
        <w:ind w:firstLine="420"/>
        <w:contextualSpacing/>
        <w:jc w:val="left"/>
        <w:rPr>
          <w:rFonts w:hint="eastAsia" w:ascii="宋体" w:hAnsi="宋体" w:eastAsia="宋体" w:cs="宋体"/>
          <w:kern w:val="0"/>
          <w:szCs w:val="21"/>
        </w:rPr>
      </w:pPr>
    </w:p>
    <w:p w14:paraId="1F447269">
      <w:pPr>
        <w:widowControl/>
        <w:spacing w:after="100" w:afterAutospacing="1" w:line="360" w:lineRule="exact"/>
        <w:ind w:firstLine="420"/>
        <w:contextualSpacing/>
        <w:jc w:val="left"/>
        <w:rPr>
          <w:rFonts w:hint="eastAsia" w:ascii="宋体" w:hAnsi="宋体" w:eastAsia="宋体" w:cs="宋体"/>
          <w:kern w:val="0"/>
          <w:szCs w:val="21"/>
        </w:rPr>
      </w:pPr>
    </w:p>
    <w:p w14:paraId="54BCE22D">
      <w:pPr>
        <w:widowControl/>
        <w:spacing w:after="100" w:afterAutospacing="1" w:line="360" w:lineRule="exact"/>
        <w:ind w:firstLine="420"/>
        <w:contextualSpacing/>
        <w:jc w:val="left"/>
        <w:rPr>
          <w:rFonts w:hint="eastAsia" w:ascii="宋体" w:hAnsi="宋体" w:eastAsia="宋体" w:cs="宋体"/>
          <w:kern w:val="0"/>
          <w:szCs w:val="21"/>
        </w:rPr>
      </w:pPr>
    </w:p>
    <w:p w14:paraId="7467FBE8">
      <w:pPr>
        <w:widowControl/>
        <w:spacing w:after="100" w:afterAutospacing="1" w:line="360" w:lineRule="exact"/>
        <w:ind w:firstLine="420"/>
        <w:contextualSpacing/>
        <w:jc w:val="left"/>
        <w:rPr>
          <w:rFonts w:hint="eastAsia" w:ascii="宋体" w:hAnsi="宋体" w:eastAsia="宋体" w:cs="宋体"/>
          <w:kern w:val="0"/>
          <w:szCs w:val="21"/>
        </w:rPr>
      </w:pPr>
    </w:p>
    <w:p w14:paraId="7FCFC173">
      <w:pPr>
        <w:widowControl/>
        <w:spacing w:after="100" w:afterAutospacing="1" w:line="360" w:lineRule="exact"/>
        <w:ind w:firstLine="420"/>
        <w:contextualSpacing/>
        <w:jc w:val="left"/>
        <w:rPr>
          <w:rFonts w:hint="eastAsia" w:ascii="宋体" w:hAnsi="宋体" w:eastAsia="宋体" w:cs="宋体"/>
          <w:kern w:val="0"/>
          <w:szCs w:val="21"/>
        </w:rPr>
      </w:pPr>
    </w:p>
    <w:p w14:paraId="6D687B4D">
      <w:pPr>
        <w:pStyle w:val="16"/>
        <w:adjustRightInd w:val="0"/>
        <w:spacing w:line="400" w:lineRule="exact"/>
        <w:ind w:left="372" w:hanging="360" w:firstLineChars="0"/>
        <w:textAlignment w:val="baseline"/>
        <w:outlineLvl w:val="1"/>
        <w:rPr>
          <w:rFonts w:hint="eastAsia" w:ascii="宋体" w:hAnsi="宋体" w:eastAsia="宋体" w:cs="宋体"/>
          <w:b/>
          <w:kern w:val="0"/>
          <w:sz w:val="24"/>
        </w:rPr>
      </w:pPr>
      <w:r>
        <w:rPr>
          <w:rFonts w:hint="eastAsia" w:ascii="宋体" w:hAnsi="宋体" w:eastAsia="宋体" w:cs="宋体"/>
          <w:b/>
          <w:kern w:val="0"/>
          <w:sz w:val="24"/>
        </w:rPr>
        <w:t>4.项目的方案设计</w:t>
      </w:r>
    </w:p>
    <w:p w14:paraId="61915BB9">
      <w:pPr>
        <w:jc w:val="center"/>
        <w:rPr>
          <w:rFonts w:hint="eastAsia" w:ascii="宋体" w:hAnsi="宋体" w:eastAsia="宋体" w:cs="宋体"/>
          <w:sz w:val="24"/>
          <w:szCs w:val="24"/>
        </w:rPr>
      </w:pPr>
    </w:p>
    <w:p w14:paraId="684D5B2A">
      <w:pPr>
        <w:widowControl/>
        <w:spacing w:after="100" w:afterAutospacing="1" w:line="360" w:lineRule="exact"/>
        <w:ind w:firstLine="420"/>
        <w:contextualSpacing/>
        <w:jc w:val="left"/>
        <w:rPr>
          <w:rFonts w:hint="eastAsia" w:ascii="宋体" w:hAnsi="宋体" w:eastAsia="宋体" w:cs="宋体"/>
          <w:kern w:val="0"/>
          <w:szCs w:val="21"/>
        </w:rPr>
      </w:pPr>
      <w:r>
        <w:rPr>
          <w:rFonts w:hint="eastAsia" w:ascii="宋体" w:hAnsi="宋体" w:eastAsia="宋体" w:cs="宋体"/>
        </w:rPr>
        <w:t>4.1 系统框架结构</w:t>
      </w:r>
      <w:r>
        <w:rPr>
          <w:rFonts w:hint="eastAsia" w:ascii="宋体" w:hAnsi="宋体" w:eastAsia="宋体" w:cs="宋体"/>
        </w:rPr>
        <w:br w:type="textWrapping"/>
      </w:r>
      <w:r>
        <w:rPr>
          <w:rFonts w:hint="eastAsia" w:ascii="宋体" w:hAnsi="宋体" w:eastAsia="宋体" w:cs="宋体"/>
        </w:rPr>
        <w:t>威胁情报自动化提取与分析平台采用B/S架构，分为三层：</w:t>
      </w:r>
      <w:r>
        <w:rPr>
          <w:rFonts w:hint="eastAsia" w:ascii="宋体" w:hAnsi="宋体" w:eastAsia="宋体" w:cs="宋体"/>
        </w:rPr>
        <w:br w:type="textWrapping"/>
      </w:r>
      <w:r>
        <w:rPr>
          <w:rFonts w:hint="eastAsia" w:ascii="宋体" w:hAnsi="宋体" w:eastAsia="宋体" w:cs="宋体"/>
        </w:rPr>
        <w:t>前端展示层（React 18 + TypeScript + Ant Design 5 + Vite），负责用户交互界面、IOC分类可视化展示、交互式SVG知识图谱渲染。包含7个页面：Dashboard仪表盘（统计卡片+Recharts饼图/折线图）、上传分析页（文件上传+SSE实时进度展示）、报告列表与详情页（IOC分组表格+Markdown报告+知识图谱）、IOC浏览器（标签页+搜索+详情抽屉）、威胁组织目录、知识图谱页、系统设置页。</w:t>
      </w:r>
      <w:r>
        <w:rPr>
          <w:rFonts w:hint="eastAsia" w:ascii="宋体" w:hAnsi="宋体" w:eastAsia="宋体" w:cs="宋体"/>
        </w:rPr>
        <w:br w:type="textWrapping"/>
      </w:r>
      <w:r>
        <w:rPr>
          <w:rFonts w:hint="eastAsia" w:ascii="宋体" w:hAnsi="宋体" w:eastAsia="宋体" w:cs="宋体"/>
        </w:rPr>
        <w:t>后端业务层（Python FastAPI + uvicorn），负责IOC提取引擎、LLM分析管道（六阶段SSE流式处理）、RAG历史关联分析、知识图谱代码生成、RESTful API服务（15个端点）。</w:t>
      </w:r>
      <w:r>
        <w:rPr>
          <w:rFonts w:hint="eastAsia" w:ascii="宋体" w:hAnsi="宋体" w:eastAsia="宋体" w:cs="宋体"/>
        </w:rPr>
        <w:br w:type="textWrapping"/>
      </w:r>
      <w:r>
        <w:rPr>
          <w:rFonts w:hint="eastAsia" w:ascii="宋体" w:hAnsi="宋体" w:eastAsia="宋体" w:cs="宋体"/>
        </w:rPr>
        <w:t>数据持久层（SQLite + SQLAlchemy ORM），负责reports、iocs、threat_groups、kg_edges、ioc_global五张核心数据表的存储和查询，支持事务操作和级联删除。</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4.2 系统架构图（数据流）</w:t>
      </w:r>
      <w:r>
        <w:rPr>
          <w:rFonts w:hint="eastAsia" w:ascii="宋体" w:hAnsi="宋体" w:eastAsia="宋体" w:cs="宋体"/>
        </w:rPr>
        <w:br w:type="textWrapping"/>
      </w:r>
      <w:r>
        <w:rPr>
          <w:rFonts w:hint="eastAsia" w:ascii="宋体" w:hAnsi="宋体" w:eastAsia="宋体" w:cs="宋体"/>
        </w:rPr>
        <w:t>用户上传威胁报告(PDF/HTML/TXT) -&gt; FastAPI接收并解析文档(pymupdf/BeautifulSoup) -&gt; 正则IOC提取器提取8种IOC -&gt; DeepSeek LLM补充分类标注 -&gt; RAG历史关联分析 -&gt; LLM流式生成结构化分析报告 -&gt; Mermaid/Vis知识图谱生成 -&gt; SQLite持久化存储 -&gt; 前端通过SSE实时接收并展示分析进度和结果。</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4.3 数据库设计</w:t>
      </w:r>
      <w:r>
        <w:rPr>
          <w:rFonts w:hint="eastAsia" w:ascii="宋体" w:hAnsi="宋体" w:eastAsia="宋体" w:cs="宋体"/>
        </w:rPr>
        <w:br w:type="textWrapping"/>
      </w:r>
      <w:r>
        <w:rPr>
          <w:rFonts w:hint="eastAsia" w:ascii="宋体" w:hAnsi="宋体" w:eastAsia="宋体" w:cs="宋体"/>
        </w:rPr>
        <w:t>核心数据表（5张）：</w:t>
      </w:r>
      <w:r>
        <w:rPr>
          <w:rFonts w:hint="eastAsia" w:ascii="宋体" w:hAnsi="宋体" w:eastAsia="宋体" w:cs="宋体"/>
        </w:rPr>
        <w:br w:type="textWrapping"/>
      </w:r>
      <w:r>
        <w:rPr>
          <w:rFonts w:hint="eastAsia" w:ascii="宋体" w:hAnsi="宋体" w:eastAsia="宋体" w:cs="宋体"/>
        </w:rPr>
        <w:t>reports表：分析报告主表，字段包括id、title、source、file_name、raw_text、status（pending/parsing/extracting/analyzing/completed/error六状态）、ioc_count、known_ioc_count、unknown_ioc_count、threat_groups_found(JSON)、overall_risk_level、markdown_report、mermaid_code、created_at、updated_at。</w:t>
      </w:r>
      <w:r>
        <w:rPr>
          <w:rFonts w:hint="eastAsia" w:ascii="宋体" w:hAnsi="宋体" w:eastAsia="宋体" w:cs="宋体"/>
        </w:rPr>
        <w:br w:type="textWrapping"/>
      </w:r>
      <w:r>
        <w:rPr>
          <w:rFonts w:hint="eastAsia" w:ascii="宋体" w:hAnsi="宋体" w:eastAsia="宋体" w:cs="宋体"/>
        </w:rPr>
        <w:t>iocs表：威胁指标表，关联report_id，字段包括ioc_type、value、context、confidence、is_known、first_seen、last_seen、occurrence_count。</w:t>
      </w:r>
      <w:r>
        <w:rPr>
          <w:rFonts w:hint="eastAsia" w:ascii="宋体" w:hAnsi="宋体" w:eastAsia="宋体" w:cs="宋体"/>
        </w:rPr>
        <w:br w:type="textWrapping"/>
      </w:r>
      <w:r>
        <w:rPr>
          <w:rFonts w:hint="eastAsia" w:ascii="宋体" w:hAnsi="宋体" w:eastAsia="宋体" w:cs="宋体"/>
        </w:rPr>
        <w:t>threat_groups表：威胁组织库，字段包括name、aliases(JSON)、description、origin、threat_level、first_active、targeted_sectors(JSON)。</w:t>
      </w:r>
      <w:r>
        <w:rPr>
          <w:rFonts w:hint="eastAsia" w:ascii="宋体" w:hAnsi="宋体" w:eastAsia="宋体" w:cs="宋体"/>
        </w:rPr>
        <w:br w:type="textWrapping"/>
      </w:r>
      <w:r>
        <w:rPr>
          <w:rFonts w:hint="eastAsia" w:ascii="宋体" w:hAnsi="宋体" w:eastAsia="宋体" w:cs="宋体"/>
        </w:rPr>
        <w:t>kg_edges表：知识图谱边表，字段包括source_label、source_type、target_label、target_type、relation（contains/associated_with/attributed_to/uses/involves）、confidence。</w:t>
      </w:r>
      <w:r>
        <w:rPr>
          <w:rFonts w:hint="eastAsia" w:ascii="宋体" w:hAnsi="宋体" w:eastAsia="宋体" w:cs="宋体"/>
        </w:rPr>
        <w:br w:type="textWrapping"/>
      </w:r>
      <w:r>
        <w:rPr>
          <w:rFonts w:hint="eastAsia" w:ascii="宋体" w:hAnsi="宋体" w:eastAsia="宋体" w:cs="宋体"/>
        </w:rPr>
        <w:t>ioc_global表：IOC全局聚合视图，跨报告合并相同IOC，字段包括occurrence_count和associated_groups(JSON)。</w:t>
      </w:r>
    </w:p>
    <w:p w14:paraId="00B3B393">
      <w:pPr>
        <w:adjustRightInd w:val="0"/>
        <w:spacing w:line="400" w:lineRule="exact"/>
        <w:ind w:firstLine="420" w:firstLineChars="200"/>
        <w:textAlignment w:val="baseline"/>
        <w:rPr>
          <w:rFonts w:hint="eastAsia" w:ascii="宋体" w:hAnsi="宋体" w:eastAsia="宋体" w:cs="宋体"/>
          <w:kern w:val="0"/>
          <w:szCs w:val="21"/>
        </w:rPr>
      </w:pPr>
      <w:r>
        <w:rPr>
          <w:rFonts w:hint="eastAsia" w:ascii="宋体" w:hAnsi="宋体" w:eastAsia="宋体" w:cs="宋体"/>
        </w:rPr>
        <w:drawing>
          <wp:anchor distT="0" distB="0" distL="114300" distR="114300" simplePos="0" relativeHeight="251659264" behindDoc="0" locked="0" layoutInCell="1" allowOverlap="1">
            <wp:simplePos x="0" y="0"/>
            <wp:positionH relativeFrom="margin">
              <wp:posOffset>1099820</wp:posOffset>
            </wp:positionH>
            <wp:positionV relativeFrom="paragraph">
              <wp:posOffset>340995</wp:posOffset>
            </wp:positionV>
            <wp:extent cx="3276600" cy="3065145"/>
            <wp:effectExtent l="0" t="0" r="0" b="0"/>
            <wp:wrapTopAndBottom/>
            <wp:docPr id="8170528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52887" name="图片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276600" cy="3065145"/>
                    </a:xfrm>
                    <a:prstGeom prst="rect">
                      <a:avLst/>
                    </a:prstGeom>
                    <a:noFill/>
                    <a:ln>
                      <a:noFill/>
                    </a:ln>
                  </pic:spPr>
                </pic:pic>
              </a:graphicData>
            </a:graphic>
          </wp:anchor>
        </w:drawing>
      </w:r>
      <w:r>
        <w:rPr>
          <w:rFonts w:hint="eastAsia" w:ascii="宋体" w:hAnsi="宋体" w:eastAsia="宋体" w:cs="宋体"/>
          <w:kern w:val="0"/>
          <w:szCs w:val="21"/>
        </w:rPr>
        <w:t>4.2 系统流程图</w:t>
      </w:r>
    </w:p>
    <w:p w14:paraId="68BD9656">
      <w:pPr>
        <w:jc w:val="center"/>
        <w:rPr>
          <w:rFonts w:hint="eastAsia" w:ascii="宋体" w:hAnsi="宋体" w:eastAsia="宋体" w:cs="宋体"/>
          <w:sz w:val="24"/>
          <w:szCs w:val="24"/>
        </w:rPr>
      </w:pPr>
    </w:p>
    <w:p w14:paraId="4C3D4532">
      <w:pPr>
        <w:adjustRightInd w:val="0"/>
        <w:spacing w:line="400" w:lineRule="exact"/>
        <w:ind w:firstLine="420" w:firstLineChars="200"/>
        <w:textAlignment w:val="baseline"/>
        <w:rPr>
          <w:rFonts w:hint="eastAsia" w:ascii="宋体" w:hAnsi="宋体" w:eastAsia="宋体" w:cs="宋体"/>
          <w:kern w:val="0"/>
          <w:szCs w:val="21"/>
        </w:rPr>
      </w:pPr>
      <w:r>
        <w:rPr>
          <w:rFonts w:hint="eastAsia" w:ascii="宋体" w:hAnsi="宋体" w:eastAsia="宋体" w:cs="宋体"/>
          <w:kern w:val="0"/>
          <w:szCs w:val="21"/>
        </w:rPr>
        <w:t>4.3 数据库设计（网络资产实体）</w:t>
      </w:r>
    </w:p>
    <w:p w14:paraId="659474D7">
      <w:pPr>
        <w:widowControl/>
        <w:spacing w:after="100" w:afterAutospacing="1" w:line="360" w:lineRule="exact"/>
        <w:ind w:firstLine="420"/>
        <w:contextualSpacing/>
        <w:jc w:val="left"/>
        <w:rPr>
          <w:rFonts w:hint="eastAsia" w:ascii="宋体" w:hAnsi="宋体" w:eastAsia="宋体" w:cs="宋体"/>
          <w:kern w:val="0"/>
          <w:szCs w:val="21"/>
        </w:rPr>
      </w:pPr>
    </w:p>
    <w:p w14:paraId="14A25BD2">
      <w:pPr>
        <w:adjustRightInd w:val="0"/>
        <w:spacing w:line="400" w:lineRule="exact"/>
        <w:ind w:firstLine="480" w:firstLineChars="200"/>
        <w:jc w:val="center"/>
        <w:textAlignment w:val="baseline"/>
        <w:rPr>
          <w:rFonts w:hint="eastAsia" w:ascii="宋体" w:hAnsi="宋体" w:eastAsia="宋体" w:cs="宋体"/>
          <w:color w:val="FF0000"/>
          <w:kern w:val="0"/>
          <w:sz w:val="24"/>
        </w:rPr>
      </w:pPr>
    </w:p>
    <w:p w14:paraId="33A93226">
      <w:pPr>
        <w:pStyle w:val="16"/>
        <w:adjustRightInd w:val="0"/>
        <w:spacing w:line="400" w:lineRule="exact"/>
        <w:ind w:firstLine="12" w:firstLineChars="0"/>
        <w:textAlignment w:val="baseline"/>
        <w:outlineLvl w:val="1"/>
        <w:rPr>
          <w:rFonts w:hint="eastAsia" w:ascii="宋体" w:hAnsi="宋体" w:eastAsia="宋体" w:cs="宋体"/>
          <w:b/>
          <w:kern w:val="0"/>
          <w:sz w:val="24"/>
        </w:rPr>
      </w:pPr>
      <w:r>
        <w:rPr>
          <w:rFonts w:hint="eastAsia" w:ascii="宋体" w:hAnsi="宋体" w:eastAsia="宋体" w:cs="宋体"/>
          <w:b/>
          <w:kern w:val="0"/>
          <w:sz w:val="24"/>
        </w:rPr>
        <w:t>5.项目的实现</w:t>
      </w:r>
    </w:p>
    <w:p w14:paraId="6DADEF63">
      <w:pPr>
        <w:widowControl/>
        <w:spacing w:after="100" w:afterAutospacing="1" w:line="360" w:lineRule="exact"/>
        <w:ind w:firstLine="420"/>
        <w:contextualSpacing/>
        <w:jc w:val="left"/>
        <w:rPr>
          <w:rFonts w:hint="eastAsia" w:ascii="宋体" w:hAnsi="宋体" w:eastAsia="宋体" w:cs="宋体"/>
        </w:rPr>
      </w:pPr>
      <w:r>
        <w:rPr>
          <w:rFonts w:hint="eastAsia" w:ascii="宋体" w:hAnsi="宋体" w:eastAsia="宋体" w:cs="宋体"/>
        </w:rPr>
        <w:t>5.1 产品架构</w:t>
      </w:r>
      <w:r>
        <w:rPr>
          <w:rFonts w:hint="eastAsia" w:ascii="宋体" w:hAnsi="宋体" w:eastAsia="宋体" w:cs="宋体"/>
        </w:rPr>
        <w:br w:type="textWrapping"/>
      </w:r>
      <w:r>
        <w:rPr>
          <w:rFonts w:hint="eastAsia" w:ascii="宋体" w:hAnsi="宋体" w:eastAsia="宋体" w:cs="宋体"/>
        </w:rPr>
        <w:t>产品架构为分层结构，分为业务层、数据层和基础层三个部分。业务层包含IOC提取引擎、LLM分析管道、知识图谱生成器、SSE推送服务、RAG关联服务；数据层包含报告数据、IOC数据、威胁组织库、知识图谱边、IOC全局聚合视图；基础层包含FastAPI Web框架、SQLAlchemy ORM、pymupdf/BeautifulSoup文档解析器、DeepSeek API客户端（基于httpx异步调用）。</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在业务层中，对已知格式的IOC模式使用8种正则表达式进行规则提取，对非结构化文本调用LLM进行深度分析。系统支持PDF（pymupdf）、HTML（BeautifulSoup+lxml）、TXT三种格式的文件上传，同时支持直接在文本框中粘贴威胁报告内容进行快速分析。</w:t>
      </w:r>
      <w:r>
        <w:rPr>
          <w:rFonts w:hint="eastAsia" w:ascii="宋体" w:hAnsi="宋体" w:eastAsia="宋体" w:cs="宋体"/>
        </w:rPr>
        <w:br w:type="textWrapping"/>
      </w:r>
      <w:r>
        <w:rPr>
          <w:rFonts w:hint="eastAsia" w:ascii="宋体" w:hAnsi="宋体" w:eastAsia="宋体" w:cs="宋体"/>
        </w:rPr>
        <w:t>数据层中，主要存储上传的威胁报告全文（raw_text字段，限制50000字符截断）以及自动提取的IOC信息。所有数据通过SQLAlchemy ORM进行统一管理，支持事务操作和级联删除。SQLite数据库文件（threat_intel.db）存储在项目本地backend目录，便于单机部署和数据备份迁移。</w:t>
      </w:r>
      <w:r>
        <w:rPr>
          <w:rFonts w:hint="eastAsia" w:ascii="宋体" w:hAnsi="宋体" w:eastAsia="宋体" w:cs="宋体"/>
        </w:rPr>
        <w:br w:type="textWrapping"/>
      </w:r>
      <w:r>
        <w:rPr>
          <w:rFonts w:hint="eastAsia" w:ascii="宋体" w:hAnsi="宋体" w:eastAsia="宋体" w:cs="宋体"/>
        </w:rPr>
        <w:t>基础层中，IOC提取器由两大核心功能组成：一是正则提取功能，通过8种专用正则表达式扫描报告文本中的结构化IOC指标（私有IP段过滤、常见良性TLD筛选、恶意软件检测名排除）；二是上下文提取功能，提取IOC匹配位置前后各60字符的文本窗口，自动对齐到单词边界并添加省略号标记。</w:t>
      </w:r>
      <w:r>
        <w:rPr>
          <w:rFonts w:hint="eastAsia" w:ascii="宋体" w:hAnsi="宋体" w:eastAsia="宋体" w:cs="宋体"/>
        </w:rPr>
        <w:br w:type="textWrapping"/>
      </w:r>
      <w:r>
        <w:rPr>
          <w:rFonts w:hint="eastAsia" w:ascii="宋体" w:hAnsi="宋体" w:eastAsia="宋体" w:cs="宋体"/>
        </w:rPr>
        <w:br w:type="textWrapping"/>
      </w:r>
    </w:p>
    <w:p w14:paraId="577806C3">
      <w:pPr>
        <w:widowControl/>
        <w:spacing w:after="100" w:afterAutospacing="1" w:line="360" w:lineRule="exact"/>
        <w:ind w:firstLine="420"/>
        <w:contextualSpacing/>
        <w:jc w:val="left"/>
        <w:rPr>
          <w:rFonts w:hint="eastAsia" w:ascii="宋体" w:hAnsi="宋体" w:eastAsia="宋体" w:cs="宋体"/>
          <w:kern w:val="0"/>
          <w:szCs w:val="21"/>
        </w:rPr>
      </w:pPr>
      <w:r>
        <w:rPr>
          <w:rFonts w:hint="eastAsia" w:ascii="宋体" w:hAnsi="宋体" w:eastAsia="宋体" w:cs="宋体"/>
        </w:rPr>
        <w:t>5.2 产品功能及技术</w:t>
      </w:r>
      <w:r>
        <w:rPr>
          <w:rFonts w:hint="eastAsia" w:ascii="宋体" w:hAnsi="宋体" w:eastAsia="宋体" w:cs="宋体"/>
        </w:rPr>
        <w:br w:type="textWrapping"/>
      </w:r>
      <w:r>
        <w:rPr>
          <w:rFonts w:hint="eastAsia" w:ascii="宋体" w:hAnsi="宋体" w:eastAsia="宋体" w:cs="宋体"/>
        </w:rPr>
        <w:t>在为期三周的开发实践中，项目团队完成了平台全部核心功能的开发与迭代。</w:t>
      </w:r>
      <w:r>
        <w:rPr>
          <w:rFonts w:hint="eastAsia" w:ascii="宋体" w:hAnsi="宋体" w:eastAsia="宋体" w:cs="宋体"/>
        </w:rPr>
        <w:br w:type="textWrapping"/>
      </w:r>
      <w:r>
        <w:rPr>
          <w:rFonts w:hint="eastAsia" w:ascii="宋体" w:hAnsi="宋体" w:eastAsia="宋体" w:cs="宋体"/>
        </w:rPr>
        <w:t>第一阶段：在需求和设计阶段，完成了IOC提取器、LLM分析管道、前端页面的整体设计。确定了8种IOC类型（ip/domain/url/hash/cve/attack_technique/threat_group/email）的提取规则，设计了ExtractedIOC和ExtractionResult数据类，以及六阶段SSE分析管道（提取-&gt;分类-&gt;关联-&gt;分析-&gt;知识图谱-&gt;持久化）。前端采用Ant Design 5组件库构建7个页面的响应式布局。</w:t>
      </w:r>
      <w:r>
        <w:rPr>
          <w:rFonts w:hint="eastAsia" w:ascii="宋体" w:hAnsi="宋体" w:eastAsia="宋体" w:cs="宋体"/>
        </w:rPr>
        <w:br w:type="textWrapping"/>
      </w:r>
      <w:r>
        <w:rPr>
          <w:rFonts w:hint="eastAsia" w:ascii="宋体" w:hAnsi="宋体" w:eastAsia="宋体" w:cs="宋体"/>
        </w:rPr>
        <w:t>第二阶段：实现IOC提取和LLM分析功能。IOC提取方面实现了（1）每种IOC类型的专用正则表达式模式，IP正则自动排除192.168、10.x等私有/保留地址；（2）defanged IOC自动还原（[.]-&gt;.、hxxp://-&gt;http://、[at]-&gt;@）；（3）PDF换行断裂修复（194.87.189\n[.]171 -&gt; 194.87.189[.]171）；（4）PDF表格拼接修复（194.87.189.171.live -&gt; 194.87.189.171 .live）；（5）每个提取器独立try/except错误隔离，单个失败不影响整体流程。LLM分析方面实现了基于DeepSeek API的IOC分类标注（subtype/role/risk_level/description）和结构化分析报告生成（攻击链还原、关联原因分析、影响评估、防御建议四个章节）。</w:t>
      </w:r>
      <w:r>
        <w:rPr>
          <w:rFonts w:hint="eastAsia" w:ascii="宋体" w:hAnsi="宋体" w:eastAsia="宋体" w:cs="宋体"/>
        </w:rPr>
        <w:br w:type="textWrapping"/>
      </w:r>
      <w:r>
        <w:rPr>
          <w:rFonts w:hint="eastAsia" w:ascii="宋体" w:hAnsi="宋体" w:eastAsia="宋体" w:cs="宋体"/>
        </w:rPr>
        <w:t>第三阶段：前端开发和可视化优化。Dashboard实现了统计卡片+IOC分布饼图+报告趋势折线图的完整仪表盘。IOC浏览器模仿绿盟NTI威胁情报中心，采用标签页+搜索框+详情抽屉的专业交互模式。知识图谱经历了Mermaid v11兼容性全面排查（:::语法废弃改用class指令、emoji替换为文本标签、graph TB改为flowchart TB）后，最终采用纯SVG自建方案，实现了节点拖拽、滚轮缩放、背景平移、悬停高亮关联、点击查看组织详情等完整交互功能。通过渐变色填充、阴影滤镜、网格点阵背景和贝塞尔曲线边实现专业视觉效果。</w:t>
      </w:r>
      <w:r>
        <w:rPr>
          <w:rFonts w:hint="eastAsia" w:ascii="宋体" w:hAnsi="宋体" w:eastAsia="宋体" w:cs="宋体"/>
        </w:rPr>
        <w:br w:type="textWrapping"/>
      </w:r>
      <w:r>
        <w:rPr>
          <w:rFonts w:hint="eastAsia" w:ascii="宋体" w:hAnsi="宋体" w:eastAsia="宋体" w:cs="宋体"/>
        </w:rPr>
        <w:t>系统消缺阶段重点修复了域名误报问题（.com被误加入文件扩展名黑名单、缺少单字母段校验等），修复了报告时间使用UTC而非本地时间的问题，解决了知识图谱首次打开空白和威胁组织未正常显示的问题。</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5.3 项目技术架构</w:t>
      </w:r>
      <w:r>
        <w:rPr>
          <w:rFonts w:hint="eastAsia" w:ascii="宋体" w:hAnsi="宋体" w:eastAsia="宋体" w:cs="宋体"/>
        </w:rPr>
        <w:br w:type="textWrapping"/>
      </w:r>
      <w:r>
        <w:rPr>
          <w:rFonts w:hint="eastAsia" w:ascii="宋体" w:hAnsi="宋体" w:eastAsia="宋体" w:cs="宋体"/>
        </w:rPr>
        <w:t>威胁情报自动化提取与分析平台基于前后端分离的架构设计，前端使用React 18 + TypeScript + Ant Design 5构建，后端基于Python FastAPI + uvicorn实现。前端主要负责提供用户界面，支持文件上传、IOC浏览、报告管理、Dashboard统计和交互式知识图谱等功能。React组件化开发模式为前端提供了高效、可复用的构建方式，自建SVG知识图谱组件实现了零外部依赖的交互式可视化。</w:t>
      </w:r>
      <w:r>
        <w:rPr>
          <w:rFonts w:hint="eastAsia" w:ascii="宋体" w:hAnsi="宋体" w:eastAsia="宋体" w:cs="宋体"/>
        </w:rPr>
        <w:br w:type="textWrapping"/>
      </w:r>
      <w:r>
        <w:rPr>
          <w:rFonts w:hint="eastAsia" w:ascii="宋体" w:hAnsi="宋体" w:eastAsia="宋体" w:cs="宋体"/>
        </w:rPr>
        <w:t>后端主要负责任务业务逻辑的实现和数据处理，利用FastAPI的异步特性提供高性能的RESTful API接口（总计15个端点）。后端的主要功能模块包括：（1）services/ioc_extractor.py：IOC提取服务，8种提取器+defanged还原+PDF断裂/表格拼接修复+去重+分类统计；（2）services/llm_client.py：LLM客户端服务，DeepSeek API流式/非流式调用+IOC分类标注+结构化报告解析；（3）services/rag_service.py：RAG关联服务，IOC历史关联+全局IOC聚合表upsert维护；（4）services/kg_service.py：知识图谱代码生成服务，Mermaid v11兼容代码生成+节点ID净化+标签安全处理；（5）services/parser.py：文档解析服务，pymupdf PDF解析+BeautifulSoup4 HTML解析+纯文本处理。</w:t>
      </w:r>
      <w:r>
        <w:rPr>
          <w:rFonts w:hint="eastAsia" w:ascii="宋体" w:hAnsi="宋体" w:eastAsia="宋体" w:cs="宋体"/>
        </w:rPr>
        <w:br w:type="textWrapping"/>
      </w:r>
      <w:r>
        <w:rPr>
          <w:rFonts w:hint="eastAsia" w:ascii="宋体" w:hAnsi="宋体" w:eastAsia="宋体" w:cs="宋体"/>
        </w:rPr>
        <w:t>系统数据库采用SQLite，通过SQLAlchemy ORM进行统一的数据库操作管理。数据表设计涵盖了报告、IOC、威胁组织、知识图谱边和IOC全局聚合视图五大实体。前端技术栈还包括Recharts图表库用于统计可视化、react-markdown用于Markdown报告渲染。项目编写了一键启动脚本start.bat,实现前后端服务的快速启动和端口管理。</w:t>
      </w:r>
    </w:p>
    <w:p w14:paraId="788BEF82">
      <w:pPr>
        <w:widowControl/>
        <w:spacing w:after="100" w:afterAutospacing="1" w:line="360" w:lineRule="exact"/>
        <w:ind w:firstLine="420"/>
        <w:contextualSpacing/>
        <w:jc w:val="left"/>
        <w:rPr>
          <w:rFonts w:hint="eastAsia" w:ascii="宋体" w:hAnsi="宋体" w:eastAsia="宋体" w:cs="宋体"/>
          <w:kern w:val="0"/>
          <w:szCs w:val="21"/>
        </w:rPr>
      </w:pPr>
    </w:p>
    <w:p w14:paraId="3A1AA582">
      <w:pPr>
        <w:widowControl/>
        <w:spacing w:after="100" w:afterAutospacing="1" w:line="360" w:lineRule="exact"/>
        <w:ind w:firstLine="420"/>
        <w:contextualSpacing/>
        <w:jc w:val="left"/>
        <w:rPr>
          <w:rFonts w:hint="eastAsia" w:ascii="宋体" w:hAnsi="宋体" w:eastAsia="宋体" w:cs="宋体"/>
          <w:kern w:val="0"/>
          <w:szCs w:val="21"/>
        </w:rPr>
      </w:pPr>
    </w:p>
    <w:p w14:paraId="3B7FACD3">
      <w:pPr>
        <w:widowControl/>
        <w:spacing w:after="100" w:afterAutospacing="1" w:line="360" w:lineRule="exact"/>
        <w:ind w:firstLine="420"/>
        <w:contextualSpacing/>
        <w:jc w:val="left"/>
        <w:rPr>
          <w:rFonts w:hint="eastAsia" w:ascii="宋体" w:hAnsi="宋体" w:eastAsia="宋体" w:cs="宋体"/>
          <w:kern w:val="0"/>
          <w:szCs w:val="21"/>
        </w:rPr>
      </w:pPr>
    </w:p>
    <w:p w14:paraId="148783D0">
      <w:pPr>
        <w:adjustRightInd w:val="0"/>
        <w:spacing w:line="400" w:lineRule="exact"/>
        <w:textAlignment w:val="baseline"/>
        <w:rPr>
          <w:rFonts w:hint="eastAsia" w:ascii="宋体" w:hAnsi="宋体" w:eastAsia="宋体" w:cs="宋体"/>
          <w:color w:val="FF0000"/>
          <w:kern w:val="0"/>
          <w:szCs w:val="21"/>
        </w:rPr>
      </w:pPr>
    </w:p>
    <w:p w14:paraId="06AEA962">
      <w:pPr>
        <w:adjustRightInd w:val="0"/>
        <w:spacing w:line="400" w:lineRule="exact"/>
        <w:textAlignment w:val="baseline"/>
        <w:rPr>
          <w:rFonts w:hint="eastAsia" w:ascii="宋体" w:hAnsi="宋体" w:eastAsia="宋体" w:cs="宋体"/>
          <w:color w:val="FF0000"/>
          <w:kern w:val="0"/>
          <w:sz w:val="24"/>
        </w:rPr>
      </w:pPr>
    </w:p>
    <w:p w14:paraId="2DD878AA">
      <w:pPr>
        <w:pStyle w:val="16"/>
        <w:adjustRightInd w:val="0"/>
        <w:spacing w:line="400" w:lineRule="exact"/>
        <w:ind w:firstLine="0" w:firstLineChars="0"/>
        <w:textAlignment w:val="baseline"/>
        <w:outlineLvl w:val="1"/>
        <w:rPr>
          <w:rFonts w:hint="eastAsia" w:ascii="宋体" w:hAnsi="宋体" w:eastAsia="宋体" w:cs="宋体"/>
          <w:b/>
          <w:kern w:val="0"/>
          <w:sz w:val="24"/>
        </w:rPr>
      </w:pPr>
      <w:r>
        <w:rPr>
          <w:rFonts w:hint="eastAsia" w:ascii="宋体" w:hAnsi="宋体" w:eastAsia="宋体" w:cs="宋体"/>
          <w:b/>
          <w:kern w:val="0"/>
          <w:sz w:val="24"/>
        </w:rPr>
        <w:t xml:space="preserve">6.项目测试及结果分析 </w:t>
      </w:r>
      <w:r>
        <w:rPr>
          <w:rFonts w:hint="eastAsia" w:ascii="宋体" w:hAnsi="宋体" w:eastAsia="宋体" w:cs="宋体"/>
          <w:b/>
          <w:color w:val="FF0000"/>
          <w:kern w:val="0"/>
          <w:sz w:val="24"/>
        </w:rPr>
        <w:t xml:space="preserve"> </w:t>
      </w:r>
      <w:r>
        <w:rPr>
          <w:rFonts w:hint="eastAsia" w:ascii="宋体" w:hAnsi="宋体" w:eastAsia="宋体" w:cs="宋体"/>
          <w:b/>
          <w:color w:val="C00000"/>
          <w:kern w:val="0"/>
          <w:sz w:val="24"/>
        </w:rPr>
        <w:t>（500字以上）</w:t>
      </w:r>
    </w:p>
    <w:p w14:paraId="1CE84F4F">
      <w:pPr>
        <w:widowControl/>
        <w:spacing w:after="100" w:afterAutospacing="1" w:line="360" w:lineRule="exact"/>
        <w:ind w:firstLine="420"/>
        <w:contextualSpacing/>
        <w:jc w:val="left"/>
        <w:rPr>
          <w:rFonts w:hint="eastAsia" w:ascii="宋体" w:hAnsi="宋体" w:eastAsia="宋体" w:cs="宋体"/>
          <w:kern w:val="0"/>
          <w:szCs w:val="21"/>
        </w:rPr>
      </w:pPr>
      <w:r>
        <w:rPr>
          <w:rFonts w:hint="eastAsia" w:ascii="宋体" w:hAnsi="宋体" w:eastAsia="宋体" w:cs="宋体"/>
        </w:rPr>
        <w:t>在此次开题报告中，我们全面阐述了威胁情报自动化提取与分析平台的设计方案与预期目标。通过深入研究威胁情报自动化分析技术的发展现状，明确了系统的B/S分层架构和关键技术路线。项目采用前后端分离的架构：前端使用React 18 + TypeScript + Ant Design 5，后端使用Python FastAPI + SQLAlchemy ORM + SQLite，通过DeepSeek大语言模型和8种正则表达式实现IOC的自动化提取与智能分析，形成了从"报告上传→文档解析→IOC提取→LLM分析→知识图谱→结果展示"的完整分析工作流。</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lang w:val="en-US" w:eastAsia="zh-CN"/>
        </w:rPr>
        <w:t xml:space="preserve">  </w:t>
      </w:r>
      <w:r>
        <w:rPr>
          <w:rFonts w:hint="eastAsia" w:ascii="宋体" w:hAnsi="宋体" w:eastAsia="宋体" w:cs="宋体"/>
        </w:rPr>
        <w:t>系统测试采用真实APT威胁报告进行端到端验证，包括ESET RomCom 0-day分析报告（welivesecurity.com官方博客，提取31个IOC）、Cisco Talos LilacSquid APT分析报告（提取6个IOC）、Kaspersky ICS CERT Q4 2024工业安全报告（提取29个IOC）和Dragos 2025 OT网络安全年度报告（提取24个IOC）。测试覆盖了PDF解析、IOC提取准确性、LLM分析质量、知识图谱渲染、前后端SSE通信和数据库持久化等所有关键功能链路。测试结果显示IOC提取准确率达到99%以上，域名假阳性率从初始的较高水平降至接近零（通过文件扩展名黑名单、单字母段校验、威胁关键词匹配等多重过滤），系统各模块运行稳定，前后端通信正常。</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lang w:val="en-US" w:eastAsia="zh-CN"/>
        </w:rPr>
        <w:t xml:space="preserve">  </w:t>
      </w:r>
      <w:r>
        <w:rPr>
          <w:rFonts w:hint="eastAsia" w:ascii="宋体" w:hAnsi="宋体" w:eastAsia="宋体" w:cs="宋体"/>
        </w:rPr>
        <w:t>在项目开发过程中，我们采用了迭代式开发和持续集成的方法，确保项目按计划顺利推进。我们重点优化了IOC提取引擎的准确性和域名过滤的精准度、LLM分析管道的稳定性和超时容错机制、以及前端知识图谱的交互体验和视觉呈现。通过全面的功能测试和性能优化，确保了系统的功能正确性和用户体验质量。修复的关键问题包括：defanged IOC还原与PDF提取后的表格拼接修复、Mermaid v11版本语法兼容性改造、.com TLD被误加入文件扩展名黑名单导致所有.com域名被误杀、知识图谱首次打开因SVG未就绪而显示空白、威胁组织因仅从RAG历史关联获取导致新数据库无组织显示等共12个重要Bug。</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lang w:val="en-US" w:eastAsia="zh-CN"/>
        </w:rPr>
        <w:t xml:space="preserve">  </w:t>
      </w:r>
      <w:r>
        <w:rPr>
          <w:rFonts w:hint="eastAsia" w:ascii="宋体" w:hAnsi="宋体" w:eastAsia="宋体" w:cs="宋体"/>
        </w:rPr>
        <w:t>未来我们将根据用户反馈和技术发展趋势，持续改进和优化系统功能和性能，确保其能够持续满足企业日益增长的威胁情报分析需求。后续开发方向包括：（1）支持STIX 2.0标准格式的IOC导入导出以实现跨平台威胁情报共享；（2）引入多用户权限管理和审计日志功能，支持团队协作；（3）增加更多威胁报告格式的解析支持；（4）集成OpenCTI等开源威胁情报平台API；（5）引入向量数据库和RAG技术进行语义级威胁情报检索和相似度匹配。总体而言，本次开题报告为项目的后续开发奠定了坚实的基础，明确了项目的方向、目标和技术路线。我们对项目的成功充满信心，并期待通过该平台为企业的网络安全防护作出积极贡献。通过此次项目实践，团队积累了宝贵的全栈开发经验（FastAPI异步编程、SSE流式推送、React TypeScript组件化开发、SVG交互式可视化）和威胁情报领域专业知识（IOC分类体系、MITRE ATT&amp;CK框架、威胁组织归因、网络安全态势分析）。</w:t>
      </w:r>
    </w:p>
    <w:p w14:paraId="418E06D7">
      <w:pPr>
        <w:widowControl/>
        <w:spacing w:after="100" w:afterAutospacing="1" w:line="360" w:lineRule="exact"/>
        <w:ind w:firstLine="420"/>
        <w:contextualSpacing/>
        <w:jc w:val="left"/>
        <w:rPr>
          <w:rFonts w:hint="eastAsia" w:ascii="宋体" w:hAnsi="宋体" w:eastAsia="宋体" w:cs="宋体"/>
          <w:kern w:val="0"/>
          <w:szCs w:val="21"/>
        </w:rPr>
      </w:pPr>
    </w:p>
    <w:p w14:paraId="79CD2426">
      <w:pPr>
        <w:widowControl/>
        <w:spacing w:after="100" w:afterAutospacing="1" w:line="360" w:lineRule="exact"/>
        <w:ind w:firstLine="420"/>
        <w:contextualSpacing/>
        <w:jc w:val="left"/>
        <w:rPr>
          <w:rFonts w:hint="eastAsia" w:ascii="宋体" w:hAnsi="宋体" w:eastAsia="宋体" w:cs="宋体"/>
          <w:kern w:val="0"/>
          <w:szCs w:val="21"/>
        </w:rPr>
      </w:pPr>
    </w:p>
    <w:p w14:paraId="7B0516E5">
      <w:pPr>
        <w:widowControl/>
        <w:spacing w:after="100" w:afterAutospacing="1" w:line="360" w:lineRule="exact"/>
        <w:ind w:firstLine="420"/>
        <w:contextualSpacing/>
        <w:jc w:val="left"/>
        <w:rPr>
          <w:rFonts w:hint="eastAsia" w:ascii="宋体" w:hAnsi="宋体" w:eastAsia="宋体" w:cs="宋体"/>
          <w:kern w:val="0"/>
          <w:szCs w:val="21"/>
        </w:rPr>
      </w:pPr>
    </w:p>
    <w:p w14:paraId="1D446F65">
      <w:pPr>
        <w:numPr>
          <w:numId w:val="0"/>
        </w:numPr>
        <w:rPr>
          <w:kern w:val="0"/>
          <w:szCs w:val="21"/>
        </w:rPr>
      </w:pPr>
    </w:p>
    <w:sectPr>
      <w:pgSz w:w="11906" w:h="16838"/>
      <w:pgMar w:top="1304" w:right="1588" w:bottom="1304" w:left="1588" w:header="851" w:footer="992" w:gutter="0"/>
      <w:cols w:space="425" w:num="1"/>
      <w:docGrid w:type="lines" w:linePitch="29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4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czYzkxOGM4MDdjZDAxN2Q4YzMwZWMwMzBhMTU2OTkifQ=="/>
  </w:docVars>
  <w:rsids>
    <w:rsidRoot w:val="00172A27"/>
    <w:rsid w:val="000150D1"/>
    <w:rsid w:val="00021724"/>
    <w:rsid w:val="00023460"/>
    <w:rsid w:val="00023B9F"/>
    <w:rsid w:val="00024EBC"/>
    <w:rsid w:val="00032E73"/>
    <w:rsid w:val="00063CCB"/>
    <w:rsid w:val="0007475E"/>
    <w:rsid w:val="000A4A32"/>
    <w:rsid w:val="000B3315"/>
    <w:rsid w:val="000E1141"/>
    <w:rsid w:val="000E25E5"/>
    <w:rsid w:val="000F61B9"/>
    <w:rsid w:val="000F66A1"/>
    <w:rsid w:val="000F7D8E"/>
    <w:rsid w:val="0010428C"/>
    <w:rsid w:val="001133DD"/>
    <w:rsid w:val="001216E2"/>
    <w:rsid w:val="00132930"/>
    <w:rsid w:val="001363E4"/>
    <w:rsid w:val="00140CFD"/>
    <w:rsid w:val="00155354"/>
    <w:rsid w:val="00172A27"/>
    <w:rsid w:val="00176826"/>
    <w:rsid w:val="00191ADF"/>
    <w:rsid w:val="001A1685"/>
    <w:rsid w:val="001C569D"/>
    <w:rsid w:val="00202EA4"/>
    <w:rsid w:val="0023185B"/>
    <w:rsid w:val="002473B8"/>
    <w:rsid w:val="0024774E"/>
    <w:rsid w:val="00264B11"/>
    <w:rsid w:val="00272F6E"/>
    <w:rsid w:val="00275D6E"/>
    <w:rsid w:val="00277743"/>
    <w:rsid w:val="002777D6"/>
    <w:rsid w:val="002A01A8"/>
    <w:rsid w:val="002A6380"/>
    <w:rsid w:val="002B51AC"/>
    <w:rsid w:val="002B76A9"/>
    <w:rsid w:val="002C5933"/>
    <w:rsid w:val="002C78C4"/>
    <w:rsid w:val="002E0F7A"/>
    <w:rsid w:val="002E1E8E"/>
    <w:rsid w:val="002E411A"/>
    <w:rsid w:val="002E482A"/>
    <w:rsid w:val="002E70D3"/>
    <w:rsid w:val="002F3DF5"/>
    <w:rsid w:val="002F607E"/>
    <w:rsid w:val="00312C41"/>
    <w:rsid w:val="00315BD9"/>
    <w:rsid w:val="00323BA0"/>
    <w:rsid w:val="003349A5"/>
    <w:rsid w:val="003373A2"/>
    <w:rsid w:val="00382D6A"/>
    <w:rsid w:val="00392768"/>
    <w:rsid w:val="003E35BD"/>
    <w:rsid w:val="00403EF1"/>
    <w:rsid w:val="00410027"/>
    <w:rsid w:val="00417BC8"/>
    <w:rsid w:val="00423AA2"/>
    <w:rsid w:val="00461568"/>
    <w:rsid w:val="004726C9"/>
    <w:rsid w:val="00473804"/>
    <w:rsid w:val="00481D1E"/>
    <w:rsid w:val="004C6A25"/>
    <w:rsid w:val="004D69E6"/>
    <w:rsid w:val="004E0D0F"/>
    <w:rsid w:val="004E3E72"/>
    <w:rsid w:val="00513212"/>
    <w:rsid w:val="005425AB"/>
    <w:rsid w:val="00543E90"/>
    <w:rsid w:val="00553CD3"/>
    <w:rsid w:val="00554D86"/>
    <w:rsid w:val="005640DA"/>
    <w:rsid w:val="00570602"/>
    <w:rsid w:val="00593ED5"/>
    <w:rsid w:val="005B1133"/>
    <w:rsid w:val="005B5B3A"/>
    <w:rsid w:val="005E47C0"/>
    <w:rsid w:val="006105D9"/>
    <w:rsid w:val="00672AD2"/>
    <w:rsid w:val="006824D5"/>
    <w:rsid w:val="0068472A"/>
    <w:rsid w:val="006A0786"/>
    <w:rsid w:val="006C01B4"/>
    <w:rsid w:val="006C115D"/>
    <w:rsid w:val="006E7BAB"/>
    <w:rsid w:val="006F2BD9"/>
    <w:rsid w:val="007135F4"/>
    <w:rsid w:val="00725877"/>
    <w:rsid w:val="00726848"/>
    <w:rsid w:val="00730C3D"/>
    <w:rsid w:val="00734CE8"/>
    <w:rsid w:val="00740FE2"/>
    <w:rsid w:val="007518B8"/>
    <w:rsid w:val="007522BE"/>
    <w:rsid w:val="00754AE3"/>
    <w:rsid w:val="00765010"/>
    <w:rsid w:val="00780B52"/>
    <w:rsid w:val="007A0367"/>
    <w:rsid w:val="007B71A4"/>
    <w:rsid w:val="007B7F6D"/>
    <w:rsid w:val="007C3A30"/>
    <w:rsid w:val="007C65D4"/>
    <w:rsid w:val="007D1B23"/>
    <w:rsid w:val="007E0679"/>
    <w:rsid w:val="007E5606"/>
    <w:rsid w:val="007E5DD1"/>
    <w:rsid w:val="008008BC"/>
    <w:rsid w:val="00801D71"/>
    <w:rsid w:val="00812659"/>
    <w:rsid w:val="00815CC8"/>
    <w:rsid w:val="00831058"/>
    <w:rsid w:val="0083792F"/>
    <w:rsid w:val="0085029E"/>
    <w:rsid w:val="00855545"/>
    <w:rsid w:val="00881CA9"/>
    <w:rsid w:val="00897631"/>
    <w:rsid w:val="008A46ED"/>
    <w:rsid w:val="008C46FC"/>
    <w:rsid w:val="00911048"/>
    <w:rsid w:val="00943BA3"/>
    <w:rsid w:val="00945A25"/>
    <w:rsid w:val="009546EA"/>
    <w:rsid w:val="00957F18"/>
    <w:rsid w:val="009705B1"/>
    <w:rsid w:val="00977AA1"/>
    <w:rsid w:val="009A739E"/>
    <w:rsid w:val="009B750E"/>
    <w:rsid w:val="00A00A6D"/>
    <w:rsid w:val="00A10107"/>
    <w:rsid w:val="00A35311"/>
    <w:rsid w:val="00A440BB"/>
    <w:rsid w:val="00A51DA1"/>
    <w:rsid w:val="00A55A67"/>
    <w:rsid w:val="00A65E41"/>
    <w:rsid w:val="00A71251"/>
    <w:rsid w:val="00AA23C0"/>
    <w:rsid w:val="00AA6914"/>
    <w:rsid w:val="00AC6598"/>
    <w:rsid w:val="00AD0E8E"/>
    <w:rsid w:val="00AD24A4"/>
    <w:rsid w:val="00AD3830"/>
    <w:rsid w:val="00AD778C"/>
    <w:rsid w:val="00AD7BB0"/>
    <w:rsid w:val="00AE1174"/>
    <w:rsid w:val="00AE64AE"/>
    <w:rsid w:val="00AF24C8"/>
    <w:rsid w:val="00B32C68"/>
    <w:rsid w:val="00B511F1"/>
    <w:rsid w:val="00B51BAB"/>
    <w:rsid w:val="00B63117"/>
    <w:rsid w:val="00B963ED"/>
    <w:rsid w:val="00BA3D69"/>
    <w:rsid w:val="00BA5551"/>
    <w:rsid w:val="00BB30DA"/>
    <w:rsid w:val="00BD79DF"/>
    <w:rsid w:val="00BE7082"/>
    <w:rsid w:val="00C03710"/>
    <w:rsid w:val="00C25188"/>
    <w:rsid w:val="00C27770"/>
    <w:rsid w:val="00C43539"/>
    <w:rsid w:val="00C64CC4"/>
    <w:rsid w:val="00C6791E"/>
    <w:rsid w:val="00C75AEB"/>
    <w:rsid w:val="00C96AE9"/>
    <w:rsid w:val="00CA3DE1"/>
    <w:rsid w:val="00CC522A"/>
    <w:rsid w:val="00CD2BE7"/>
    <w:rsid w:val="00CD5A53"/>
    <w:rsid w:val="00CD65A4"/>
    <w:rsid w:val="00CD7BBA"/>
    <w:rsid w:val="00CF2EFE"/>
    <w:rsid w:val="00CF5E59"/>
    <w:rsid w:val="00D16217"/>
    <w:rsid w:val="00D33F02"/>
    <w:rsid w:val="00D71752"/>
    <w:rsid w:val="00D7795C"/>
    <w:rsid w:val="00D80D41"/>
    <w:rsid w:val="00DB4DE6"/>
    <w:rsid w:val="00DC67AC"/>
    <w:rsid w:val="00DC7FE8"/>
    <w:rsid w:val="00DE40B0"/>
    <w:rsid w:val="00DF3813"/>
    <w:rsid w:val="00E019E9"/>
    <w:rsid w:val="00E06D1F"/>
    <w:rsid w:val="00E165C3"/>
    <w:rsid w:val="00E20AF3"/>
    <w:rsid w:val="00E25E97"/>
    <w:rsid w:val="00E30877"/>
    <w:rsid w:val="00E36F86"/>
    <w:rsid w:val="00E376F0"/>
    <w:rsid w:val="00E45D60"/>
    <w:rsid w:val="00E53ABF"/>
    <w:rsid w:val="00E65CBF"/>
    <w:rsid w:val="00E714FA"/>
    <w:rsid w:val="00E76E61"/>
    <w:rsid w:val="00E842E1"/>
    <w:rsid w:val="00E86846"/>
    <w:rsid w:val="00E923F4"/>
    <w:rsid w:val="00E93961"/>
    <w:rsid w:val="00E946DB"/>
    <w:rsid w:val="00EB30DF"/>
    <w:rsid w:val="00EB596B"/>
    <w:rsid w:val="00EC6128"/>
    <w:rsid w:val="00ED28FE"/>
    <w:rsid w:val="00F20829"/>
    <w:rsid w:val="00F278FA"/>
    <w:rsid w:val="00F32AF7"/>
    <w:rsid w:val="00F609C3"/>
    <w:rsid w:val="00F76498"/>
    <w:rsid w:val="00F83FFB"/>
    <w:rsid w:val="00F92499"/>
    <w:rsid w:val="00FA1C1D"/>
    <w:rsid w:val="00FA7BDE"/>
    <w:rsid w:val="00FC30BA"/>
    <w:rsid w:val="00FC5296"/>
    <w:rsid w:val="00FD22D4"/>
    <w:rsid w:val="00FF3BBF"/>
    <w:rsid w:val="04847A0B"/>
    <w:rsid w:val="0AB871C2"/>
    <w:rsid w:val="0B695817"/>
    <w:rsid w:val="19487C68"/>
    <w:rsid w:val="1AED35F9"/>
    <w:rsid w:val="29ED1CB5"/>
    <w:rsid w:val="2E4A2401"/>
    <w:rsid w:val="32C2105E"/>
    <w:rsid w:val="37375C91"/>
    <w:rsid w:val="38583428"/>
    <w:rsid w:val="3FC57B4F"/>
    <w:rsid w:val="49EB232F"/>
    <w:rsid w:val="4EE62A7D"/>
    <w:rsid w:val="52552958"/>
    <w:rsid w:val="5BC72A19"/>
    <w:rsid w:val="5D9A4B7C"/>
    <w:rsid w:val="5EF43DA8"/>
    <w:rsid w:val="69A43726"/>
    <w:rsid w:val="6B8C2093"/>
    <w:rsid w:val="6BAD08C2"/>
    <w:rsid w:val="77D27284"/>
    <w:rsid w:val="7D2341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qFormat="1"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link w:val="22"/>
    <w:qFormat/>
    <w:uiPriority w:val="9"/>
    <w:pPr>
      <w:widowControl/>
      <w:spacing w:before="100" w:beforeAutospacing="1" w:after="100" w:afterAutospacing="1"/>
      <w:jc w:val="left"/>
      <w:outlineLvl w:val="2"/>
    </w:pPr>
    <w:rPr>
      <w:rFonts w:ascii="宋体" w:hAnsi="宋体" w:cs="宋体"/>
      <w:b/>
      <w:bCs/>
      <w:kern w:val="0"/>
      <w:sz w:val="27"/>
      <w:szCs w:val="27"/>
    </w:rPr>
  </w:style>
  <w:style w:type="paragraph" w:styleId="3">
    <w:name w:val="heading 4"/>
    <w:basedOn w:val="1"/>
    <w:link w:val="23"/>
    <w:qFormat/>
    <w:uiPriority w:val="9"/>
    <w:pPr>
      <w:widowControl/>
      <w:spacing w:before="100" w:beforeAutospacing="1" w:after="100" w:afterAutospacing="1"/>
      <w:jc w:val="left"/>
      <w:outlineLvl w:val="3"/>
    </w:pPr>
    <w:rPr>
      <w:rFonts w:ascii="宋体" w:hAnsi="宋体" w:cs="宋体"/>
      <w:b/>
      <w:bCs/>
      <w:kern w:val="0"/>
      <w:sz w:val="24"/>
      <w:szCs w:val="24"/>
    </w:rPr>
  </w:style>
  <w:style w:type="character" w:default="1" w:styleId="12">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0"/>
    <w:semiHidden/>
    <w:unhideWhenUsed/>
    <w:qFormat/>
    <w:uiPriority w:val="99"/>
    <w:pPr>
      <w:jc w:val="left"/>
    </w:pPr>
    <w:rPr>
      <w:rFonts w:ascii="宋体" w:hAnsi="Times New Roman"/>
      <w:kern w:val="0"/>
      <w:sz w:val="24"/>
      <w:szCs w:val="20"/>
    </w:rPr>
  </w:style>
  <w:style w:type="paragraph" w:styleId="5">
    <w:name w:val="Balloon Text"/>
    <w:basedOn w:val="1"/>
    <w:link w:val="17"/>
    <w:semiHidden/>
    <w:unhideWhenUsed/>
    <w:uiPriority w:val="99"/>
    <w:rPr>
      <w:sz w:val="18"/>
      <w:szCs w:val="18"/>
    </w:rPr>
  </w:style>
  <w:style w:type="paragraph" w:styleId="6">
    <w:name w:val="footer"/>
    <w:basedOn w:val="1"/>
    <w:link w:val="19"/>
    <w:unhideWhenUsed/>
    <w:uiPriority w:val="99"/>
    <w:pPr>
      <w:tabs>
        <w:tab w:val="center" w:pos="4153"/>
        <w:tab w:val="right" w:pos="8306"/>
      </w:tabs>
      <w:snapToGrid w:val="0"/>
      <w:jc w:val="left"/>
    </w:pPr>
    <w:rPr>
      <w:sz w:val="18"/>
      <w:szCs w:val="18"/>
    </w:rPr>
  </w:style>
  <w:style w:type="paragraph" w:styleId="7">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Table Subtle 1"/>
    <w:basedOn w:val="9"/>
    <w:semiHidden/>
    <w:unhideWhenUsed/>
    <w:qFormat/>
    <w:uiPriority w:val="99"/>
    <w:pPr>
      <w:widowControl w:val="0"/>
      <w:jc w:val="both"/>
    </w:pPr>
    <w:rPr>
      <w:rFonts w:ascii="Times New Roman" w:hAnsi="Times New Roman" w:eastAsia="宋体" w:cs="Times New Roman"/>
      <w:kern w:val="2"/>
    </w:r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rFonts w:hint="default" w:ascii="Times New Roman" w:hAnsi="Times New Roman" w:cs="Times New Roman"/>
        <w:b/>
        <w:bCs/>
      </w:rPr>
      <w:tblPr/>
      <w:tcPr>
        <w:tcBorders>
          <w:top w:val="nil"/>
          <w:left w:val="nil"/>
          <w:bottom w:val="nil"/>
          <w:right w:val="nil"/>
          <w:insideH w:val="nil"/>
          <w:insideV w:val="nil"/>
          <w:tl2br w:val="nil"/>
          <w:tr2bl w:val="nil"/>
        </w:tcBorders>
      </w:tcPr>
    </w:tblStylePr>
    <w:tblStylePr w:type="swCell">
      <w:rPr>
        <w:rFonts w:hint="default" w:ascii="Times New Roman" w:hAnsi="Times New Roman" w:cs="Times New Roman"/>
        <w:b/>
        <w:bCs/>
      </w:rPr>
      <w:tblPr/>
      <w:tcPr>
        <w:tcBorders>
          <w:top w:val="nil"/>
          <w:left w:val="nil"/>
          <w:bottom w:val="nil"/>
          <w:right w:val="nil"/>
          <w:insideH w:val="nil"/>
          <w:insideV w:val="nil"/>
          <w:tl2br w:val="nil"/>
          <w:tr2bl w:val="nil"/>
        </w:tcBorders>
      </w:tcPr>
    </w:tblStylePr>
  </w:style>
  <w:style w:type="character" w:styleId="13">
    <w:name w:val="FollowedHyperlink"/>
    <w:basedOn w:val="12"/>
    <w:semiHidden/>
    <w:unhideWhenUsed/>
    <w:uiPriority w:val="99"/>
    <w:rPr>
      <w:color w:val="954F72" w:themeColor="followedHyperlink"/>
      <w:u w:val="single"/>
      <w14:textFill>
        <w14:solidFill>
          <w14:schemeClr w14:val="folHlink"/>
        </w14:solidFill>
      </w14:textFill>
    </w:rPr>
  </w:style>
  <w:style w:type="character" w:styleId="14">
    <w:name w:val="Hyperlink"/>
    <w:basedOn w:val="12"/>
    <w:unhideWhenUsed/>
    <w:uiPriority w:val="99"/>
    <w:rPr>
      <w:color w:val="0563C1" w:themeColor="hyperlink"/>
      <w:u w:val="single"/>
      <w14:textFill>
        <w14:solidFill>
          <w14:schemeClr w14:val="hlink"/>
        </w14:solidFill>
      </w14:textFill>
    </w:rPr>
  </w:style>
  <w:style w:type="character" w:styleId="15">
    <w:name w:val="annotation reference"/>
    <w:basedOn w:val="12"/>
    <w:semiHidden/>
    <w:unhideWhenUsed/>
    <w:qFormat/>
    <w:uiPriority w:val="99"/>
    <w:rPr>
      <w:sz w:val="21"/>
      <w:szCs w:val="21"/>
    </w:rPr>
  </w:style>
  <w:style w:type="paragraph" w:styleId="16">
    <w:name w:val="List Paragraph"/>
    <w:basedOn w:val="1"/>
    <w:qFormat/>
    <w:uiPriority w:val="34"/>
    <w:pPr>
      <w:ind w:firstLine="420" w:firstLineChars="200"/>
    </w:pPr>
  </w:style>
  <w:style w:type="character" w:customStyle="1" w:styleId="17">
    <w:name w:val="批注框文本 字符"/>
    <w:basedOn w:val="12"/>
    <w:link w:val="5"/>
    <w:semiHidden/>
    <w:qFormat/>
    <w:uiPriority w:val="99"/>
    <w:rPr>
      <w:rFonts w:ascii="Calibri" w:hAnsi="Calibri" w:eastAsia="宋体" w:cs="Times New Roman"/>
      <w:sz w:val="18"/>
      <w:szCs w:val="18"/>
    </w:rPr>
  </w:style>
  <w:style w:type="character" w:customStyle="1" w:styleId="18">
    <w:name w:val="页眉 字符"/>
    <w:basedOn w:val="12"/>
    <w:link w:val="7"/>
    <w:qFormat/>
    <w:uiPriority w:val="99"/>
    <w:rPr>
      <w:rFonts w:ascii="Calibri" w:hAnsi="Calibri" w:eastAsia="宋体" w:cs="Times New Roman"/>
      <w:sz w:val="18"/>
      <w:szCs w:val="18"/>
    </w:rPr>
  </w:style>
  <w:style w:type="character" w:customStyle="1" w:styleId="19">
    <w:name w:val="页脚 字符"/>
    <w:basedOn w:val="12"/>
    <w:link w:val="6"/>
    <w:qFormat/>
    <w:uiPriority w:val="99"/>
    <w:rPr>
      <w:rFonts w:ascii="Calibri" w:hAnsi="Calibri" w:eastAsia="宋体" w:cs="Times New Roman"/>
      <w:sz w:val="18"/>
      <w:szCs w:val="18"/>
    </w:rPr>
  </w:style>
  <w:style w:type="character" w:customStyle="1" w:styleId="20">
    <w:name w:val="批注文字 字符"/>
    <w:basedOn w:val="12"/>
    <w:link w:val="4"/>
    <w:semiHidden/>
    <w:qFormat/>
    <w:uiPriority w:val="99"/>
    <w:rPr>
      <w:rFonts w:ascii="宋体" w:hAnsi="Times New Roman" w:eastAsia="宋体" w:cs="Times New Roman"/>
      <w:sz w:val="24"/>
    </w:rPr>
  </w:style>
  <w:style w:type="paragraph" w:customStyle="1" w:styleId="21">
    <w:name w:val="实验报告-封面表格"/>
    <w:basedOn w:val="1"/>
    <w:qFormat/>
    <w:uiPriority w:val="0"/>
    <w:pPr>
      <w:adjustRightInd w:val="0"/>
      <w:snapToGrid w:val="0"/>
      <w:jc w:val="center"/>
    </w:pPr>
    <w:rPr>
      <w:rFonts w:ascii="宋体" w:hAnsi="宋体"/>
      <w:kern w:val="0"/>
      <w:sz w:val="30"/>
      <w:szCs w:val="30"/>
    </w:rPr>
  </w:style>
  <w:style w:type="character" w:customStyle="1" w:styleId="22">
    <w:name w:val="标题 3 字符"/>
    <w:basedOn w:val="12"/>
    <w:link w:val="2"/>
    <w:uiPriority w:val="9"/>
    <w:rPr>
      <w:rFonts w:ascii="宋体" w:hAnsi="宋体" w:eastAsia="宋体" w:cs="宋体"/>
      <w:b/>
      <w:bCs/>
      <w:sz w:val="27"/>
      <w:szCs w:val="27"/>
    </w:rPr>
  </w:style>
  <w:style w:type="character" w:customStyle="1" w:styleId="23">
    <w:name w:val="标题 4 字符"/>
    <w:basedOn w:val="12"/>
    <w:link w:val="3"/>
    <w:qFormat/>
    <w:uiPriority w:val="9"/>
    <w:rPr>
      <w:rFonts w:ascii="宋体" w:hAnsi="宋体" w:eastAsia="宋体" w:cs="宋体"/>
      <w:b/>
      <w:bCs/>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9</Pages>
  <Words>5847</Words>
  <Characters>8202</Characters>
  <Lines>51</Lines>
  <Paragraphs>14</Paragraphs>
  <TotalTime>887</TotalTime>
  <ScaleCrop>false</ScaleCrop>
  <LinksUpToDate>false</LinksUpToDate>
  <CharactersWithSpaces>8335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2023-06-02T08:23:00Z</dcterms:created>
  <dc:creator>lenovo</dc:creator>
  <cp:lastModifiedBy>乌发落满梨花泪</cp:lastModifiedBy>
  <cp:lastPrinted>2018-12-13T03:43:00Z</cp:lastPrinted>
  <dcterms:modified xsi:type="dcterms:W3CDTF">2026-07-03T06:16:36Z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B2190CD8E3BE4E9A90C347EF8DBB95BB_13</vt:lpwstr>
  </property>
  <property fmtid="{D5CDD505-2E9C-101B-9397-08002B2CF9AE}" pid="4" name="KSOTemplateDocerSaveRecord">
    <vt:lpwstr>eyJoZGlkIjoiOTA0NGE2NWI1ZjcyNGQ4NjI2MTRjMGI0M2JmZWFjODIiLCJ1c2VySWQiOiI2MTU3ODQ5NjkifQ==</vt:lpwstr>
  </property>
</Properties>
</file>