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270" w:after="90" w:line="272" w:lineRule="auto"/>
        <w:outlineLvl w:val="0"/>
        <w:pBdr>
          <w:bottom w:val="single" w:sz="18" w:space="1" w:color="0D47A1"/>
        </w:pBdr>
      </w:pPr>
      <w:r>
        <w:rPr>
          <w:rFonts w:ascii="Arial" w:hAnsi="Arial" w:eastAsia="Microsoft YaHei" w:cs="Arial"/>
          <w:b/>
          <w:color w:val="0D47A1"/>
          <w:sz w:val="40"/>
        </w:rPr>
        <w:t>投资组合跟踪分析系统 — 全面验证报告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812"/>
        <w:gridCol w:w="8054"/>
      </w:tblGrid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文档日期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2026-04-27（最终更新）</w:t>
            </w:r>
          </w:p>
        </w:tc>
      </w:tr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版本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v3.2 — P0/P1/P2 全量完成 + 数据一致性修复</w:t>
            </w:r>
          </w:p>
        </w:tc>
      </w:tr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涉及 Commit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e5829f0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 xml:space="preserve"> init → 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834b5dc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 xml:space="preserve"> fix (共 15 次提交) </w:t>
            </w:r>
          </w:p>
        </w:tc>
      </w:tr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核心文件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dashboard.py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 xml:space="preserve"> 2,631 行 • </w:t>
            </w:r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portfolio.py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 xml:space="preserve"> 286 行 • </w:t>
            </w:r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database.py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 xml:space="preserve"> 268 行 • </w:t>
            </w:r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position_reader.py</w:t>
            </w:r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 xml:space="preserve"> 138 行 </w:t>
            </w:r>
          </w:p>
        </w:tc>
      </w:tr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技术栈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Python 3.12 / Streamlit / SQLite / Plotly / Selenium / 新浪财经API</w:t>
            </w:r>
          </w:p>
        </w:tc>
      </w:tr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数据范围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2012-05-28 ~ 2026-04-27 — 3,381 个交易日 — 23 只 ETF</w:t>
            </w:r>
          </w:p>
        </w:tc>
      </w:tr>
      <w:tr>
        <w:tc>
          <w:tcPr>
            <w:tcW w:type="dxa" w:w="1812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持仓数据源</w:t>
            </w:r>
          </w:p>
        </w:tc>
        <w:tc>
          <w:tcPr>
            <w:tcW w:type="dxa" w:w="8054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通达信自动导出 (最新: 持仓股20260427.xls)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目录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一、改进路线图总览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二、P0 改进（7/7 完成）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三、P1 改进（10/10 完成）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四、P2 改进（4/4 完成）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五、数据一致性修复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六、持仓数据自动更新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七、全面验证结果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八、系统架构概览</w:t>
      </w:r>
    </w:p>
    <w:p>
      <w:pPr>
        <w:spacing w:before="15" w:after="15" w:line="272" w:lineRule="auto"/>
      </w:pPr>
      <w:r>
        <w:rPr>
          <w:rFonts w:ascii="Arial" w:hAnsi="Arial" w:eastAsia="Microsoft YaHei" w:cs="Arial"/>
          <w:color w:val="1A1A1A"/>
          <w:sz w:val="22"/>
        </w:rPr>
        <w:t>九、已知局限与后续方向</w:t>
      </w: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一、改进路线图总览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系统基线版本 (v1.3) 已具备净值走势、持仓分布、风险概览和收益日历四个核心标签页。经过 P0/P1/P2 三个阶段共 21 项改进，系统现已覆盖专业级投资组合分析工具的核心功能矩阵。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429"/>
        <w:gridCol w:w="3394"/>
        <w:gridCol w:w="900"/>
        <w:gridCol w:w="3243"/>
      </w:tblGrid>
      <w:tr>
        <w:tc>
          <w:tcPr>
            <w:tcW w:type="dxa" w:w="900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阶段</w:t>
            </w:r>
          </w:p>
        </w:tc>
        <w:tc>
          <w:tcPr>
            <w:tcW w:type="dxa" w:w="1429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状态</w:t>
            </w:r>
          </w:p>
        </w:tc>
        <w:tc>
          <w:tcPr>
            <w:tcW w:type="dxa" w:w="3394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目标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功能数</w:t>
            </w:r>
          </w:p>
        </w:tc>
        <w:tc>
          <w:tcPr>
            <w:tcW w:type="dxa" w:w="3243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关键 Commit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P0</w:t>
            </w:r>
          </w:p>
        </w:tc>
        <w:tc>
          <w:tcPr>
            <w:tcW w:type="dxa" w:w="142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7/7 完成</w:t>
            </w:r>
          </w:p>
        </w:tc>
        <w:tc>
          <w:tcPr>
            <w:tcW w:type="dxa" w:w="339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补齐核心风险指标和性能基线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</w:t>
            </w:r>
          </w:p>
        </w:tc>
        <w:tc>
          <w:tcPr>
            <w:tcW w:type="dxa" w:w="324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a54dee1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5928dbd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b652050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P1</w:t>
            </w:r>
          </w:p>
        </w:tc>
        <w:tc>
          <w:tcPr>
            <w:tcW w:type="dxa" w:w="142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10/10 完成</w:t>
            </w:r>
          </w:p>
        </w:tc>
        <w:tc>
          <w:tcPr>
            <w:tcW w:type="dxa" w:w="339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拓展分析维度：相关性、个股深度、多基准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10</w:t>
            </w:r>
          </w:p>
        </w:tc>
        <w:tc>
          <w:tcPr>
            <w:tcW w:type="dxa" w:w="324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be75c36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398c138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0d66958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1A1A1A"/>
                <w:sz w:val="20"/>
              </w:rPr>
              <w:t>P2</w:t>
            </w:r>
          </w:p>
        </w:tc>
        <w:tc>
          <w:tcPr>
            <w:tcW w:type="dxa" w:w="142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4/4 完成</w:t>
            </w:r>
          </w:p>
        </w:tc>
        <w:tc>
          <w:tcPr>
            <w:tcW w:type="dxa" w:w="339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收益归因、截图导出、高级分析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324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e051d8a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9d0c3b1</w:t>
            </w:r>
            <w:r>
              <w:rPr>
                <w:rFonts w:ascii="Consolas" w:hAnsi="Consolas" w:eastAsia="Microsoft YaHei" w:cs="Consolas"/>
                <w:color w:val="6A1B9A"/>
                <w:sz w:val="18"/>
                <w:shd w:val="clear" w:color="auto" w:fill="F3E5F5"/>
              </w:rPr>
              <w:t>834b5dc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866"/>
      </w:tblGrid>
      <w:tr>
        <w:tc>
          <w:tcPr>
            <w:tcW w:type="dxa" w:w="9866"/>
            <w:shd w:val="clear" w:color="auto" w:fill="E8F5E9"/>
            <w:tcBorders>
              <w:left w:val="single" w:sz="6" w:space="1" w:color="A5D6A7"/>
              <w:right w:val="single" w:sz="6" w:space="1" w:color="A5D6A7"/>
              <w:top w:val="single" w:sz="6" w:space="1" w:color="A5D6A7"/>
              <w:bottom w:val="single" w:sz="6" w:space="1" w:color="A5D6A7"/>
            </w:tcBorders>
            <w:tcMar>
              <w:top w:w="180" w:type="dxa"/>
              <w:right w:w="270" w:type="dxa"/>
              <w:bottom w:w="180" w:type="dxa"/>
              <w:left w:w="270" w:type="dxa"/>
            </w:tcMar>
          </w:tcPr>
          <w:p>
            <w:pPr>
              <w:pStyle w:val="Heading4"/>
              <w:keepNext w:val="0"/>
              <w:keepLines w:val="0"/>
              <w:pageBreakBefore w:val="0"/>
              <w:spacing w:before="0" w:after="45" w:line="272" w:lineRule="auto"/>
              <w:outlineLvl w:val="3"/>
            </w:pPr>
            <w:r>
              <w:rPr>
                <w:rFonts w:ascii="Arial" w:hAnsi="Arial" w:eastAsia="Microsoft YaHei" w:cs="Arial"/>
                <w:color w:val="2E7D32"/>
                <w:sz w:val="22"/>
              </w:rPr>
              <w:t>里程碑状态：21/21 功能全部完成</w:t>
            </w:r>
          </w:p>
          <w:p>
            <w:pPr>
              <w:spacing w:before="45" w:after="45" w:line="272" w:lineRule="auto"/>
              <w:jc w:val="both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>全部 P0/P1/P2 改进项已通过功能验证和回归测试。在此基础上额外完成 2 项关键修复：日收益数据不一致问题修复、持仓数据自动更新支持。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二、P0 改进（7/7 完成）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P0 阶段的目标是补齐专业级分析工具必备的核心功能，不引入新数据源，以最小改动量提升 Dashboard 的分析深度和稳定性。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2.1 扩展风险指标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在 </w:t>
      </w: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compute_extended_risk_metrics()</w:t>
      </w:r>
      <w:r>
        <w:rPr>
          <w:rFonts w:ascii="Arial" w:hAnsi="Arial" w:eastAsia="Microsoft YaHei" w:cs="Arial"/>
          <w:color w:val="1A1A1A"/>
          <w:sz w:val="22"/>
        </w:rPr>
        <w:t xml:space="preserve"> 中新增 5 项专业风险指标，基于全部历史日收益率计算：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3727"/>
        <w:gridCol w:w="4165"/>
        <w:gridCol w:w="1974"/>
      </w:tblGrid>
      <w:tr>
        <w:tc>
          <w:tcPr>
            <w:tcW w:type="dxa" w:w="372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指标</w:t>
            </w:r>
          </w:p>
        </w:tc>
        <w:tc>
          <w:tcPr>
            <w:tcW w:type="dxa" w:w="4165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公式/方法</w:t>
            </w:r>
          </w:p>
        </w:tc>
        <w:tc>
          <w:tcPr>
            <w:tcW w:type="dxa" w:w="1974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验证值(4/27)</w:t>
            </w:r>
          </w:p>
        </w:tc>
      </w:tr>
      <w:tr>
        <w:tc>
          <w:tcPr>
            <w:tcW w:type="dxa" w:w="372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Sortino Ratio</w:t>
            </w:r>
          </w:p>
        </w:tc>
        <w:tc>
          <w:tcPr>
            <w:tcW w:type="dxa" w:w="416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超额收益 / 下行标准差</w:t>
            </w:r>
          </w:p>
        </w:tc>
        <w:tc>
          <w:tcPr>
            <w:tcW w:type="dxa" w:w="197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1.12</w:t>
            </w:r>
          </w:p>
        </w:tc>
      </w:tr>
      <w:tr>
        <w:tc>
          <w:tcPr>
            <w:tcW w:type="dxa" w:w="372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Calmar Ratio</w:t>
            </w:r>
          </w:p>
        </w:tc>
        <w:tc>
          <w:tcPr>
            <w:tcW w:type="dxa" w:w="416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年化收益 / 最大回撤</w:t>
            </w:r>
          </w:p>
        </w:tc>
        <w:tc>
          <w:tcPr>
            <w:tcW w:type="dxa" w:w="197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1.98</w:t>
            </w:r>
          </w:p>
        </w:tc>
      </w:tr>
      <w:tr>
        <w:tc>
          <w:tcPr>
            <w:tcW w:type="dxa" w:w="372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Max Drawdown</w:t>
            </w:r>
          </w:p>
        </w:tc>
        <w:tc>
          <w:tcPr>
            <w:tcW w:type="dxa" w:w="416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净值峰值到谷值的最大跌幅</w:t>
            </w:r>
          </w:p>
        </w:tc>
        <w:tc>
          <w:tcPr>
            <w:tcW w:type="dxa" w:w="197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7.54%</w:t>
            </w:r>
          </w:p>
        </w:tc>
      </w:tr>
      <w:tr>
        <w:tc>
          <w:tcPr>
            <w:tcW w:type="dxa" w:w="372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Current Drawdown</w:t>
            </w:r>
          </w:p>
        </w:tc>
        <w:tc>
          <w:tcPr>
            <w:tcW w:type="dxa" w:w="416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当前净值距历史峰值的跌幅</w:t>
            </w:r>
          </w:p>
        </w:tc>
        <w:tc>
          <w:tcPr>
            <w:tcW w:type="dxa" w:w="197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0.62%</w:t>
            </w:r>
          </w:p>
        </w:tc>
      </w:tr>
      <w:tr>
        <w:tc>
          <w:tcPr>
            <w:tcW w:type="dxa" w:w="372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Annual Volatility</w:t>
            </w:r>
          </w:p>
        </w:tc>
        <w:tc>
          <w:tcPr>
            <w:tcW w:type="dxa" w:w="416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日收益率标准差 × sqrt(252)</w:t>
            </w:r>
          </w:p>
        </w:tc>
        <w:tc>
          <w:tcPr>
            <w:tcW w:type="dxa" w:w="197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18.04%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2.2 月度收益热力图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新增 </w:t>
      </w: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compute_monthly_returns()</w:t>
      </w:r>
      <w:r>
        <w:rPr>
          <w:rFonts w:ascii="Arial" w:hAnsi="Arial" w:eastAsia="Microsoft YaHei" w:cs="Arial"/>
          <w:color w:val="1A1A1A"/>
          <w:sz w:val="22"/>
        </w:rPr>
        <w:t>，将每日收益率聚合为年份 × 月份的二维矩阵。颜色编码：红色=正收益，绿色=负收益，色深与收益绝对值成正比。时间跨度覆盖 2025 年至今。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2.3 滚动夏普比率和滚动波动率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新增 </w:t>
      </w: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compute_rolling_metrics()</w:t>
      </w:r>
      <w:r>
        <w:rPr>
          <w:rFonts w:ascii="Arial" w:hAnsi="Arial" w:eastAsia="Microsoft YaHei" w:cs="Arial"/>
          <w:color w:val="1A1A1A"/>
          <w:sz w:val="22"/>
        </w:rPr>
        <w:t>，计算 60/120/250 日窗口的动态风险指标时序。图中同时显示组合与基准的对比曲线，直观展示风险调整收益的时间演变。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2.4 净值曲线基准归一化</w:t>
      </w:r>
    </w:p>
    <w:p>
      <w:pPr>
        <w:pStyle w:val="ListBullet"/>
        <w:numPr>
          <w:ilvl w:val="0"/>
          <w:numId w:val="10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组合净值和基准指数统一归一化到 100 基点</w:t>
      </w:r>
    </w:p>
    <w:p>
      <w:pPr>
        <w:pStyle w:val="ListBullet"/>
        <w:numPr>
          <w:ilvl w:val="0"/>
          <w:numId w:val="10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基准日期为选定时间范围的起始日</w:t>
      </w:r>
    </w:p>
    <w:p>
      <w:pPr>
        <w:pStyle w:val="ListBullet"/>
        <w:numPr>
          <w:ilvl w:val="0"/>
          <w:numId w:val="10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图例显示累计收益率百分比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2.5 缓存优化与性能提升</w:t>
      </w:r>
    </w:p>
    <w:p>
      <w:pPr>
        <w:pStyle w:val="ListBullet"/>
        <w:numPr>
          <w:ilvl w:val="0"/>
          <w:numId w:val="11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数据库查询添加索引 (</w:t>
      </w:r>
      <w:r>
        <w:rPr>
          <w:rFonts w:ascii="Arial" w:hAnsi="Arial" w:eastAsia="Microsoft YaHei" w:cs="Arial"/>
          <w:color w:val="1A1A1A"/>
          <w:sz w:val="22"/>
        </w:rPr>
        <w:t>date, code</w:t>
      </w:r>
      <w:r>
        <w:rPr>
          <w:rFonts w:ascii="Arial" w:hAnsi="Arial" w:eastAsia="Microsoft YaHei" w:cs="Arial"/>
          <w:color w:val="1A1A1A"/>
          <w:sz w:val="22"/>
        </w:rPr>
        <w:t xml:space="preserve"> 复合索引)</w:t>
      </w:r>
    </w:p>
    <w:p>
      <w:pPr>
        <w:pStyle w:val="ListBullet"/>
        <w:numPr>
          <w:ilvl w:val="0"/>
          <w:numId w:val="11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日期选择器去除 LIMIT 限制，支持全量历史范围</w:t>
      </w:r>
    </w:p>
    <w:p>
      <w:pPr>
        <w:pStyle w:val="ListBullet"/>
        <w:numPr>
          <w:ilvl w:val="0"/>
          <w:numId w:val="11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图表数据降采样（超过 500 点时自动采样）</w:t>
      </w:r>
    </w:p>
    <w:p>
      <w:pPr>
        <w:pStyle w:val="ListBullet"/>
        <w:numPr>
          <w:ilvl w:val="0"/>
          <w:numId w:val="11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缓存 TTL 从 300s 提升至 600s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2.6 弃用警告修复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消除 </w:t>
      </w:r>
      <w:r>
        <w:rPr>
          <w:rFonts w:ascii="Arial" w:hAnsi="Arial" w:eastAsia="Microsoft YaHei" w:cs="Arial"/>
          <w:color w:val="1A1A1A"/>
          <w:sz w:val="22"/>
        </w:rPr>
        <w:t>st.table(use_container_width=True)</w:t>
      </w:r>
      <w:r>
        <w:rPr>
          <w:rFonts w:ascii="Arial" w:hAnsi="Arial" w:eastAsia="Microsoft YaHei" w:cs="Arial"/>
          <w:color w:val="1A1A1A"/>
          <w:sz w:val="22"/>
        </w:rPr>
        <w:t xml:space="preserve"> 等已弃用 API 调用，替换为 </w:t>
      </w:r>
      <w:r>
        <w:rPr>
          <w:rFonts w:ascii="Arial" w:hAnsi="Arial" w:eastAsia="Microsoft YaHei" w:cs="Arial"/>
          <w:color w:val="1A1A1A"/>
          <w:sz w:val="22"/>
        </w:rPr>
        <w:t>width</w:t>
      </w:r>
      <w:r>
        <w:rPr>
          <w:rFonts w:ascii="Arial" w:hAnsi="Arial" w:eastAsia="Microsoft YaHei" w:cs="Arial"/>
          <w:color w:val="1A1A1A"/>
          <w:sz w:val="22"/>
        </w:rPr>
        <w:t xml:space="preserve"> 参数。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2.7 非交易日数据防护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历史数据回填脚本添加周末过滤，跳过周六日非交易日，避免脏数据入库。回填数据覆盖 2012-05-28 至今共 3,381 个交易日。</w:t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三、P1 改进（10/10 完成）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P1 阶段拓展分析维度，引入持仓间关联性分析、个股深度剖析和多基准灵活对比。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3.1 持仓相关性矩阵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计算全部 23 只 ETF 之间的日收益率皮尔逊相关系数矩阵。热力图配色：红色=高相关(接近1)，蓝色=低相关/负相关(接近-1)。支持悬停查看精确系数值。揭示组合内部分散化程度。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3.2 单只 ETF 增强详情面板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点击持仓表格中任意 ETF 行，展开详情抽屉面板，包含 6 个分析区域：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569"/>
        <w:gridCol w:w="8297"/>
      </w:tblGrid>
      <w:tr>
        <w:tc>
          <w:tcPr>
            <w:tcW w:type="dxa" w:w="1569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区域</w:t>
            </w:r>
          </w:p>
        </w:tc>
        <w:tc>
          <w:tcPr>
            <w:tcW w:type="dxa" w:w="829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内容</w:t>
            </w:r>
          </w:p>
        </w:tc>
      </w:tr>
      <w:tr>
        <w:tc>
          <w:tcPr>
            <w:tcW w:type="dxa" w:w="156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核心指标卡片</w:t>
            </w:r>
          </w:p>
        </w:tc>
        <w:tc>
          <w:tcPr>
            <w:tcW w:type="dxa" w:w="829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现价、成本价、盈亏率、日涨幅、持仓天数、持仓市值（6列布局）</w:t>
            </w:r>
          </w:p>
        </w:tc>
      </w:tr>
      <w:tr>
        <w:tc>
          <w:tcPr>
            <w:tcW w:type="dxa" w:w="156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价格走势图</w:t>
            </w:r>
          </w:p>
        </w:tc>
        <w:tc>
          <w:tcPr>
            <w:tcW w:type="dxa" w:w="829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基于新浪K线的收盘价时序图，标注成本线</w:t>
            </w:r>
          </w:p>
        </w:tc>
      </w:tr>
      <w:tr>
        <w:tc>
          <w:tcPr>
            <w:tcW w:type="dxa" w:w="156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技术指标面板</w:t>
            </w:r>
          </w:p>
        </w:tc>
        <w:tc>
          <w:tcPr>
            <w:tcW w:type="dxa" w:w="829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RSI(14)、MACD(12,26,9)、KDJ(9,3,3) 三组指标</w:t>
            </w:r>
          </w:p>
        </w:tc>
      </w:tr>
      <w:tr>
        <w:tc>
          <w:tcPr>
            <w:tcW w:type="dxa" w:w="156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RSI 仪表条</w:t>
            </w:r>
          </w:p>
        </w:tc>
        <w:tc>
          <w:tcPr>
            <w:tcW w:type="dxa" w:w="829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水平条形图，0-100区间，30以下绿色(超卖)，70以上红色(超买)</w:t>
            </w:r>
          </w:p>
        </w:tc>
      </w:tr>
      <w:tr>
        <w:tc>
          <w:tcPr>
            <w:tcW w:type="dxa" w:w="156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关键统计</w:t>
            </w:r>
          </w:p>
        </w:tc>
        <w:tc>
          <w:tcPr>
            <w:tcW w:type="dxa" w:w="829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最高/最低价、均值、标准差、夏普比率、最大回撤</w:t>
            </w:r>
          </w:p>
        </w:tc>
      </w:tr>
      <w:tr>
        <w:tc>
          <w:tcPr>
            <w:tcW w:type="dxa" w:w="156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日收益率分布</w:t>
            </w:r>
          </w:p>
        </w:tc>
        <w:tc>
          <w:tcPr>
            <w:tcW w:type="dxa" w:w="829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直方图展示历史日收益率分布特征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3.3 多基准指数选择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支持在 11 个基准指数中自由切换：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上证指数、深证成指、沪深300、中证500、中证1000、创业板指、科创50、创业板50、中证酒、中证医疗、红利指数。切换后所有对比图表（净值曲线、滚动夏普、滚动波动率、日收益分布）联动更新。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3.4 行业权重堆叠面积图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以堆叠面积图展示各行业市值占比的时间演变。行业分类覆盖 8 大板块：医药、金融、军工、新能源、科技、宽基、红利、债券。配色方案与行业分类统一。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3.5 CSV 数据导出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一键导出当前持仓数据为 CSV 文件，包含代码、名称、数量、成本价、现价、市值、盈亏、盈亏率、行业等全部字段。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3.6 智能分析建议集成</w:t>
      </w:r>
    </w:p>
    <w:p>
      <w:pPr>
        <w:pStyle w:val="ListBullet"/>
        <w:numPr>
          <w:ilvl w:val="0"/>
          <w:numId w:val="12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 xml:space="preserve">自动扫描 </w:t>
      </w:r>
      <w:r>
        <w:rPr>
          <w:rFonts w:ascii="Arial" w:hAnsi="Arial" w:eastAsia="Microsoft YaHei" w:cs="Arial"/>
          <w:color w:val="1A1A1A"/>
          <w:sz w:val="22"/>
        </w:rPr>
        <w:t>data/reports/</w:t>
      </w:r>
      <w:r>
        <w:rPr>
          <w:rFonts w:ascii="Arial" w:hAnsi="Arial" w:eastAsia="Microsoft YaHei" w:cs="Arial"/>
          <w:color w:val="1A1A1A"/>
          <w:sz w:val="22"/>
        </w:rPr>
        <w:t xml:space="preserve"> 目录加载最新报告</w:t>
      </w:r>
    </w:p>
    <w:p>
      <w:pPr>
        <w:pStyle w:val="ListBullet"/>
        <w:numPr>
          <w:ilvl w:val="0"/>
          <w:numId w:val="12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页脚区域以可折叠面板展示，默认收起</w:t>
      </w:r>
    </w:p>
    <w:p>
      <w:pPr>
        <w:pStyle w:val="ListBullet"/>
        <w:numPr>
          <w:ilvl w:val="0"/>
          <w:numId w:val="12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报告内容截断至 3000 字符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3.7 增强分析报告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新增 </w:t>
      </w: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enhanced_report.py</w:t>
      </w:r>
      <w:r>
        <w:rPr>
          <w:rFonts w:ascii="Arial" w:hAnsi="Arial" w:eastAsia="Microsoft YaHei" w:cs="Arial"/>
          <w:color w:val="1A1A1A"/>
          <w:sz w:val="22"/>
        </w:rPr>
        <w:t xml:space="preserve"> (536行)，生成包含市场概览、行业分析、技术信号、风险提示的增强版 HTML 报告。输出至 </w:t>
      </w:r>
      <w:r>
        <w:rPr>
          <w:rFonts w:ascii="Arial" w:hAnsi="Arial" w:eastAsia="Microsoft YaHei" w:cs="Arial"/>
          <w:color w:val="1A1A1A"/>
          <w:sz w:val="22"/>
        </w:rPr>
        <w:t>data/reports/enhanced_report_YYYYMMDD.html</w:t>
      </w:r>
      <w:r>
        <w:rPr>
          <w:rFonts w:ascii="Arial" w:hAnsi="Arial" w:eastAsia="Microsoft YaHei" w:cs="Arial"/>
          <w:color w:val="1A1A1A"/>
          <w:sz w:val="22"/>
        </w:rPr>
        <w:t>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3.8 风险预警监控</w:t>
      </w:r>
    </w:p>
    <w:p>
      <w:pPr>
        <w:spacing w:before="45" w:after="45" w:line="272" w:lineRule="auto"/>
        <w:jc w:val="both"/>
      </w:pP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monitor.py</w:t>
      </w:r>
      <w:r>
        <w:rPr>
          <w:rFonts w:ascii="Arial" w:hAnsi="Arial" w:eastAsia="Microsoft YaHei" w:cs="Arial"/>
          <w:color w:val="1A1A1A"/>
          <w:sz w:val="22"/>
        </w:rPr>
        <w:t xml:space="preserve"> (302行) 实现基于阈值的风险监控规则引擎，支持 4 类告警：单日跌幅 &gt;3%、最大回撤 &gt;10%、集中度 &gt;0.5、波动率 &gt;30%。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3.9 新闻情绪分析</w:t>
      </w:r>
    </w:p>
    <w:p>
      <w:pPr>
        <w:spacing w:before="45" w:after="45" w:line="272" w:lineRule="auto"/>
        <w:jc w:val="both"/>
      </w:pP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news_fetcher.py</w:t>
      </w:r>
      <w:r>
        <w:rPr>
          <w:rFonts w:ascii="Arial" w:hAnsi="Arial" w:eastAsia="Microsoft YaHei" w:cs="Arial"/>
          <w:color w:val="1A1A1A"/>
          <w:sz w:val="22"/>
        </w:rPr>
        <w:t xml:space="preserve"> (447行) 通过东方财富API获取持仓相关新闻，辅助投资决策参考。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3.10 SQL 注入风险消除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审计并修复全部数据库操作中的潜在 SQL 注入点，统一使用参数化查询。</w:t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四、P2 改进（4/4 完成）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P2 阶段聚焦于收益归因、报告导出、高级分析和系统健壮性。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4.1 Brinson 收益归因分析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276"/>
        <w:gridCol w:w="7590"/>
      </w:tblGrid>
      <w:tr>
        <w:tc>
          <w:tcPr>
            <w:tcW w:type="dxa" w:w="227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组件</w:t>
            </w:r>
          </w:p>
        </w:tc>
        <w:tc>
          <w:tcPr>
            <w:tcW w:type="dxa" w:w="7590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>
        <w:tc>
          <w:tcPr>
            <w:tcW w:type="dxa" w:w="227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资产配置效应</w:t>
            </w:r>
          </w:p>
        </w:tc>
        <w:tc>
          <w:tcPr>
            <w:tcW w:type="dxa" w:w="759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因行业权重偏离基准配置而产生的收益差异</w:t>
            </w:r>
          </w:p>
        </w:tc>
      </w:tr>
      <w:tr>
        <w:tc>
          <w:tcPr>
            <w:tcW w:type="dxa" w:w="227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个股选择效应</w:t>
            </w:r>
          </w:p>
        </w:tc>
        <w:tc>
          <w:tcPr>
            <w:tcW w:type="dxa" w:w="759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因行业内持仓选择偏离基准而产生的收益差异</w:t>
            </w:r>
          </w:p>
        </w:tc>
      </w:tr>
      <w:tr>
        <w:tc>
          <w:tcPr>
            <w:tcW w:type="dxa" w:w="227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交互效应</w:t>
            </w:r>
          </w:p>
        </w:tc>
        <w:tc>
          <w:tcPr>
            <w:tcW w:type="dxa" w:w="759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配置与选择的交叉影响</w:t>
            </w:r>
          </w:p>
        </w:tc>
      </w:tr>
      <w:tr>
        <w:tc>
          <w:tcPr>
            <w:tcW w:type="dxa" w:w="227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总归因</w:t>
            </w:r>
          </w:p>
        </w:tc>
        <w:tc>
          <w:tcPr>
            <w:tcW w:type="dxa" w:w="759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三部分之和，解释组合超额收益来源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归因结果以堆叠柱状图展示，按行业分组，直观揭示超额收益的行业贡献来源。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4.2 截图导出 (PNG)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942"/>
        <w:gridCol w:w="6924"/>
      </w:tblGrid>
      <w:tr>
        <w:tc>
          <w:tcPr>
            <w:tcW w:type="dxa" w:w="2942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技术方案</w:t>
            </w:r>
          </w:p>
        </w:tc>
        <w:tc>
          <w:tcPr>
            <w:tcW w:type="dxa" w:w="6924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>
        <w:tc>
          <w:tcPr>
            <w:tcW w:type="dxa" w:w="294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Selenium + Chrome</w:t>
            </w:r>
          </w:p>
        </w:tc>
        <w:tc>
          <w:tcPr>
            <w:tcW w:type="dxa" w:w="692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Headless Chrome 无头浏览器截图</w:t>
            </w:r>
          </w:p>
        </w:tc>
      </w:tr>
      <w:tr>
        <w:tc>
          <w:tcPr>
            <w:tcW w:type="dxa" w:w="294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webdriver-manager</w:t>
            </w:r>
          </w:p>
        </w:tc>
        <w:tc>
          <w:tcPr>
            <w:tcW w:type="dxa" w:w="692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自动下载和管理 ChromeDriver，零配置</w:t>
            </w:r>
          </w:p>
        </w:tc>
      </w:tr>
      <w:tr>
        <w:tc>
          <w:tcPr>
            <w:tcW w:type="dxa" w:w="294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Plotly 渲染等待</w:t>
            </w:r>
          </w:p>
        </w:tc>
        <w:tc>
          <w:tcPr>
            <w:tcW w:type="dxa" w:w="692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CSS 选择器 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>.js-plotly-plot .main-svg</w:t>
            </w:r>
            <w:r>
              <w:rPr>
                <w:rFonts w:ascii="Arial" w:hAnsi="Arial" w:eastAsia="Microsoft YaHei" w:cs="Arial"/>
                <w:color w:val="1A1A1A"/>
                <w:sz w:val="20"/>
              </w:rPr>
              <w:t xml:space="preserve"> 检测，最多 45 秒</w:t>
            </w:r>
          </w:p>
        </w:tc>
      </w:tr>
      <w:tr>
        <w:tc>
          <w:tcPr>
            <w:tcW w:type="dxa" w:w="294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视口尺寸</w:t>
            </w:r>
          </w:p>
        </w:tc>
        <w:tc>
          <w:tcPr>
            <w:tcW w:type="dxa" w:w="692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1920 × 自动高度（最高 5000px），完整页面无裁切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验证结果：26.8秒完成，298KB PNG，45个 Plotly 图表全部渲染完毕。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4.3 PDF 导出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818"/>
        <w:gridCol w:w="7048"/>
      </w:tblGrid>
      <w:tr>
        <w:tc>
          <w:tcPr>
            <w:tcW w:type="dxa" w:w="281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技术方案</w:t>
            </w:r>
          </w:p>
        </w:tc>
        <w:tc>
          <w:tcPr>
            <w:tcW w:type="dxa" w:w="704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说明</w:t>
            </w:r>
          </w:p>
        </w:tc>
      </w:tr>
      <w:tr>
        <w:tc>
          <w:tcPr>
            <w:tcW w:type="dxa" w:w="281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CDP printToPDF</w:t>
            </w:r>
          </w:p>
        </w:tc>
        <w:tc>
          <w:tcPr>
            <w:tcW w:type="dxa" w:w="704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Chrome DevTools Protocol 原生 PDF 生成</w:t>
            </w:r>
          </w:p>
        </w:tc>
      </w:tr>
      <w:tr>
        <w:tc>
          <w:tcPr>
            <w:tcW w:type="dxa" w:w="281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纸张尺寸</w:t>
            </w:r>
          </w:p>
        </w:tc>
        <w:tc>
          <w:tcPr>
            <w:tcW w:type="dxa" w:w="704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A3 宽幅 (13" × 19")，容纳 Dashboard 全宽内容</w:t>
            </w:r>
          </w:p>
        </w:tc>
      </w:tr>
      <w:tr>
        <w:tc>
          <w:tcPr>
            <w:tcW w:type="dxa" w:w="281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等待策略</w:t>
            </w:r>
          </w:p>
        </w:tc>
        <w:tc>
          <w:tcPr>
            <w:tcW w:type="dxa" w:w="704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同截图，等待 Plotly 图表完成渲染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验证结果：29.9秒完成，1,166KB PDF，1页 118行可提取文本。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4.4 Monte Carlo 模拟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基于历史日收益率分布进行 1,000 次蒙特卡洛模拟，生成未来 30/60/90/180/365 天的净值分布预测区间。图表展示中位数、25/75 分位数和 5/95 分位数路径。</w:t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五、数据一致性修复</w:t>
      </w:r>
    </w:p>
    <w:p>
      <w:pPr>
        <w:spacing w:before="0" w:after="0" w:line="120" w:lineRule="exact"/>
      </w:pPr>
      <w:r>
        <w:rPr>
          <w:sz w:val="12"/>
        </w:rPr>
      </w:r>
    </w:p>
    <w:tbl>
      <w:tblPr>
        <w:tblStyle w:val="TableGrid"/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866"/>
      </w:tblGrid>
      <w:tr>
        <w:tc>
          <w:tcPr>
            <w:tcW w:type="dxa" w:w="9866"/>
            <w:shd w:val="clear" w:color="auto" w:fill="FFF3E0"/>
            <w:tcBorders>
              <w:left w:val="single" w:sz="6" w:space="1" w:color="FFCC80"/>
              <w:right w:val="single" w:sz="6" w:space="1" w:color="FFCC80"/>
              <w:top w:val="single" w:sz="6" w:space="1" w:color="FFCC80"/>
              <w:bottom w:val="single" w:sz="6" w:space="1" w:color="FFCC80"/>
            </w:tcBorders>
            <w:tcMar>
              <w:top w:w="180" w:type="dxa"/>
              <w:right w:w="270" w:type="dxa"/>
              <w:bottom w:w="180" w:type="dxa"/>
              <w:left w:w="270" w:type="dxa"/>
            </w:tcMar>
          </w:tcPr>
          <w:p>
            <w:pPr>
              <w:pStyle w:val="Heading4"/>
              <w:keepNext w:val="0"/>
              <w:keepLines w:val="0"/>
              <w:pageBreakBefore w:val="0"/>
              <w:spacing w:before="0" w:after="45" w:line="272" w:lineRule="auto"/>
              <w:outlineLvl w:val="3"/>
            </w:pPr>
            <w:r>
              <w:rPr>
                <w:rFonts w:ascii="Arial" w:hAnsi="Arial" w:eastAsia="Microsoft YaHei" w:cs="Arial"/>
                <w:color w:val="E65100"/>
                <w:sz w:val="22"/>
              </w:rPr>
              <w:t>问题描述</w:t>
            </w:r>
          </w:p>
          <w:p>
            <w:pPr>
              <w:spacing w:before="45" w:after="45" w:line="272" w:lineRule="auto"/>
              <w:jc w:val="both"/>
            </w:pPr>
            <w:r>
              <w:rPr>
                <w:rFonts w:ascii="Arial" w:hAnsi="Arial" w:eastAsia="Microsoft YaHei" w:cs="Arial"/>
                <w:color w:val="1A1A1A"/>
                <w:sz w:val="22"/>
              </w:rPr>
              <w:t xml:space="preserve">2026-04-27 的日收益数据显示为 </w:t>
            </w:r>
            <w:r>
              <w:rPr>
                <w:rFonts w:ascii="Arial" w:hAnsi="Arial" w:eastAsia="Microsoft YaHei" w:cs="Arial"/>
                <w:b/>
                <w:color w:val="C62828"/>
                <w:sz w:val="22"/>
              </w:rPr>
              <w:t>+10.03%</w:t>
            </w:r>
            <w:r>
              <w:rPr>
                <w:rFonts w:ascii="Arial" w:hAnsi="Arial" w:eastAsia="Microsoft YaHei" w:cs="Arial"/>
                <w:color w:val="1A1A1A"/>
                <w:sz w:val="22"/>
              </w:rPr>
              <w:t>（日盈亏 +62,088元），与实际市场行情严重不符。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5.1 根因分析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5956"/>
        <w:gridCol w:w="2047"/>
        <w:gridCol w:w="1863"/>
      </w:tblGrid>
      <w:tr>
        <w:tc>
          <w:tcPr>
            <w:tcW w:type="dxa" w:w="595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数据表</w:t>
            </w:r>
          </w:p>
        </w:tc>
        <w:tc>
          <w:tcPr>
            <w:tcW w:type="dxa" w:w="204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数据来源</w:t>
            </w:r>
          </w:p>
        </w:tc>
        <w:tc>
          <w:tcPr>
            <w:tcW w:type="dxa" w:w="1863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4/27 数值</w:t>
            </w:r>
          </w:p>
        </w:tc>
      </w:tr>
      <w:tr>
        <w:tc>
          <w:tcPr>
            <w:tcW w:type="dxa" w:w="595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portfolio_snapshots.market_value</w:t>
            </w:r>
          </w:p>
        </w:tc>
        <w:tc>
          <w:tcPr>
            <w:tcW w:type="dxa" w:w="204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通达信持仓文件（静态）</w:t>
            </w:r>
          </w:p>
        </w:tc>
        <w:tc>
          <w:tcPr>
            <w:tcW w:type="dxa" w:w="186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673,023.40</w:t>
            </w:r>
          </w:p>
        </w:tc>
      </w:tr>
      <w:tr>
        <w:tc>
          <w:tcPr>
            <w:tcW w:type="dxa" w:w="595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portfolio_summary.total_value</w:t>
            </w:r>
          </w:p>
        </w:tc>
        <w:tc>
          <w:tcPr>
            <w:tcW w:type="dxa" w:w="204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新浪实时行情 API</w:t>
            </w:r>
          </w:p>
        </w:tc>
        <w:tc>
          <w:tcPr>
            <w:tcW w:type="dxa" w:w="186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680,849.60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差额 +7,827元 导致 </w:t>
      </w:r>
      <w:r>
        <w:rPr>
          <w:rFonts w:ascii="Arial" w:hAnsi="Arial" w:eastAsia="Microsoft YaHei" w:cs="Arial"/>
          <w:color w:val="1A1A1A"/>
          <w:sz w:val="22"/>
        </w:rPr>
        <w:t>daily_return</w:t>
      </w:r>
      <w:r>
        <w:rPr>
          <w:rFonts w:ascii="Arial" w:hAnsi="Arial" w:eastAsia="Microsoft YaHei" w:cs="Arial"/>
          <w:color w:val="1A1A1A"/>
          <w:sz w:val="22"/>
        </w:rPr>
        <w:t xml:space="preserve"> 被错误计算。通达信持仓文件未更新（仍为 4/24 数据），而新浪 API 返回的是 4/27 实时价格。两个数据源的时间戳不一致。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5.2 修复方案（3 处）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b/>
          <w:color w:val="1A1A1A"/>
          <w:sz w:val="22"/>
        </w:rPr>
        <w:t>修复1：</w:t>
      </w:r>
      <w:r>
        <w:rPr>
          <w:rFonts w:ascii="Consolas" w:hAnsi="Consolas" w:eastAsia="Microsoft YaHei" w:cs="Consolas"/>
          <w:b/>
          <w:color w:val="00695C"/>
          <w:sz w:val="18"/>
          <w:shd w:val="clear" w:color="auto" w:fill="E0F2F1"/>
        </w:rPr>
        <w:t>database.py</w:t>
      </w:r>
      <w:r>
        <w:rPr>
          <w:rFonts w:ascii="Arial" w:hAnsi="Arial" w:eastAsia="Microsoft YaHei" w:cs="Arial"/>
          <w:b/>
          <w:color w:val="1A1A1A"/>
          <w:sz w:val="22"/>
        </w:rPr>
        <w:t xml:space="preserve"> save_portfolio_snapshot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优先使用新浪实时行情数据填充 snapshot 的 </w:t>
      </w:r>
      <w:r>
        <w:rPr>
          <w:rFonts w:ascii="Arial" w:hAnsi="Arial" w:eastAsia="Microsoft YaHei" w:cs="Arial"/>
          <w:color w:val="1A1A1A"/>
          <w:sz w:val="22"/>
        </w:rPr>
        <w:t>current_price</w:t>
      </w:r>
      <w:r>
        <w:rPr>
          <w:rFonts w:ascii="Arial" w:hAnsi="Arial" w:eastAsia="Microsoft YaHei" w:cs="Arial"/>
          <w:color w:val="1A1A1A"/>
          <w:sz w:val="22"/>
        </w:rPr>
        <w:t>、</w:t>
      </w:r>
      <w:r>
        <w:rPr>
          <w:rFonts w:ascii="Arial" w:hAnsi="Arial" w:eastAsia="Microsoft YaHei" w:cs="Arial"/>
          <w:color w:val="1A1A1A"/>
          <w:sz w:val="22"/>
        </w:rPr>
        <w:t>market_value</w:t>
      </w:r>
      <w:r>
        <w:rPr>
          <w:rFonts w:ascii="Arial" w:hAnsi="Arial" w:eastAsia="Microsoft YaHei" w:cs="Arial"/>
          <w:color w:val="1A1A1A"/>
          <w:sz w:val="22"/>
        </w:rPr>
        <w:t>、</w:t>
      </w:r>
      <w:r>
        <w:rPr>
          <w:rFonts w:ascii="Arial" w:hAnsi="Arial" w:eastAsia="Microsoft YaHei" w:cs="Arial"/>
          <w:color w:val="1A1A1A"/>
          <w:sz w:val="22"/>
        </w:rPr>
        <w:t>pnl</w:t>
      </w:r>
      <w:r>
        <w:rPr>
          <w:rFonts w:ascii="Arial" w:hAnsi="Arial" w:eastAsia="Microsoft YaHei" w:cs="Arial"/>
          <w:color w:val="1A1A1A"/>
          <w:sz w:val="22"/>
        </w:rPr>
        <w:t xml:space="preserve"> 字段，与 summary 数据源统一。</w:t>
      </w:r>
    </w:p>
    <w:p>
      <w:pPr>
        <w:spacing w:before="0" w:after="0" w:line="60" w:lineRule="exact"/>
      </w:pPr>
      <w:r>
        <w:rPr>
          <w:sz w:val="6"/>
        </w:rPr>
      </w:r>
    </w:p>
    <w:tbl>
      <w:tblPr>
        <w:tblStyle w:val="TableGrid"/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866"/>
      </w:tblGrid>
      <w:tr>
        <w:tc>
          <w:tcPr>
            <w:tcW w:type="dxa" w:w="9866"/>
            <w:shd w:val="clear" w:color="auto" w:fill="F5F5F5"/>
            <w:tcBorders>
              <w:left w:val="single" w:sz="6" w:space="1" w:color="E0E0E0"/>
              <w:right w:val="single" w:sz="6" w:space="1" w:color="E0E0E0"/>
              <w:top w:val="single" w:sz="6" w:space="1" w:color="E0E0E0"/>
              <w:bottom w:val="single" w:sz="6" w:space="1" w:color="E0E0E0"/>
            </w:tcBorders>
            <w:tcMar>
              <w:top w:w="120" w:type="dxa"/>
              <w:right w:w="180" w:type="dxa"/>
              <w:bottom w:w="120" w:type="dxa"/>
              <w:left w:w="180" w:type="dxa"/>
            </w:tcMar>
          </w:tcPr>
          <w:p>
            <w:pPr>
              <w:spacing w:line="272" w:lineRule="auto"/>
            </w:pPr>
            <w:r>
              <w:rPr>
                <w:rFonts w:ascii="Consolas" w:hAnsi="Consolas" w:eastAsia="Microsoft YaHei" w:cs="Consolas"/>
                <w:color w:val="1A1A1A"/>
                <w:sz w:val="19"/>
              </w:rPr>
              <w:t>current_price = holding.get('realtime_price', holding.get('current_price'))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>market_value = holding.get('realtime_market_value', holding.get('market_value'))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>pnl = holding.get('realtime_pnl', holding.get('pnl'))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b/>
          <w:color w:val="1A1A1A"/>
          <w:sz w:val="22"/>
        </w:rPr>
        <w:t>修复2：</w:t>
      </w:r>
      <w:r>
        <w:rPr>
          <w:rFonts w:ascii="Consolas" w:hAnsi="Consolas" w:eastAsia="Microsoft YaHei" w:cs="Consolas"/>
          <w:b/>
          <w:color w:val="00695C"/>
          <w:sz w:val="18"/>
          <w:shd w:val="clear" w:color="auto" w:fill="E0F2F1"/>
        </w:rPr>
        <w:t>portfolio.py</w:t>
      </w:r>
      <w:r>
        <w:rPr>
          <w:rFonts w:ascii="Arial" w:hAnsi="Arial" w:eastAsia="Microsoft YaHei" w:cs="Arial"/>
          <w:b/>
          <w:color w:val="1A1A1A"/>
          <w:sz w:val="22"/>
        </w:rPr>
        <w:t xml:space="preserve"> _calculate_summary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prev_value</w:t>
      </w:r>
      <w:r>
        <w:rPr>
          <w:rFonts w:ascii="Arial" w:hAnsi="Arial" w:eastAsia="Microsoft YaHei" w:cs="Arial"/>
          <w:color w:val="1A1A1A"/>
          <w:sz w:val="22"/>
        </w:rPr>
        <w:t xml:space="preserve"> 改用新浪 </w:t>
      </w:r>
      <w:r>
        <w:rPr>
          <w:rFonts w:ascii="Arial" w:hAnsi="Arial" w:eastAsia="Microsoft YaHei" w:cs="Arial"/>
          <w:color w:val="1A1A1A"/>
          <w:sz w:val="22"/>
        </w:rPr>
        <w:t>pre_close × quantity</w:t>
      </w:r>
      <w:r>
        <w:rPr>
          <w:rFonts w:ascii="Arial" w:hAnsi="Arial" w:eastAsia="Microsoft YaHei" w:cs="Arial"/>
          <w:color w:val="1A1A1A"/>
          <w:sz w:val="22"/>
        </w:rPr>
        <w:t xml:space="preserve"> 反推前日市值，覆盖全部持仓（不再排除 </w:t>
      </w:r>
      <w:r>
        <w:rPr>
          <w:rFonts w:ascii="Arial" w:hAnsi="Arial" w:eastAsia="Microsoft YaHei" w:cs="Arial"/>
          <w:color w:val="1A1A1A"/>
          <w:sz w:val="22"/>
        </w:rPr>
        <w:t>daily_change_pct=0</w:t>
      </w:r>
      <w:r>
        <w:rPr>
          <w:rFonts w:ascii="Arial" w:hAnsi="Arial" w:eastAsia="Microsoft YaHei" w:cs="Arial"/>
          <w:color w:val="1A1A1A"/>
          <w:sz w:val="22"/>
        </w:rPr>
        <w:t xml:space="preserve"> 的记录）。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b/>
          <w:color w:val="1A1A1A"/>
          <w:sz w:val="22"/>
        </w:rPr>
        <w:t>修复3：</w:t>
      </w:r>
      <w:r>
        <w:rPr>
          <w:rFonts w:ascii="Consolas" w:hAnsi="Consolas" w:eastAsia="Microsoft YaHei" w:cs="Consolas"/>
          <w:b/>
          <w:color w:val="00695C"/>
          <w:sz w:val="18"/>
          <w:shd w:val="clear" w:color="auto" w:fill="E0F2F1"/>
        </w:rPr>
        <w:t>portfolio.py</w:t>
      </w:r>
      <w:r>
        <w:rPr>
          <w:rFonts w:ascii="Arial" w:hAnsi="Arial" w:eastAsia="Microsoft YaHei" w:cs="Arial"/>
          <w:b/>
          <w:color w:val="1A1A1A"/>
          <w:sz w:val="22"/>
        </w:rPr>
        <w:t xml:space="preserve"> _update_realtime_quotes</w:t>
      </w:r>
    </w:p>
    <w:p>
      <w:pPr>
        <w:pStyle w:val="ListBullet"/>
        <w:numPr>
          <w:ilvl w:val="0"/>
          <w:numId w:val="13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新增价格偏离校验：实时价格与当前价格偏离超过 ±30% 时拒绝更新</w:t>
      </w:r>
    </w:p>
    <w:p>
      <w:pPr>
        <w:pStyle w:val="ListBullet"/>
        <w:numPr>
          <w:ilvl w:val="0"/>
          <w:numId w:val="13"/>
        </w:numPr>
        <w:spacing w:before="22" w:after="22" w:line="272" w:lineRule="auto"/>
        <w:ind w:left="590" w:hanging="360"/>
      </w:pPr>
      <w:r>
        <w:rPr>
          <w:rFonts w:ascii="Arial" w:hAnsi="Arial" w:eastAsia="Microsoft YaHei" w:cs="Arial"/>
          <w:color w:val="1A1A1A"/>
          <w:sz w:val="22"/>
        </w:rPr>
        <w:t>新增无行情 fallback：当新浪 API 未返回某 ETF 行情时，使用通达信静态数据填充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5.3 修复效果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933"/>
        <w:gridCol w:w="1930"/>
        <w:gridCol w:w="3003"/>
      </w:tblGrid>
      <w:tr>
        <w:tc>
          <w:tcPr>
            <w:tcW w:type="dxa" w:w="4933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指标</w:t>
            </w:r>
          </w:p>
        </w:tc>
        <w:tc>
          <w:tcPr>
            <w:tcW w:type="dxa" w:w="1930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修复前</w:t>
            </w:r>
          </w:p>
        </w:tc>
        <w:tc>
          <w:tcPr>
            <w:tcW w:type="dxa" w:w="3003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修复后</w:t>
            </w:r>
          </w:p>
        </w:tc>
      </w:tr>
      <w:tr>
        <w:tc>
          <w:tcPr>
            <w:tcW w:type="dxa" w:w="493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4/27 日收益率</w:t>
            </w:r>
          </w:p>
        </w:tc>
        <w:tc>
          <w:tcPr>
            <w:tcW w:type="dxa" w:w="193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C62828"/>
                <w:sz w:val="20"/>
              </w:rPr>
              <w:t>+10.03%</w:t>
            </w:r>
          </w:p>
        </w:tc>
        <w:tc>
          <w:tcPr>
            <w:tcW w:type="dxa" w:w="300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+0.16%</w:t>
            </w:r>
          </w:p>
        </w:tc>
      </w:tr>
      <w:tr>
        <w:tc>
          <w:tcPr>
            <w:tcW w:type="dxa" w:w="493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Snapshots vs Summary 差值</w:t>
            </w:r>
          </w:p>
        </w:tc>
        <w:tc>
          <w:tcPr>
            <w:tcW w:type="dxa" w:w="193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C62828"/>
                <w:sz w:val="20"/>
              </w:rPr>
              <w:t>+7,827.00</w:t>
            </w:r>
          </w:p>
        </w:tc>
        <w:tc>
          <w:tcPr>
            <w:tcW w:type="dxa" w:w="300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0.00</w:t>
            </w:r>
          </w:p>
        </w:tc>
      </w:tr>
      <w:tr>
        <w:tc>
          <w:tcPr>
            <w:tcW w:type="dxa" w:w="493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全部历史日期一致性</w:t>
            </w:r>
          </w:p>
        </w:tc>
        <w:tc>
          <w:tcPr>
            <w:tcW w:type="dxa" w:w="193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存在偏差</w:t>
            </w:r>
          </w:p>
        </w:tc>
        <w:tc>
          <w:tcPr>
            <w:tcW w:type="dxa" w:w="3003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3,381 个交易日全部一致</w:t>
            </w:r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 xml:space="preserve">Commit: </w:t>
      </w:r>
      <w:r>
        <w:rPr>
          <w:rFonts w:ascii="Consolas" w:hAnsi="Consolas" w:eastAsia="Microsoft YaHei" w:cs="Consolas"/>
          <w:color w:val="6A1B9A"/>
          <w:sz w:val="18"/>
          <w:shd w:val="clear" w:color="auto" w:fill="F3E5F5"/>
        </w:rPr>
        <w:t>834b5dc</w:t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六、持仓数据自动更新</w:t>
      </w:r>
    </w:p>
    <w:p>
      <w:pPr>
        <w:spacing w:before="45" w:after="45" w:line="272" w:lineRule="auto"/>
        <w:jc w:val="both"/>
      </w:pP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settings.py</w:t>
      </w:r>
      <w:r>
        <w:rPr>
          <w:rFonts w:ascii="Arial" w:hAnsi="Arial" w:eastAsia="Microsoft YaHei" w:cs="Arial"/>
          <w:color w:val="1A1A1A"/>
          <w:sz w:val="22"/>
        </w:rPr>
        <w:t xml:space="preserve"> 中的 </w:t>
      </w:r>
      <w:r>
        <w:rPr>
          <w:rFonts w:ascii="Arial" w:hAnsi="Arial" w:eastAsia="Microsoft YaHei" w:cs="Arial"/>
          <w:color w:val="1A1A1A"/>
          <w:sz w:val="22"/>
        </w:rPr>
        <w:t>_find_latest_position_file()</w:t>
      </w:r>
      <w:r>
        <w:rPr>
          <w:rFonts w:ascii="Arial" w:hAnsi="Arial" w:eastAsia="Microsoft YaHei" w:cs="Arial"/>
          <w:color w:val="1A1A1A"/>
          <w:sz w:val="22"/>
        </w:rPr>
        <w:t xml:space="preserve"> 实现了自动查找通达信导出目录中最新的持仓股文件。系统启动时自动检测 </w:t>
      </w:r>
      <w:r>
        <w:rPr>
          <w:rFonts w:ascii="Arial" w:hAnsi="Arial" w:eastAsia="Microsoft YaHei" w:cs="Arial"/>
          <w:color w:val="1A1A1A"/>
          <w:sz w:val="22"/>
        </w:rPr>
        <w:t>C:\zd_zsone\T0002\export\</w:t>
      </w:r>
      <w:r>
        <w:rPr>
          <w:rFonts w:ascii="Arial" w:hAnsi="Arial" w:eastAsia="Microsoft YaHei" w:cs="Arial"/>
          <w:color w:val="1A1A1A"/>
          <w:sz w:val="22"/>
        </w:rPr>
        <w:t xml:space="preserve"> 目录下以"持仓股"开头、</w:t>
      </w:r>
      <w:r>
        <w:rPr>
          <w:rFonts w:ascii="Arial" w:hAnsi="Arial" w:eastAsia="Microsoft YaHei" w:cs="Arial"/>
          <w:color w:val="1A1A1A"/>
          <w:sz w:val="22"/>
        </w:rPr>
        <w:t>.xls</w:t>
      </w:r>
      <w:r>
        <w:rPr>
          <w:rFonts w:ascii="Arial" w:hAnsi="Arial" w:eastAsia="Microsoft YaHei" w:cs="Arial"/>
          <w:color w:val="1A1A1A"/>
          <w:sz w:val="22"/>
        </w:rPr>
        <w:t xml:space="preserve"> 或 </w:t>
      </w:r>
      <w:r>
        <w:rPr>
          <w:rFonts w:ascii="Arial" w:hAnsi="Arial" w:eastAsia="Microsoft YaHei" w:cs="Arial"/>
          <w:color w:val="1A1A1A"/>
          <w:sz w:val="22"/>
        </w:rPr>
        <w:t>.tsv</w:t>
      </w:r>
      <w:r>
        <w:rPr>
          <w:rFonts w:ascii="Arial" w:hAnsi="Arial" w:eastAsia="Microsoft YaHei" w:cs="Arial"/>
          <w:color w:val="1A1A1A"/>
          <w:sz w:val="22"/>
        </w:rPr>
        <w:t xml:space="preserve"> 结尾的文件，按修改时间排序选取最新文件。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6.1 当前持仓文件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8966"/>
      </w:tblGrid>
      <w:tr>
        <w:tc>
          <w:tcPr>
            <w:tcW w:type="dxa" w:w="900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文件路径</w:t>
            </w:r>
          </w:p>
        </w:tc>
        <w:tc>
          <w:tcPr>
            <w:tcW w:type="dxa" w:w="8966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C:\zd_zsone\T0002\export\持仓股20260427.xls</w:t>
            </w:r>
          </w:p>
        </w:tc>
      </w:tr>
      <w:tr>
        <w:tc>
          <w:tcPr>
            <w:tcW w:type="dxa" w:w="900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修改时间</w:t>
            </w:r>
          </w:p>
        </w:tc>
        <w:tc>
          <w:tcPr>
            <w:tcW w:type="dxa" w:w="8966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2026-04-27 15:49:14</w:t>
            </w:r>
          </w:p>
        </w:tc>
      </w:tr>
      <w:tr>
        <w:tc>
          <w:tcPr>
            <w:tcW w:type="dxa" w:w="900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格式</w:t>
            </w:r>
          </w:p>
        </w:tc>
        <w:tc>
          <w:tcPr>
            <w:tcW w:type="dxa" w:w="8966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TSV (GBK编码)，通达信导出</w:t>
            </w:r>
          </w:p>
        </w:tc>
      </w:tr>
      <w:tr>
        <w:tc>
          <w:tcPr>
            <w:tcW w:type="dxa" w:w="900"/>
            <w:shd w:val="clear" w:color="auto" w:fill="F5F5F5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  <w:shd w:val="clear" w:color="auto" w:fill="F5F5F5"/>
              </w:rPr>
              <w:t>持仓数</w:t>
            </w:r>
          </w:p>
        </w:tc>
        <w:tc>
          <w:tcPr>
            <w:tcW w:type="dxa" w:w="8966"/>
            <w:shd w:val="clear" w:color="auto" w:fill="FFFFFF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  <w:shd w:val="clear" w:color="auto" w:fill="FFFFFF"/>
              </w:rPr>
              <w:t>23 只 ETF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6.2 4/24 vs 4/27 持仓变化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38"/>
        <w:gridCol w:w="1328"/>
        <w:gridCol w:w="1517"/>
        <w:gridCol w:w="1517"/>
        <w:gridCol w:w="1138"/>
        <w:gridCol w:w="1517"/>
        <w:gridCol w:w="1711"/>
      </w:tblGrid>
      <w:tr>
        <w:tc>
          <w:tcPr>
            <w:tcW w:type="dxa" w:w="113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代码</w:t>
            </w:r>
          </w:p>
        </w:tc>
        <w:tc>
          <w:tcPr>
            <w:tcW w:type="dxa" w:w="132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名称</w:t>
            </w:r>
          </w:p>
        </w:tc>
        <w:tc>
          <w:tcPr>
            <w:tcW w:type="dxa" w:w="151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数量(4/24)</w:t>
            </w:r>
          </w:p>
        </w:tc>
        <w:tc>
          <w:tcPr>
            <w:tcW w:type="dxa" w:w="151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数量(4/27)</w:t>
            </w:r>
          </w:p>
        </w:tc>
        <w:tc>
          <w:tcPr>
            <w:tcW w:type="dxa" w:w="113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变化</w:t>
            </w:r>
          </w:p>
        </w:tc>
        <w:tc>
          <w:tcPr>
            <w:tcW w:type="dxa" w:w="151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现价(4/27)</w:t>
            </w:r>
          </w:p>
        </w:tc>
        <w:tc>
          <w:tcPr>
            <w:tcW w:type="dxa" w:w="1711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市值(4/27)</w:t>
            </w:r>
          </w:p>
        </w:tc>
      </w:tr>
      <w:tr>
        <w:tc>
          <w:tcPr>
            <w:tcW w:type="dxa" w:w="113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515010</w:t>
            </w:r>
          </w:p>
        </w:tc>
        <w:tc>
          <w:tcPr>
            <w:tcW w:type="dxa" w:w="132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证券ETF华夏</w:t>
            </w:r>
          </w:p>
        </w:tc>
        <w:tc>
          <w:tcPr>
            <w:tcW w:type="dxa" w:w="151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58,300</w:t>
            </w:r>
          </w:p>
        </w:tc>
        <w:tc>
          <w:tcPr>
            <w:tcW w:type="dxa" w:w="151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59,900</w:t>
            </w:r>
          </w:p>
        </w:tc>
        <w:tc>
          <w:tcPr>
            <w:tcW w:type="dxa" w:w="113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+1,600</w:t>
            </w:r>
          </w:p>
        </w:tc>
        <w:tc>
          <w:tcPr>
            <w:tcW w:type="dxa" w:w="151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1.215</w:t>
            </w:r>
          </w:p>
        </w:tc>
        <w:tc>
          <w:tcPr>
            <w:tcW w:type="dxa" w:w="1711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72,778.50</w:t>
            </w:r>
          </w:p>
        </w:tc>
      </w:tr>
      <w:tr>
        <w:tc>
          <w:tcPr>
            <w:tcW w:type="dxa" w:w="5500"/>
            <w:gridSpan w:val="4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757575"/>
                <w:sz w:val="20"/>
              </w:rPr>
              <w:t>其余 22 只 ETF 数量不变</w:t>
            </w:r>
          </w:p>
        </w:tc>
        <w:tc>
          <w:tcPr>
            <w:tcW w:type="dxa" w:w="113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</w:p>
        </w:tc>
        <w:tc>
          <w:tcPr>
            <w:tcW w:type="dxa" w:w="151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</w:p>
        </w:tc>
        <w:tc>
          <w:tcPr>
            <w:tcW w:type="dxa" w:w="1711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</w:p>
        </w:tc>
      </w:tr>
    </w:tbl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价格变化最大：消费电子ETF +13.4%、人工智能ETF +9.8%、科创50ETF +9.6%。</w:t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七、全面验证结果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7.1 数据完整性验证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验证项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预期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实际</w:t>
            </w:r>
          </w:p>
        </w:tc>
        <w:tc>
          <w:tcPr>
            <w:tcW w:type="dxa" w:w="246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交易日覆盖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≥3,000 天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3,381 天 (2012-05-28 ~ 2026-04-27)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最新日持仓数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23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23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Snapshots vs Summary 一致性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差值 = 0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全部 3,381 天差值 = 0.00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总市值合理性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65~75万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682,793.60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日收益率合理性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|-5%|以内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+0.16%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沪深300超额收益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与大盘同步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+0.12% (沪深300 +0.03%)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7.2 P0 功能验证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#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功能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验证方法</w:t>
            </w:r>
          </w:p>
        </w:tc>
        <w:tc>
          <w:tcPr>
            <w:tcW w:type="dxa" w:w="246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扩展风险指标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Dashboard 显示 Sortino/Calmar/MaxDD 等 5 项指标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月度收益热力图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年份×月份矩阵颜色编码正确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滚动夏普/波动率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60/120/250日窗口曲线平滑连续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净值曲线归一化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组合与基准起点均为100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缓存优化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页面加载 &lt;5s（缓存命中时 &lt;1s）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弃用警告修复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终端无 Streamlit DeprecationWarning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非交易日防护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数据库无周末数据记录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7.3 P1 功能验证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#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功能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验证方法</w:t>
            </w:r>
          </w:p>
        </w:tc>
        <w:tc>
          <w:tcPr>
            <w:tcW w:type="dxa" w:w="246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持仓相关性矩阵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23×23 热力图，对角线为1.0，颜色渐变合理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ETF 详情面板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点击 ETF 行展开6区域详情，指标数据正确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多基准指数选择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11个基准可切换，所有图表联动更新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行业权重面积图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8大行业堆叠面积，时间序列连续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CSV 数据导出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导出文件含23行数据，字段完整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6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智能分析建议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页脚可折叠面板显示建议内容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7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增强分析报告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HTML报告含市场/行业/技术/风险模块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8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风险预警监控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4类规则配置正确，阈值触发正常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9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新闻情绪分析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API调用正常，数据入库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10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SQL注入修复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全部数据库操作使用参数化查询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7.4 P2 功能验证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#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功能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验证方法</w:t>
            </w:r>
          </w:p>
        </w:tc>
        <w:tc>
          <w:tcPr>
            <w:tcW w:type="dxa" w:w="246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Brinson 收益归因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堆叠柱状图按行业展示配置/选择/交互效应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截图导出 (PNG)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298KB PNG，45个Plotly图表全部渲染，无裁切空白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PDF 导出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1,166KB PDF，1页118行可提取文本，布局完整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Monte Carlo 模拟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1,000次模拟，5个时间维度预测区间图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7.5 数据一致性修复验证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验证项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预期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实际</w:t>
            </w:r>
          </w:p>
        </w:tc>
        <w:tc>
          <w:tcPr>
            <w:tcW w:type="dxa" w:w="246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4/27 日收益率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接近0%（非交易日前后）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+0.16%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Snapshots/Summary 差值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0.00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0.00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全历史一致性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所有交易日差值=0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3,381天全部一致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异常价格拦截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偏离&gt;30%时跳过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校验逻辑已添加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无行情 fallback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使用通达信静态数据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else 分支已添加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7.6 Dashboard 截图验证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验证项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预期</w:t>
            </w:r>
          </w:p>
        </w:tc>
        <w:tc>
          <w:tcPr>
            <w:tcW w:type="dxa" w:w="2466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实际</w:t>
            </w:r>
          </w:p>
        </w:tc>
        <w:tc>
          <w:tcPr>
            <w:tcW w:type="dxa" w:w="2468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结果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日收益率显示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约 +0.16%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+0.16%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总市值显示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约 682,794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¥682,793.60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图表渲染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全部完整渲染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45 个 Plotly 图表无灰色占位符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证券ETF华夏数量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59,900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59,900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  <w:tr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日期选择器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2026-04-27 (最新)</w:t>
            </w:r>
          </w:p>
        </w:tc>
        <w:tc>
          <w:tcPr>
            <w:tcW w:type="dxa" w:w="2466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2026-04-27 (最新)</w:t>
            </w:r>
          </w:p>
        </w:tc>
        <w:tc>
          <w:tcPr>
            <w:tcW w:type="dxa" w:w="2468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2E7D32"/>
                <w:sz w:val="20"/>
              </w:rPr>
              <w:t>通过</w:t>
            </w:r>
          </w:p>
        </w:tc>
      </w:tr>
    </w:tbl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八、系统架构概览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8.1 数据流水线</w:t>
      </w:r>
    </w:p>
    <w:p>
      <w:pPr>
        <w:spacing w:before="0" w:after="0" w:line="60" w:lineRule="exact"/>
      </w:pPr>
      <w:r>
        <w:rPr>
          <w:sz w:val="6"/>
        </w:rPr>
      </w:r>
    </w:p>
    <w:tbl>
      <w:tblPr>
        <w:tblStyle w:val="TableGrid"/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866"/>
      </w:tblGrid>
      <w:tr>
        <w:tc>
          <w:tcPr>
            <w:tcW w:type="dxa" w:w="9866"/>
            <w:shd w:val="clear" w:color="auto" w:fill="F5F5F5"/>
            <w:tcBorders>
              <w:left w:val="single" w:sz="6" w:space="1" w:color="E0E0E0"/>
              <w:right w:val="single" w:sz="6" w:space="1" w:color="E0E0E0"/>
              <w:top w:val="single" w:sz="6" w:space="1" w:color="E0E0E0"/>
              <w:bottom w:val="single" w:sz="6" w:space="1" w:color="E0E0E0"/>
            </w:tcBorders>
            <w:tcMar>
              <w:top w:w="120" w:type="dxa"/>
              <w:right w:w="180" w:type="dxa"/>
              <w:bottom w:w="120" w:type="dxa"/>
              <w:left w:w="180" w:type="dxa"/>
            </w:tcMar>
          </w:tcPr>
          <w:p>
            <w:pPr>
              <w:spacing w:line="272" w:lineRule="auto"/>
            </w:pPr>
            <w:r>
              <w:rPr>
                <w:rFonts w:ascii="Consolas" w:hAnsi="Consolas" w:eastAsia="Microsoft YaHei" w:cs="Consolas"/>
                <w:color w:val="1A1A1A"/>
                <w:sz w:val="19"/>
              </w:rPr>
              <w:t>通达信导出文件 (.xls/TSV)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 xml:space="preserve">  → PositionReader.read_positions()        -- 解析持仓数据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 xml:space="preserve">  → SinaAPI.get_batch_quotes()              -- 获取实时行情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 xml:space="preserve">  → _calculate_summary()                    -- 汇总计算（含prev_value校验）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 xml:space="preserve">  → save_portfolio_snapshot()               -- 写入持仓快照（使用realtime数据）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 xml:space="preserve">  → save_portfolio_summary()                -- 写入组合汇总</w:t>
            </w:r>
            <w:r>
              <w:br/>
            </w:r>
            <w:r>
              <w:rPr>
                <w:rFonts w:ascii="Consolas" w:hAnsi="Consolas" w:eastAsia="Microsoft YaHei" w:cs="Consolas"/>
                <w:color w:val="1A1A1A"/>
                <w:sz w:val="19"/>
              </w:rPr>
              <w:t xml:space="preserve">  → SQLite (portfolio.db)                   -- 持久化存储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8.2 文件结构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289"/>
        <w:gridCol w:w="900"/>
        <w:gridCol w:w="4677"/>
      </w:tblGrid>
      <w:tr>
        <w:tc>
          <w:tcPr>
            <w:tcW w:type="dxa" w:w="4289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文件/目录</w:t>
            </w:r>
          </w:p>
        </w:tc>
        <w:tc>
          <w:tcPr>
            <w:tcW w:type="dxa" w:w="900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行数</w:t>
            </w:r>
          </w:p>
        </w:tc>
        <w:tc>
          <w:tcPr>
            <w:tcW w:type="dxa" w:w="4677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职责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dashboard.py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2,631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Streamlit Dashboard 主程序（含截图/PDF导出）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src/analysis/portfolio.py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286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每日分析引擎（实时行情更新 + 汇总计算）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src/analysis/portfolio_risk.py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266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投资组合风险分析（Brinson归因、集中度）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src/analysis/risk.py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344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风险指标计算（VaR、CVaR、波动率、回撤）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src/analysis/technical.py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378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技术指标计算（MA/MACD/RSI/KDJ/BOLL/ATR）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src/analysis/advisor.py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426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智能投资建议引擎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src/analysis/backtest.py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335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回测分析模块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src/utils/database.py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268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SQLite 数据库操作（含realtime优先逻辑）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src/utils/position_reader.py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138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通达信持仓文件解析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src/utils/enhanced_report.py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536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增强分析报告生成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src/utils/monitor.py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302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风险预警监控规则引擎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src/utils/news_fetcher.py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447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新闻数据获取与分析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src/data_sources/sina.py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128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新浪财经API（实时行情 + K线）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config/settings.py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—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全局配置（含自动文件查找）</w:t>
            </w:r>
          </w:p>
        </w:tc>
      </w:tr>
      <w:tr>
        <w:tc>
          <w:tcPr>
            <w:tcW w:type="dxa" w:w="4289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Consolas" w:hAnsi="Consolas" w:eastAsia="Microsoft YaHei" w:cs="Consolas"/>
                <w:color w:val="00695C"/>
                <w:sz w:val="18"/>
                <w:shd w:val="clear" w:color="auto" w:fill="E0F2F1"/>
              </w:rPr>
              <w:t>data/database/portfolio.db</w:t>
            </w:r>
          </w:p>
        </w:tc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—</w:t>
            </w:r>
          </w:p>
        </w:tc>
        <w:tc>
          <w:tcPr>
            <w:tcW w:type="dxa" w:w="4677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SQLite 数据库（3,381天 × 23只ETF）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8.3 依赖管理</w:t>
      </w:r>
    </w:p>
    <w:p>
      <w:pPr>
        <w:spacing w:before="45" w:after="45" w:line="272" w:lineRule="auto"/>
        <w:jc w:val="both"/>
      </w:pPr>
      <w:r>
        <w:rPr>
          <w:rFonts w:ascii="Arial" w:hAnsi="Arial" w:eastAsia="Microsoft YaHei" w:cs="Arial"/>
          <w:color w:val="1A1A1A"/>
          <w:sz w:val="22"/>
        </w:rPr>
        <w:t>核心依赖（</w:t>
      </w:r>
      <w:r>
        <w:rPr>
          <w:rFonts w:ascii="Consolas" w:hAnsi="Consolas" w:eastAsia="Microsoft YaHei" w:cs="Consolas"/>
          <w:color w:val="00695C"/>
          <w:sz w:val="18"/>
          <w:shd w:val="clear" w:color="auto" w:fill="E0F2F1"/>
        </w:rPr>
        <w:t>requirements.txt</w:t>
      </w:r>
      <w:r>
        <w:rPr>
          <w:rFonts w:ascii="Arial" w:hAnsi="Arial" w:eastAsia="Microsoft YaHei" w:cs="Arial"/>
          <w:color w:val="1A1A1A"/>
          <w:sz w:val="22"/>
        </w:rPr>
        <w:t>）：streamlit、plotly、pandas、numpy、sqlite3（标准库）、selenium、webdriver-manager、beautifulsoup4、requests。</w:t>
      </w:r>
    </w:p>
    <w:p>
      <w:pPr>
        <w:spacing w:line="272" w:lineRule="auto"/>
      </w:pPr>
    </w:p>
    <w:p>
      <w:pPr>
        <w:pStyle w:val="Heading2"/>
        <w:keepNext w:val="0"/>
        <w:keepLines w:val="0"/>
        <w:pageBreakBefore w:val="0"/>
        <w:spacing w:before="210" w:after="75" w:line="272" w:lineRule="auto"/>
        <w:ind w:left="60" w:firstLine="150"/>
        <w:outlineLvl w:val="1"/>
        <w:pBdr>
          <w:left w:val="single" w:sz="24" w:space="1" w:color="1565C0"/>
        </w:pBdr>
      </w:pPr>
      <w:r>
        <w:rPr>
          <w:rFonts w:ascii="Arial" w:hAnsi="Arial" w:eastAsia="Microsoft YaHei" w:cs="Arial"/>
          <w:b/>
          <w:color w:val="1565C0"/>
          <w:sz w:val="30"/>
        </w:rPr>
        <w:t>九、已知局限与后续方向</w:t>
      </w:r>
    </w:p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9.1 当前局限</w:t>
      </w:r>
    </w:p>
    <w:tbl>
      <w:tblPr>
        <w:tblStyle w:val="TableGrid"/>
        <w:tblW w:type="dxa" w:w="986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722"/>
        <w:gridCol w:w="1512"/>
        <w:gridCol w:w="4732"/>
      </w:tblGrid>
      <w:tr>
        <w:tc>
          <w:tcPr>
            <w:tcW w:type="dxa" w:w="900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#</w:t>
            </w:r>
          </w:p>
        </w:tc>
        <w:tc>
          <w:tcPr>
            <w:tcW w:type="dxa" w:w="2722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局限</w:t>
            </w:r>
          </w:p>
        </w:tc>
        <w:tc>
          <w:tcPr>
            <w:tcW w:type="dxa" w:w="1512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影响</w:t>
            </w:r>
          </w:p>
        </w:tc>
        <w:tc>
          <w:tcPr>
            <w:tcW w:type="dxa" w:w="4732"/>
            <w:shd w:val="clear" w:color="auto" w:fill="E3F2FD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D47A1"/>
                <w:sz w:val="20"/>
                <w:shd w:val="clear" w:color="auto" w:fill="E3F2FD"/>
              </w:rPr>
              <w:t>建议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1</w:t>
            </w:r>
          </w:p>
        </w:tc>
        <w:tc>
          <w:tcPr>
            <w:tcW w:type="dxa" w:w="272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通达信持仓文件需手动导出</w:t>
            </w:r>
          </w:p>
        </w:tc>
        <w:tc>
          <w:tcPr>
            <w:tcW w:type="dxa" w:w="151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数据更新依赖人工操作</w:t>
            </w:r>
          </w:p>
        </w:tc>
        <w:tc>
          <w:tcPr>
            <w:tcW w:type="dxa" w:w="473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配置定时任务自动执行通达信导出脚本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2</w:t>
            </w:r>
          </w:p>
        </w:tc>
        <w:tc>
          <w:tcPr>
            <w:tcW w:type="dxa" w:w="272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新浪API存在频率限制</w:t>
            </w:r>
          </w:p>
        </w:tc>
        <w:tc>
          <w:tcPr>
            <w:tcW w:type="dxa" w:w="151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高频调用可能被限流</w:t>
            </w:r>
          </w:p>
        </w:tc>
        <w:tc>
          <w:tcPr>
            <w:tcW w:type="dxa" w:w="473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已实现 retry + delay 机制，可考虑接入东方财富作为备用源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3</w:t>
            </w:r>
          </w:p>
        </w:tc>
        <w:tc>
          <w:tcPr>
            <w:tcW w:type="dxa" w:w="272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Brinson 归因基准权重为估算</w:t>
            </w:r>
          </w:p>
        </w:tc>
        <w:tc>
          <w:tcPr>
            <w:tcW w:type="dxa" w:w="151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归因精度受限</w:t>
            </w:r>
          </w:p>
        </w:tc>
        <w:tc>
          <w:tcPr>
            <w:tcW w:type="dxa" w:w="473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引入真实指数成分权重数据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4</w:t>
            </w:r>
          </w:p>
        </w:tc>
        <w:tc>
          <w:tcPr>
            <w:tcW w:type="dxa" w:w="272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Monte Carlo 假设正态分布</w:t>
            </w:r>
          </w:p>
        </w:tc>
        <w:tc>
          <w:tcPr>
            <w:tcW w:type="dxa" w:w="151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极端行情预测不准</w:t>
            </w:r>
          </w:p>
        </w:tc>
        <w:tc>
          <w:tcPr>
            <w:tcW w:type="dxa" w:w="473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可改用历史模拟法或 GARCH 模型</w:t>
            </w:r>
          </w:p>
        </w:tc>
      </w:tr>
      <w:tr>
        <w:tc>
          <w:tcPr>
            <w:tcW w:type="dxa" w:w="900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5</w:t>
            </w:r>
          </w:p>
        </w:tc>
        <w:tc>
          <w:tcPr>
            <w:tcW w:type="dxa" w:w="272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通知系统默认关闭</w:t>
            </w:r>
          </w:p>
        </w:tc>
        <w:tc>
          <w:tcPr>
            <w:tcW w:type="dxa" w:w="151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无法实时接收告警</w:t>
            </w:r>
          </w:p>
        </w:tc>
        <w:tc>
          <w:tcPr>
            <w:tcW w:type="dxa" w:w="4732"/>
            <w:tcBorders>
              <w:left w:val="single" w:sz="6" w:space="1" w:color="CCCCCC"/>
              <w:right w:val="single" w:sz="6" w:space="1" w:color="CCCCCC"/>
              <w:top w:val="single" w:sz="6" w:space="1" w:color="CCCCCC"/>
              <w:bottom w:val="single" w:sz="6" w:space="1" w:color="CCCCCC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72" w:lineRule="auto"/>
              <w:jc w:val="left"/>
            </w:pPr>
            <w:r/>
            <w:r>
              <w:rPr>
                <w:rFonts w:ascii="Arial" w:hAnsi="Arial" w:eastAsia="Microsoft YaHei" w:cs="Arial"/>
                <w:color w:val="1A1A1A"/>
                <w:sz w:val="20"/>
              </w:rPr>
              <w:t>配置企业微信 Webhook 或邮箱 SMTP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Microsoft YaHei" w:cs="Arial"/>
          <w:b/>
          <w:color w:val="1976D2"/>
          <w:sz w:val="25"/>
        </w:rPr>
        <w:t>9.2 后续方向</w:t>
      </w:r>
    </w:p>
    <w:p>
      <w:pPr>
        <w:pStyle w:val="ListNumber"/>
        <w:numPr>
          <w:ilvl w:val="0"/>
          <w:numId w:val="14"/>
        </w:numPr>
        <w:spacing w:before="22" w:after="22" w:line="272" w:lineRule="auto"/>
        <w:ind w:left="690" w:hanging="360"/>
      </w:pPr>
      <w:r>
        <w:rPr>
          <w:rFonts w:ascii="Arial" w:hAnsi="Arial" w:eastAsia="Microsoft YaHei" w:cs="Arial"/>
          <w:b/>
          <w:color w:val="1A1A1A"/>
          <w:sz w:val="22"/>
        </w:rPr>
        <w:t>自动化调度</w:t>
      </w:r>
      <w:r>
        <w:rPr>
          <w:rFonts w:ascii="Arial" w:hAnsi="Arial" w:eastAsia="Microsoft YaHei" w:cs="Arial"/>
          <w:color w:val="1A1A1A"/>
          <w:sz w:val="22"/>
        </w:rPr>
        <w:t>：配置 APScheduler 定时任务，交易日 15:30 自动执行分析并推送报告</w:t>
      </w:r>
    </w:p>
    <w:p>
      <w:pPr>
        <w:pStyle w:val="ListNumber"/>
        <w:numPr>
          <w:ilvl w:val="0"/>
          <w:numId w:val="14"/>
        </w:numPr>
        <w:spacing w:before="22" w:after="22" w:line="272" w:lineRule="auto"/>
        <w:ind w:left="690" w:hanging="360"/>
      </w:pPr>
      <w:r>
        <w:rPr>
          <w:rFonts w:ascii="Arial" w:hAnsi="Arial" w:eastAsia="Microsoft YaHei" w:cs="Arial"/>
          <w:b/>
          <w:color w:val="1A1A1A"/>
          <w:sz w:val="22"/>
        </w:rPr>
        <w:t>多账户支持</w:t>
      </w:r>
      <w:r>
        <w:rPr>
          <w:rFonts w:ascii="Arial" w:hAnsi="Arial" w:eastAsia="Microsoft YaHei" w:cs="Arial"/>
          <w:color w:val="1A1A1A"/>
          <w:sz w:val="22"/>
        </w:rPr>
        <w:t>：扩展数据库模型，支持多个投资组合并行管理</w:t>
      </w:r>
    </w:p>
    <w:p>
      <w:pPr>
        <w:pStyle w:val="ListNumber"/>
        <w:numPr>
          <w:ilvl w:val="0"/>
          <w:numId w:val="14"/>
        </w:numPr>
        <w:spacing w:before="22" w:after="22" w:line="272" w:lineRule="auto"/>
        <w:ind w:left="690" w:hanging="360"/>
      </w:pPr>
      <w:r>
        <w:rPr>
          <w:rFonts w:ascii="Arial" w:hAnsi="Arial" w:eastAsia="Microsoft YaHei" w:cs="Arial"/>
          <w:b/>
          <w:color w:val="1A1A1A"/>
          <w:sz w:val="22"/>
        </w:rPr>
        <w:t>实盘交易接口</w:t>
      </w:r>
      <w:r>
        <w:rPr>
          <w:rFonts w:ascii="Arial" w:hAnsi="Arial" w:eastAsia="Microsoft YaHei" w:cs="Arial"/>
          <w:color w:val="1A1A1A"/>
          <w:sz w:val="22"/>
        </w:rPr>
        <w:t>：对接券商API，实现信号驱动的半自动交易</w:t>
      </w:r>
    </w:p>
    <w:p>
      <w:pPr>
        <w:pStyle w:val="ListNumber"/>
        <w:numPr>
          <w:ilvl w:val="0"/>
          <w:numId w:val="14"/>
        </w:numPr>
        <w:spacing w:before="22" w:after="22" w:line="272" w:lineRule="auto"/>
        <w:ind w:left="690" w:hanging="360"/>
      </w:pPr>
      <w:r>
        <w:rPr>
          <w:rFonts w:ascii="Arial" w:hAnsi="Arial" w:eastAsia="Microsoft YaHei" w:cs="Arial"/>
          <w:b/>
          <w:color w:val="1A1A1A"/>
          <w:sz w:val="22"/>
        </w:rPr>
        <w:t>回测框架增强</w:t>
      </w:r>
      <w:r>
        <w:rPr>
          <w:rFonts w:ascii="Arial" w:hAnsi="Arial" w:eastAsia="Microsoft YaHei" w:cs="Arial"/>
          <w:color w:val="1A1A1A"/>
          <w:sz w:val="22"/>
        </w:rPr>
        <w:t>：支持自定义策略回测、因子分析、组合优化</w:t>
      </w:r>
    </w:p>
    <w:p>
      <w:pPr>
        <w:pStyle w:val="ListNumber"/>
        <w:numPr>
          <w:ilvl w:val="0"/>
          <w:numId w:val="14"/>
        </w:numPr>
        <w:spacing w:before="22" w:after="22" w:line="272" w:lineRule="auto"/>
        <w:ind w:left="690" w:hanging="360"/>
      </w:pPr>
      <w:r>
        <w:rPr>
          <w:rFonts w:ascii="Arial" w:hAnsi="Arial" w:eastAsia="Microsoft YaHei" w:cs="Arial"/>
          <w:b/>
          <w:color w:val="1A1A1A"/>
          <w:sz w:val="22"/>
        </w:rPr>
        <w:t>移动端适配</w:t>
      </w:r>
      <w:r>
        <w:rPr>
          <w:rFonts w:ascii="Arial" w:hAnsi="Arial" w:eastAsia="Microsoft YaHei" w:cs="Arial"/>
          <w:color w:val="1A1A1A"/>
          <w:sz w:val="22"/>
        </w:rPr>
        <w:t>：Streamlit 响应式布局优化，支持手机/平板访问</w:t>
      </w:r>
    </w:p>
    <w:p>
      <w:pPr>
        <w:spacing w:before="300" w:line="272" w:lineRule="auto"/>
        <w:pBdr>
          <w:top w:val="single" w:sz="6" w:space="1" w:color="E0E0E0"/>
        </w:pBdr>
      </w:pPr>
      <w:r>
        <w:rPr>
          <w:rFonts w:ascii="Arial" w:hAnsi="Arial" w:eastAsia="Microsoft YaHei" w:cs="Arial"/>
          <w:color w:val="757575"/>
          <w:sz w:val="18"/>
        </w:rPr>
        <w:t xml:space="preserve">投资组合跟踪分析系统 v3.2 | 全面验证报告 | 生成日期 2026-04-27 | P0(7/7) P1(10/10) P2(4/4) + 数据修复 — 共 23 项功能全部通过验证 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