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225" w:after="75" w:line="256" w:lineRule="auto"/>
        <w:jc w:val="center"/>
        <w:outlineLvl w:val="0"/>
      </w:pPr>
      <w:r>
        <w:rPr>
          <w:rFonts w:ascii="Arial" w:hAnsi="Arial" w:eastAsia="Microsoft YaHei" w:cs="Arial"/>
          <w:b/>
          <w:color w:val="1A5276"/>
          <w:sz w:val="56"/>
        </w:rPr>
        <w:t>投资组合跟踪分析系统</w:t>
      </w:r>
    </w:p>
    <w:p>
      <w:pPr>
        <w:spacing w:after="225" w:line="256" w:lineRule="auto"/>
        <w:jc w:val="center"/>
      </w:pPr>
      <w:r>
        <w:rPr>
          <w:rFonts w:ascii="Arial" w:hAnsi="Arial" w:eastAsia="Microsoft YaHei" w:cs="Arial"/>
          <w:color w:val="7F8C8D"/>
          <w:sz w:val="28"/>
        </w:rPr>
        <w:t>综合项目文档</w:t>
      </w:r>
    </w:p>
    <w:p>
      <w:pPr>
        <w:spacing w:before="60" w:after="60" w:line="256" w:lineRule="auto"/>
        <w:jc w:val="center"/>
      </w:pPr>
      <w:r>
        <w:rPr>
          <w:rFonts w:ascii="Arial" w:hAnsi="Arial" w:eastAsia="Microsoft YaHei" w:cs="Arial"/>
          <w:color w:val="95A5A6"/>
          <w:sz w:val="22"/>
        </w:rPr>
        <w:t>系统版本: v1.8</w:t>
      </w:r>
    </w:p>
    <w:p>
      <w:pPr>
        <w:spacing w:before="60" w:after="60" w:line="256" w:lineRule="auto"/>
        <w:jc w:val="center"/>
      </w:pPr>
      <w:r>
        <w:rPr>
          <w:rFonts w:ascii="Arial" w:hAnsi="Arial" w:eastAsia="Microsoft YaHei" w:cs="Arial"/>
          <w:color w:val="95A5A6"/>
          <w:sz w:val="22"/>
        </w:rPr>
        <w:t>文档日期: 2026年5月10日</w:t>
      </w:r>
    </w:p>
    <w:p>
      <w:pPr>
        <w:spacing w:before="60" w:after="60" w:line="256" w:lineRule="auto"/>
        <w:jc w:val="center"/>
      </w:pPr>
      <w:r>
        <w:rPr>
          <w:rFonts w:ascii="Arial" w:hAnsi="Arial" w:eastAsia="Microsoft YaHei" w:cs="Arial"/>
          <w:color w:val="95A5A6"/>
          <w:sz w:val="22"/>
        </w:rPr>
        <w:t>文档版本: 2.0 (全面更新)</w:t>
      </w:r>
    </w:p>
    <w:p>
      <w:pPr>
        <w:pBdr>
          <w:bottom w:val="single" w:sz="6" w:space="1" w:color="auto"/>
        </w:pBdr>
      </w:pPr>
    </w:p>
    <w:p>
      <w:pPr>
        <w:spacing w:before="0" w:after="0" w:line="150" w:lineRule="exact"/>
      </w:pPr>
      <w:r>
        <w:rPr>
          <w:sz w:val="15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8F9FA"/>
            <w:tcBorders>
              <w:left w:val="single" w:sz="6" w:space="1" w:color="DEE2E6"/>
              <w:right w:val="single" w:sz="6" w:space="1" w:color="DEE2E6"/>
              <w:top w:val="single" w:sz="6" w:space="1" w:color="DEE2E6"/>
              <w:bottom w:val="single" w:sz="6" w:space="1" w:color="DEE2E6"/>
            </w:tcBorders>
            <w:tcMar>
              <w:top w:w="240" w:type="dxa"/>
              <w:right w:w="360" w:type="dxa"/>
              <w:bottom w:w="240" w:type="dxa"/>
              <w:left w:w="360" w:type="dxa"/>
            </w:tcMar>
          </w:tcPr>
          <w:p>
            <w:pPr>
              <w:pStyle w:val="Heading3"/>
              <w:keepNext w:val="0"/>
              <w:keepLines w:val="0"/>
              <w:pageBreakBefore w:val="0"/>
              <w:spacing w:before="0" w:line="256" w:lineRule="auto"/>
              <w:outlineLvl w:val="2"/>
            </w:pPr>
            <w:r>
              <w:rPr>
                <w:rFonts w:ascii="Arial" w:hAnsi="Arial" w:eastAsia="Microsoft YaHei" w:cs="Arial"/>
                <w:color w:val="2C3E50"/>
                <w:sz w:val="26"/>
              </w:rPr>
              <w:t>目 录</w:t>
            </w:r>
          </w:p>
          <w:p>
            <w:pPr>
              <w:spacing w:before="45" w:after="45" w:line="256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2"/>
              </w:rPr>
              <w:t xml:space="preserve">一、系统概述 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1.1 项目背景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1.2 技术栈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1.3 系统规模</w:t>
            </w:r>
          </w:p>
          <w:p>
            <w:pPr>
              <w:spacing w:before="45" w:after="45" w:line="256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2"/>
              </w:rPr>
              <w:t xml:space="preserve">二、功能架构与版本演进 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2.1 五阶段架构总览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2.2 版本历史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2.3 Phase 1: 基础架构 (v1.0)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2.4 Phase 2: 风险分析 (v1.0)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2.5 Phase 3: 自动化部署 (v1.1)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2.6 Phase 4: 智能分析 (v1.2)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2.7 Dashboard 可视化 (v1.3 ~ v1.8)</w:t>
            </w:r>
          </w:p>
          <w:p>
            <w:pPr>
              <w:spacing w:before="45" w:after="45" w:line="256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2"/>
              </w:rPr>
              <w:t xml:space="preserve">三、Dashboard 功能详解 (v1.8) 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3.1 Tab 1: 净值走势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3.2 Tab 2: 持仓分布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3.3 Tab 3: 风险分析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3.4 Tab 4: 收益日历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3.5 Tab 5: 高级分析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3.6 Tab 6: 技术信号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3.7 Tab 7: 资讯与评估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3.8 Tab 8: 操作建议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3.9 侧边栏与全局控制</w:t>
            </w:r>
          </w:p>
          <w:p>
            <w:pPr>
              <w:spacing w:before="45" w:after="45" w:line="256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2"/>
              </w:rPr>
              <w:t xml:space="preserve">四、数据库设计 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4.1 表结构总览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4.2 数据规模</w:t>
            </w:r>
          </w:p>
          <w:p>
            <w:pPr>
              <w:spacing w:before="45" w:after="45" w:line="256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2"/>
              </w:rPr>
              <w:t xml:space="preserve">五、配置说明 </w:t>
            </w:r>
          </w:p>
          <w:p>
            <w:pPr>
              <w:spacing w:before="45" w:after="45" w:line="256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2"/>
              </w:rPr>
              <w:t xml:space="preserve">六、部署与运维 </w:t>
            </w:r>
          </w:p>
          <w:p>
            <w:pPr>
              <w:spacing w:before="45" w:after="45" w:line="256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2"/>
              </w:rPr>
              <w:t xml:space="preserve">七、Phase 5 规划 (v2.0) 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7.1 自定义指标工作台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7.2 资金流分析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7.3 数据导出增强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7.4 组合归因深化</w:t>
            </w:r>
          </w:p>
          <w:p>
            <w:pPr>
              <w:spacing w:before="22" w:after="22" w:line="256" w:lineRule="auto"/>
              <w:ind w:left="360"/>
            </w:pPr>
            <w:r>
              <w:rPr>
                <w:rFonts w:ascii="Arial" w:hAnsi="Arial" w:eastAsia="Microsoft YaHei" w:cs="Arial"/>
                <w:color w:val="333333"/>
                <w:sz w:val="22"/>
              </w:rPr>
              <w:t>7.5 系统体验优化</w:t>
            </w:r>
          </w:p>
        </w:tc>
      </w:tr>
    </w:tbl>
    <w:p>
      <w:pPr>
        <w:spacing w:before="0" w:after="0" w:line="150" w:lineRule="exact"/>
      </w:pPr>
      <w:r>
        <w:rPr>
          <w:sz w:val="15"/>
        </w:rPr>
      </w:r>
    </w:p>
    <w:p>
      <w:pPr>
        <w:pBdr>
          <w:bottom w:val="single" w:sz="6" w:space="1" w:color="auto"/>
        </w:pBdr>
      </w:pPr>
    </w:p>
    <w:p>
      <w:pPr>
        <w:pStyle w:val="Heading2"/>
        <w:keepNext w:val="0"/>
        <w:keepLines w:val="0"/>
        <w:pageBreakBefore w:val="0"/>
        <w:spacing w:before="187" w:after="70" w:line="256" w:lineRule="auto"/>
        <w:outlineLvl w:val="1"/>
        <w:pBdr>
          <w:bottom w:val="single" w:sz="6" w:space="1" w:color="BDC3C7"/>
        </w:pBdr>
      </w:pPr>
      <w:r>
        <w:rPr>
          <w:rFonts w:ascii="Arial" w:hAnsi="Arial" w:eastAsia="Microsoft YaHei" w:cs="Arial"/>
          <w:b/>
          <w:color w:val="2C3E50"/>
          <w:sz w:val="32"/>
        </w:rPr>
        <w:t>一、系统概述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1.1 项目背景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投资组合跟踪分析系统是一个面向个人投资者的 ETF 投资组合管理工具。系统自动读取通达信持仓文件，获取多源行情数据，计算丰富的技术指标和风险指标，并通过 Streamlit Dashboard 提供交互式可视化分析界面。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系统自 2026年4月23日启动开发，经历五个阶段的迭代，从基础的行情获取和指标计算，逐步演进为覆盖数据分析、风险监控、智能建议、可视化展示的完整投资分析平台。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1.2 技术栈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4957"/>
        <w:gridCol w:w="2783"/>
      </w:tblGrid>
      <w:tr>
        <w:tc>
          <w:tcPr>
            <w:tcW w:type="dxa" w:w="90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类别</w:t>
            </w:r>
          </w:p>
        </w:tc>
        <w:tc>
          <w:tcPr>
            <w:tcW w:type="dxa" w:w="4957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技术选型</w:t>
            </w:r>
          </w:p>
        </w:tc>
        <w:tc>
          <w:tcPr>
            <w:tcW w:type="dxa" w:w="2783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主界面</w:t>
            </w:r>
          </w:p>
        </w:tc>
        <w:tc>
          <w:tcPr>
            <w:tcW w:type="dxa" w:w="495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Streamlit</w:t>
            </w:r>
          </w:p>
        </w:tc>
        <w:tc>
          <w:tcPr>
            <w:tcW w:type="dxa" w:w="2783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Python Web 框架，快速构建数据应用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图表库</w:t>
            </w:r>
          </w:p>
        </w:tc>
        <w:tc>
          <w:tcPr>
            <w:tcW w:type="dxa" w:w="495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Plotly</w:t>
            </w:r>
          </w:p>
        </w:tc>
        <w:tc>
          <w:tcPr>
            <w:tcW w:type="dxa" w:w="2783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交互式图表（折线图/柱状图/饼图/热力图等）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数据库</w:t>
            </w:r>
          </w:p>
        </w:tc>
        <w:tc>
          <w:tcPr>
            <w:tcW w:type="dxa" w:w="495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SQLite</w:t>
            </w:r>
          </w:p>
        </w:tc>
        <w:tc>
          <w:tcPr>
            <w:tcW w:type="dxa" w:w="2783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轻量级嵌入式数据库，零配置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数据源</w:t>
            </w:r>
          </w:p>
        </w:tc>
        <w:tc>
          <w:tcPr>
            <w:tcW w:type="dxa" w:w="495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新浪财经 / 东方财富 / AKShare</w:t>
            </w:r>
          </w:p>
        </w:tc>
        <w:tc>
          <w:tcPr>
            <w:tcW w:type="dxa" w:w="2783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三源互备，自动切换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定时任务</w:t>
            </w:r>
          </w:p>
        </w:tc>
        <w:tc>
          <w:tcPr>
            <w:tcW w:type="dxa" w:w="495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Windows Task Scheduler + PowerShell</w:t>
            </w:r>
          </w:p>
        </w:tc>
        <w:tc>
          <w:tcPr>
            <w:tcW w:type="dxa" w:w="2783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交易日收盘后自动运行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通知</w:t>
            </w:r>
          </w:p>
        </w:tc>
        <w:tc>
          <w:tcPr>
            <w:tcW w:type="dxa" w:w="495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SMTP 邮件 / 企业微信 Webhook</w:t>
            </w:r>
          </w:p>
        </w:tc>
        <w:tc>
          <w:tcPr>
            <w:tcW w:type="dxa" w:w="2783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告警和日报推送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持仓读取</w:t>
            </w:r>
          </w:p>
        </w:tc>
        <w:tc>
          <w:tcPr>
            <w:tcW w:type="dxa" w:w="495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通达信导出文件</w:t>
            </w:r>
          </w:p>
        </w:tc>
        <w:tc>
          <w:tcPr>
            <w:tcW w:type="dxa" w:w="2783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自动解析最新持仓文件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1.3 系统规模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209"/>
        <w:gridCol w:w="5431"/>
      </w:tblGrid>
      <w:tr>
        <w:tc>
          <w:tcPr>
            <w:tcW w:type="dxa" w:w="3209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指标</w:t>
            </w:r>
          </w:p>
        </w:tc>
        <w:tc>
          <w:tcPr>
            <w:tcW w:type="dxa" w:w="5431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数值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Python 文件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36 个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代码总行数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12,705 行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Dashboard 主文件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5,049 行 (dashboard.py)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Plotly 交互图表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25 个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数据库大小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~19 MB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数据记录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~170,000 条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基准指数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11 个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ETF 分类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23 只 / 8 个行业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技术指标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7 种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风险指标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10+ 项</w:t>
            </w:r>
          </w:p>
        </w:tc>
      </w:tr>
      <w:tr>
        <w:tc>
          <w:tcPr>
            <w:tcW w:type="dxa" w:w="3209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告警规则</w:t>
            </w:r>
          </w:p>
        </w:tc>
        <w:tc>
          <w:tcPr>
            <w:tcW w:type="dxa" w:w="543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8 条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keepNext w:val="0"/>
        <w:keepLines w:val="0"/>
        <w:pageBreakBefore w:val="0"/>
        <w:spacing w:before="187" w:after="70" w:line="256" w:lineRule="auto"/>
        <w:outlineLvl w:val="1"/>
        <w:pBdr>
          <w:bottom w:val="single" w:sz="6" w:space="1" w:color="BDC3C7"/>
        </w:pBdr>
      </w:pPr>
      <w:r>
        <w:rPr>
          <w:rFonts w:ascii="Arial" w:hAnsi="Arial" w:eastAsia="Microsoft YaHei" w:cs="Arial"/>
          <w:b/>
          <w:color w:val="2C3E50"/>
          <w:sz w:val="32"/>
        </w:rPr>
        <w:t>二、功能架构与版本演进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2.1 五阶段架构总览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阶段</w:t>
            </w:r>
          </w:p>
        </w:tc>
        <w:tc>
          <w:tcPr>
            <w:tcW w:type="dxa" w:w="216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定位</w:t>
            </w:r>
          </w:p>
        </w:tc>
        <w:tc>
          <w:tcPr>
            <w:tcW w:type="dxa" w:w="216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核心能力</w:t>
            </w:r>
          </w:p>
        </w:tc>
        <w:tc>
          <w:tcPr>
            <w:tcW w:type="dxa" w:w="216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版本</w:t>
            </w:r>
          </w:p>
        </w:tc>
      </w:tr>
      <w:tr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pict>
                <v:roundrect style="width:22.70pt;height:15.90pt;v-text-anchor:middle" o:allowincell="t" filled="t" fillcolor="#3498DB" stroked="f" arcsize="9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b/>
                            <w:color w:val="FFFFFF"/>
                          </w:rPr>
                          <w:t>P1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基础架构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数据采集层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多数据源 + 技术指标 + SQLite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v1.0</w:t>
            </w:r>
          </w:p>
        </w:tc>
      </w:tr>
      <w:tr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pict>
                <v:roundrect style="width:22.70pt;height:15.90pt;v-text-anchor:middle" o:allowincell="t" filled="t" fillcolor="#E67E22" stroked="f" arcsize="9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b/>
                            <w:color w:val="FFFFFF"/>
                          </w:rPr>
                          <w:t>P2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风险分析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分析引擎层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夏普/回撤/VaR/Beta/HHI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v1.0</w:t>
            </w:r>
          </w:p>
        </w:tc>
      </w:tr>
      <w:tr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pict>
                <v:roundrect style="width:22.70pt;height:15.90pt;v-text-anchor:middle" o:allowincell="t" filled="t" fillcolor="#9B59B6" stroked="f" arcsize="9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b/>
                            <w:color w:val="FFFFFF"/>
                          </w:rPr>
                          <w:t>P3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自动化部署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运维层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通知 + 告警 + 监控 + 定时任务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v1.1</w:t>
            </w:r>
          </w:p>
        </w:tc>
      </w:tr>
      <w:tr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pict>
                <v:roundrect style="width:22.70pt;height:15.90pt;v-text-anchor:middle" o:allowincell="t" filled="t" fillcolor="#E74C3C" stroked="f" arcsize="9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b/>
                            <w:color w:val="FFFFFF"/>
                          </w:rPr>
                          <w:t>P4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智能分析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智能层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回测 + 建议 + 报告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v1.2</w:t>
            </w:r>
          </w:p>
        </w:tc>
      </w:tr>
      <w:tr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pict>
                <v:roundrect style="width:22.70pt;height:15.90pt;v-text-anchor:middle" o:allowincell="t" filled="t" fillcolor="#27AE60" stroked="f" arcsize="9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b/>
                            <w:color w:val="FFFFFF"/>
                          </w:rPr>
                          <w:t>P5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Dashboard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展示层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Streamlit 8Tab + 25图表 + 交互分析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v1.3~v1.8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2.2 版本历史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1600"/>
        <w:gridCol w:w="6140"/>
      </w:tblGrid>
      <w:tr>
        <w:tc>
          <w:tcPr>
            <w:tcW w:type="dxa" w:w="90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版本</w:t>
            </w:r>
          </w:p>
        </w:tc>
        <w:tc>
          <w:tcPr>
            <w:tcW w:type="dxa" w:w="160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日期</w:t>
            </w:r>
          </w:p>
        </w:tc>
        <w:tc>
          <w:tcPr>
            <w:tcW w:type="dxa" w:w="614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主要变更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v1.0</w:t>
            </w:r>
          </w:p>
        </w:tc>
        <w:tc>
          <w:tcPr>
            <w:tcW w:type="dxa" w:w="16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2026-04-23</w:t>
            </w:r>
          </w:p>
        </w:tc>
        <w:tc>
          <w:tcPr>
            <w:tcW w:type="dxa" w:w="614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Phase 1+2: 多数据源 + 7种技术指标 + SQLite + 风险分析引擎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v1.1</w:t>
            </w:r>
          </w:p>
        </w:tc>
        <w:tc>
          <w:tcPr>
            <w:tcW w:type="dxa" w:w="16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2026-04-24</w:t>
            </w:r>
          </w:p>
        </w:tc>
        <w:tc>
          <w:tcPr>
            <w:tcW w:type="dxa" w:w="614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Phase 3: 邮件/企业微信通知 + 5项告警规则 + 执行日志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v1.2</w:t>
            </w:r>
          </w:p>
        </w:tc>
        <w:tc>
          <w:tcPr>
            <w:tcW w:type="dxa" w:w="16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2026-04-25</w:t>
            </w:r>
          </w:p>
        </w:tc>
        <w:tc>
          <w:tcPr>
            <w:tcW w:type="dxa" w:w="614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Phase 4: 5种回测策略 + 智能建议引擎 + 定时任务四阶段整合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v1.3</w:t>
            </w:r>
          </w:p>
        </w:tc>
        <w:tc>
          <w:tcPr>
            <w:tcW w:type="dxa" w:w="16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2026-04-27</w:t>
            </w:r>
          </w:p>
        </w:tc>
        <w:tc>
          <w:tcPr>
            <w:tcW w:type="dxa" w:w="614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Dashboard 基础架构: 5个Tab + 净值曲线/持仓分布/风险分析/Monte Carlo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v1.4</w:t>
            </w:r>
          </w:p>
        </w:tc>
        <w:tc>
          <w:tcPr>
            <w:tcW w:type="dxa" w:w="16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2026-04-28</w:t>
            </w:r>
          </w:p>
        </w:tc>
        <w:tc>
          <w:tcPr>
            <w:tcW w:type="dxa" w:w="614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收益日历热力图 + 11个基准指数行情加载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v1.5</w:t>
            </w:r>
          </w:p>
        </w:tc>
        <w:tc>
          <w:tcPr>
            <w:tcW w:type="dxa" w:w="16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2026-04-29</w:t>
            </w:r>
          </w:p>
        </w:tc>
        <w:tc>
          <w:tcPr>
            <w:tcW w:type="dxa" w:w="614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技术信号面板: 雷达图/详情表/布林带分布/RSI分布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v1.6</w:t>
            </w:r>
          </w:p>
        </w:tc>
        <w:tc>
          <w:tcPr>
            <w:tcW w:type="dxa" w:w="16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2026-04-30</w:t>
            </w:r>
          </w:p>
        </w:tc>
        <w:tc>
          <w:tcPr>
            <w:tcW w:type="dxa" w:w="614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资讯面板 + 综合评估 + 操作建议 + 数据导出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v1.7</w:t>
            </w:r>
          </w:p>
        </w:tc>
        <w:tc>
          <w:tcPr>
            <w:tcW w:type="dxa" w:w="16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2026-05-01</w:t>
            </w:r>
          </w:p>
        </w:tc>
        <w:tc>
          <w:tcPr>
            <w:tcW w:type="dxa" w:w="614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Brinson归因 + Monte Carlo优化 + 再平衡建议 + 性能优化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v1.8</w:t>
            </w:r>
          </w:p>
        </w:tc>
        <w:tc>
          <w:tcPr>
            <w:tcW w:type="dxa" w:w="16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2026-05-10</w:t>
            </w:r>
          </w:p>
        </w:tc>
        <w:tc>
          <w:tcPr>
            <w:tcW w:type="dxa" w:w="614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Phase 4增强: 多基准对比/区间收益/ETF筛选器/告警中心/市场情绪/压力测试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2.3 Phase 1: 基础架构 (v1.0)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核心模块:</w:t>
      </w:r>
      <w:r>
        <w:pict>
          <v:roundrect style="width:90.32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src/data_sources/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, </w:t>
      </w:r>
      <w:r>
        <w:pict>
          <v:roundrect style="width:130.64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src/analysis/technical.py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, </w:t>
      </w:r>
      <w:r>
        <w:pict>
          <v:roundrect style="width:110.48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src/utils/database.py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, </w:t>
      </w:r>
      <w:r>
        <w:pict>
          <v:roundrect style="width:144.14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src/utils/position_reader.py</w:t>
                  </w:r>
                </w:p>
              </w:txbxContent>
            </v:textbox>
          </v:roundrect>
        </w:pict>
      </w:r>
    </w:p>
    <w:p>
      <w:pPr>
        <w:pStyle w:val="ListBullet"/>
        <w:numPr>
          <w:ilvl w:val="0"/>
          <w:numId w:val="10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多数据源支持:</w:t>
      </w:r>
      <w:r>
        <w:rPr>
          <w:rFonts w:ascii="Arial" w:hAnsi="Arial" w:eastAsia="Microsoft YaHei" w:cs="Arial"/>
          <w:color w:val="333333"/>
          <w:sz w:val="22"/>
        </w:rPr>
        <w:t xml:space="preserve"> 新浪财经(主) + 东方财富(备) + AKShare(三备)，故障自动切换</w:t>
      </w:r>
    </w:p>
    <w:p>
      <w:pPr>
        <w:pStyle w:val="ListBullet"/>
        <w:numPr>
          <w:ilvl w:val="0"/>
          <w:numId w:val="10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7 种技术指标:</w:t>
      </w:r>
      <w:r>
        <w:rPr>
          <w:rFonts w:ascii="Arial" w:hAnsi="Arial" w:eastAsia="Microsoft YaHei" w:cs="Arial"/>
          <w:color w:val="333333"/>
          <w:sz w:val="22"/>
        </w:rPr>
        <w:t xml:space="preserve"> MA(5/20), MACD(12/26/9), RSI(14), KDJ(9/3/3), 布林带(20,2), ATR(14), 成交量MA</w:t>
      </w:r>
    </w:p>
    <w:p>
      <w:pPr>
        <w:pStyle w:val="ListBullet"/>
        <w:numPr>
          <w:ilvl w:val="0"/>
          <w:numId w:val="10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数据持久化:</w:t>
      </w:r>
      <w:r>
        <w:rPr>
          <w:rFonts w:ascii="Arial" w:hAnsi="Arial" w:eastAsia="Microsoft YaHei" w:cs="Arial"/>
          <w:color w:val="333333"/>
          <w:sz w:val="22"/>
        </w:rPr>
        <w:t xml:space="preserve"> SQLite 数据库自动建表、增量更新</w:t>
      </w:r>
    </w:p>
    <w:p>
      <w:pPr>
        <w:pStyle w:val="ListBullet"/>
        <w:numPr>
          <w:ilvl w:val="0"/>
          <w:numId w:val="10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持仓读取:</w:t>
      </w:r>
      <w:r>
        <w:rPr>
          <w:rFonts w:ascii="Arial" w:hAnsi="Arial" w:eastAsia="Microsoft YaHei" w:cs="Arial"/>
          <w:color w:val="333333"/>
          <w:sz w:val="22"/>
        </w:rPr>
        <w:t xml:space="preserve"> 自动查找通达信最新导出文件并解析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2.4 Phase 2: 风险分析 (v1.0)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核心模块:</w:t>
      </w:r>
      <w:r>
        <w:pict>
          <v:roundrect style="width:105.44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src/analysis/risk.py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, </w:t>
      </w:r>
      <w:r>
        <w:pict>
          <v:roundrect style="width:154.22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src/analysis/portfolio_risk.py</w:t>
                  </w:r>
                </w:p>
              </w:txbxContent>
            </v:textbox>
          </v:roundrect>
        </w:pict>
      </w:r>
    </w:p>
    <w:p>
      <w:pPr>
        <w:pStyle w:val="ListBullet"/>
        <w:numPr>
          <w:ilvl w:val="0"/>
          <w:numId w:val="11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收益风险比:</w:t>
      </w:r>
      <w:r>
        <w:rPr>
          <w:rFonts w:ascii="Arial" w:hAnsi="Arial" w:eastAsia="Microsoft YaHei" w:cs="Arial"/>
          <w:color w:val="333333"/>
          <w:sz w:val="22"/>
        </w:rPr>
        <w:t xml:space="preserve"> 夏普比率、索提诺比率、卡玛比率</w:t>
      </w:r>
    </w:p>
    <w:p>
      <w:pPr>
        <w:pStyle w:val="ListBullet"/>
        <w:numPr>
          <w:ilvl w:val="0"/>
          <w:numId w:val="11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回撤分析:</w:t>
      </w:r>
      <w:r>
        <w:rPr>
          <w:rFonts w:ascii="Arial" w:hAnsi="Arial" w:eastAsia="Microsoft YaHei" w:cs="Arial"/>
          <w:color w:val="333333"/>
          <w:sz w:val="22"/>
        </w:rPr>
        <w:t xml:space="preserve"> 最大回撤、当前回撤、回撤持续天数</w:t>
      </w:r>
    </w:p>
    <w:p>
      <w:pPr>
        <w:pStyle w:val="ListBullet"/>
        <w:numPr>
          <w:ilvl w:val="0"/>
          <w:numId w:val="11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尾部风险:</w:t>
      </w:r>
      <w:r>
        <w:rPr>
          <w:rFonts w:ascii="Arial" w:hAnsi="Arial" w:eastAsia="Microsoft YaHei" w:cs="Arial"/>
          <w:color w:val="333333"/>
          <w:sz w:val="22"/>
        </w:rPr>
        <w:t xml:space="preserve"> VaR(95%/99%)、CVaR</w:t>
      </w:r>
    </w:p>
    <w:p>
      <w:pPr>
        <w:pStyle w:val="ListBullet"/>
        <w:numPr>
          <w:ilvl w:val="0"/>
          <w:numId w:val="11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系统性风险:</w:t>
      </w:r>
      <w:r>
        <w:rPr>
          <w:rFonts w:ascii="Arial" w:hAnsi="Arial" w:eastAsia="Microsoft YaHei" w:cs="Arial"/>
          <w:color w:val="333333"/>
          <w:sz w:val="22"/>
        </w:rPr>
        <w:t xml:space="preserve"> Beta、Alpha、R-squared、信息比率</w:t>
      </w:r>
    </w:p>
    <w:p>
      <w:pPr>
        <w:pStyle w:val="ListBullet"/>
        <w:numPr>
          <w:ilvl w:val="0"/>
          <w:numId w:val="11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集中度分析:</w:t>
      </w:r>
      <w:r>
        <w:rPr>
          <w:rFonts w:ascii="Arial" w:hAnsi="Arial" w:eastAsia="Microsoft YaHei" w:cs="Arial"/>
          <w:color w:val="333333"/>
          <w:sz w:val="22"/>
        </w:rPr>
        <w:t xml:space="preserve"> HHI 指数、等效品种数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2.5 Phase 3: 自动化部署 (v1.1)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核心模块:</w:t>
      </w:r>
      <w:r>
        <w:pict>
          <v:roundrect style="width:130.64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src/utils/notification.py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, </w:t>
      </w:r>
      <w:r>
        <w:pict>
          <v:roundrect style="width:105.44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src/utils/monitor.py</w:t>
                  </w:r>
                </w:p>
              </w:txbxContent>
            </v:textbox>
          </v:roundrect>
        </w:pict>
      </w:r>
    </w:p>
    <w:p>
      <w:pPr>
        <w:pStyle w:val="ListBullet"/>
        <w:numPr>
          <w:ilvl w:val="0"/>
          <w:numId w:val="12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通知机制:</w:t>
      </w:r>
      <w:r>
        <w:rPr>
          <w:rFonts w:ascii="Arial" w:hAnsi="Arial" w:eastAsia="Microsoft YaHei" w:cs="Arial"/>
          <w:color w:val="333333"/>
          <w:sz w:val="22"/>
        </w:rPr>
        <w:t xml:space="preserve"> SMTP 邮件 + 企业微信 Webhook</w:t>
      </w:r>
    </w:p>
    <w:p>
      <w:pPr>
        <w:pStyle w:val="ListBullet"/>
        <w:numPr>
          <w:ilvl w:val="0"/>
          <w:numId w:val="12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5 项告警规则:</w:t>
      </w:r>
      <w:r>
        <w:rPr>
          <w:rFonts w:ascii="Arial" w:hAnsi="Arial" w:eastAsia="Microsoft YaHei" w:cs="Arial"/>
          <w:color w:val="333333"/>
          <w:sz w:val="22"/>
        </w:rPr>
        <w:t xml:space="preserve"> 日跌幅(-3%)、回撤(-10%)、HHI(0.5)、波动率(30%)、夏普(0.5)</w:t>
      </w:r>
    </w:p>
    <w:p>
      <w:pPr>
        <w:pStyle w:val="ListBullet"/>
        <w:numPr>
          <w:ilvl w:val="0"/>
          <w:numId w:val="12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执行日志:</w:t>
      </w:r>
      <w:r>
        <w:rPr>
          <w:rFonts w:ascii="Arial" w:hAnsi="Arial" w:eastAsia="Microsoft YaHei" w:cs="Arial"/>
          <w:color w:val="333333"/>
          <w:sz w:val="22"/>
        </w:rPr>
        <w:t xml:space="preserve"> 自动记录每次分析执行状态和耗时</w:t>
      </w:r>
    </w:p>
    <w:p>
      <w:pPr>
        <w:pStyle w:val="ListBullet"/>
        <w:numPr>
          <w:ilvl w:val="0"/>
          <w:numId w:val="12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定时任务:</w:t>
      </w:r>
      <w:r>
        <w:rPr>
          <w:rFonts w:ascii="Arial" w:hAnsi="Arial" w:eastAsia="Microsoft YaHei" w:cs="Arial"/>
          <w:color w:val="333333"/>
          <w:sz w:val="22"/>
        </w:rPr>
        <w:t xml:space="preserve"> Windows Task Scheduler，交易日 15:10 自动执行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2.6 Phase 4: 智能分析 (v1.2)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核心模块:</w:t>
      </w:r>
      <w:r>
        <w:pict>
          <v:roundrect style="width:125.60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src/analysis/backtest.py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, </w:t>
      </w:r>
      <w:r>
        <w:pict>
          <v:roundrect style="width:120.56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src/analysis/advisor.py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, </w:t>
      </w:r>
      <w:r>
        <w:pict>
          <v:roundrect style="width:134.06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src/report/smart_report.py</w:t>
                  </w:r>
                </w:p>
              </w:txbxContent>
            </v:textbox>
          </v:roundrect>
        </w:pict>
      </w:r>
    </w:p>
    <w:p>
      <w:pPr>
        <w:pStyle w:val="ListBullet"/>
        <w:numPr>
          <w:ilvl w:val="0"/>
          <w:numId w:val="13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5 种回测策略:</w:t>
      </w:r>
      <w:r>
        <w:rPr>
          <w:rFonts w:ascii="Arial" w:hAnsi="Arial" w:eastAsia="Microsoft YaHei" w:cs="Arial"/>
          <w:color w:val="333333"/>
          <w:sz w:val="22"/>
        </w:rPr>
        <w:t xml:space="preserve"> Buy&amp;Hold / Periodic / Threshold / Risk Parity / Momentum</w:t>
      </w:r>
    </w:p>
    <w:p>
      <w:pPr>
        <w:pStyle w:val="ListBullet"/>
        <w:numPr>
          <w:ilvl w:val="0"/>
          <w:numId w:val="13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5 类投资建议:</w:t>
      </w:r>
      <w:r>
        <w:rPr>
          <w:rFonts w:ascii="Arial" w:hAnsi="Arial" w:eastAsia="Microsoft YaHei" w:cs="Arial"/>
          <w:color w:val="333333"/>
          <w:sz w:val="22"/>
        </w:rPr>
        <w:t xml:space="preserve"> 再平衡 / 风险管理 / 机会识别 / 风险提示 / 策略建议</w:t>
      </w:r>
    </w:p>
    <w:p>
      <w:pPr>
        <w:pStyle w:val="ListBullet"/>
        <w:numPr>
          <w:ilvl w:val="0"/>
          <w:numId w:val="13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智能报告:</w:t>
      </w:r>
      <w:r>
        <w:rPr>
          <w:rFonts w:ascii="Arial" w:hAnsi="Arial" w:eastAsia="Microsoft YaHei" w:cs="Arial"/>
          <w:color w:val="333333"/>
          <w:sz w:val="22"/>
        </w:rPr>
        <w:t xml:space="preserve"> Markdown 格式，含执行摘要和建议列表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2.7 Dashboard 可视化 (v1.3 ~ v1.8)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核心文件:</w:t>
      </w:r>
      <w:r>
        <w:pict>
          <v:roundrect style="width:68.36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dashboard.py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(5,049 行)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Streamlit Dashboard 是系统的核心展示层，通过 8 个主 Tab 和 4 个子 Tab 提供 360 度投资组合分析视图。v1.3 至 v1.8 历经 6 个版本的迭代，持续增加分析维度和交互能力。</w:t>
      </w:r>
    </w:p>
    <w:p>
      <w:pPr>
        <w:pBdr>
          <w:bottom w:val="single" w:sz="6" w:space="1" w:color="auto"/>
        </w:pBdr>
      </w:pPr>
    </w:p>
    <w:p>
      <w:pPr>
        <w:pStyle w:val="Heading2"/>
        <w:keepNext w:val="0"/>
        <w:keepLines w:val="0"/>
        <w:pageBreakBefore w:val="0"/>
        <w:spacing w:before="187" w:after="70" w:line="256" w:lineRule="auto"/>
        <w:outlineLvl w:val="1"/>
        <w:pBdr>
          <w:bottom w:val="single" w:sz="6" w:space="1" w:color="BDC3C7"/>
        </w:pBdr>
      </w:pPr>
      <w:r>
        <w:rPr>
          <w:rFonts w:ascii="Arial" w:hAnsi="Arial" w:eastAsia="Microsoft YaHei" w:cs="Arial"/>
          <w:b/>
          <w:color w:val="2C3E50"/>
          <w:sz w:val="32"/>
        </w:rPr>
        <w:t>三、Dashboard 功能详解 (v1.8)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3.1 Tab 1: 净值走势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投资组合净值走势对比与深度收益分析。核心图表使用 Plotly 交互渲染，支持缩放、平移、悬停查看数据。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2430"/>
        <w:gridCol w:w="5310"/>
      </w:tblGrid>
      <w:tr>
        <w:tc>
          <w:tcPr>
            <w:tcW w:type="dxa" w:w="90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功能区域</w:t>
            </w:r>
          </w:p>
        </w:tc>
        <w:tc>
          <w:tcPr>
            <w:tcW w:type="dxa" w:w="243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组件</w:t>
            </w:r>
          </w:p>
        </w:tc>
        <w:tc>
          <w:tcPr>
            <w:tcW w:type="dxa" w:w="531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净值曲线</w:t>
            </w:r>
          </w:p>
        </w:tc>
        <w:tc>
          <w:tcPr>
            <w:tcW w:type="dxa" w:w="243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Plotly 折线图</w:t>
            </w:r>
          </w:p>
        </w:tc>
        <w:tc>
          <w:tcPr>
            <w:tcW w:type="dxa" w:w="531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组合净值 vs 基准指数，含最大最小标注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收益分布</w:t>
            </w:r>
          </w:p>
        </w:tc>
        <w:tc>
          <w:tcPr>
            <w:tcW w:type="dxa" w:w="243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Plotly 直方图</w:t>
            </w:r>
          </w:p>
        </w:tc>
        <w:tc>
          <w:tcPr>
            <w:tcW w:type="dxa" w:w="531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日收益率分布，含均值线和标准差区间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每日盈亏</w:t>
            </w:r>
          </w:p>
        </w:tc>
        <w:tc>
          <w:tcPr>
            <w:tcW w:type="dxa" w:w="243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Plotly 柱状图</w:t>
            </w:r>
          </w:p>
        </w:tc>
        <w:tc>
          <w:tcPr>
            <w:tcW w:type="dxa" w:w="531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红绿柱状图，正收益绿色/负收益红色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滚动指标</w:t>
            </w:r>
          </w:p>
        </w:tc>
        <w:tc>
          <w:tcPr>
            <w:tcW w:type="dxa" w:w="243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 个子图</w:t>
            </w:r>
          </w:p>
        </w:tc>
        <w:tc>
          <w:tcPr>
            <w:tcW w:type="dxa" w:w="531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60日滚动夏普/波动率/最大回撤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多基准对比</w:t>
            </w:r>
          </w:p>
        </w:tc>
        <w:tc>
          <w:tcPr>
            <w:tcW w:type="dxa" w:w="243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子Tab + multiselect</w:t>
            </w:r>
          </w:p>
        </w:tc>
        <w:tc>
          <w:tcPr>
            <w:tcW w:type="dxa" w:w="531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最多5个指数叠加对比 + 收益排行卡片</w:t>
            </w:r>
          </w:p>
        </w:tc>
      </w:tr>
      <w:tr>
        <w:tc>
          <w:tcPr>
            <w:tcW w:type="dxa" w:w="90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区间收益分析</w:t>
            </w:r>
          </w:p>
        </w:tc>
        <w:tc>
          <w:tcPr>
            <w:tcW w:type="dxa" w:w="243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子Tab + 日期选择</w:t>
            </w:r>
          </w:p>
        </w:tc>
        <w:tc>
          <w:tcPr>
            <w:tcW w:type="dxa" w:w="531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自定义区间8项指标对比表 (累计收益/年化/夏普/回撤/波动率/胜率/盈亏比/最佳最差单日)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3.2 Tab 2: 持仓分布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从多个维度展示投资组合的持仓结构和分布特征。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ETF 智能筛选器 (v1.8新增):</w:t>
      </w:r>
      <w:r>
        <w:rPr>
          <w:rFonts w:ascii="Arial" w:hAnsi="Arial" w:eastAsia="Microsoft YaHei" w:cs="Arial"/>
          <w:color w:val="333333"/>
          <w:sz w:val="22"/>
        </w:rPr>
        <w:t xml:space="preserve"> 三维筛选（行业/收益状态/排序），支持 8 种排序方式，卡片展示筛选结果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持仓分布环形图:</w:t>
      </w:r>
      <w:r>
        <w:rPr>
          <w:rFonts w:ascii="Arial" w:hAnsi="Arial" w:eastAsia="Microsoft YaHei" w:cs="Arial"/>
          <w:color w:val="333333"/>
          <w:sz w:val="22"/>
        </w:rPr>
        <w:t xml:space="preserve"> 各 ETF 市值占比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行业权重堆叠面积图:</w:t>
      </w:r>
      <w:r>
        <w:rPr>
          <w:rFonts w:ascii="Arial" w:hAnsi="Arial" w:eastAsia="Microsoft YaHei" w:cs="Arial"/>
          <w:color w:val="333333"/>
          <w:sz w:val="22"/>
        </w:rPr>
        <w:t xml:space="preserve"> 8 大行业的权重变化趋势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相关性矩阵热力图:</w:t>
      </w:r>
      <w:r>
        <w:rPr>
          <w:rFonts w:ascii="Arial" w:hAnsi="Arial" w:eastAsia="Microsoft YaHei" w:cs="Arial"/>
          <w:color w:val="333333"/>
          <w:sz w:val="22"/>
        </w:rPr>
        <w:t xml:space="preserve"> 持仓间的收益率相关系数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累计盈亏柱状图:</w:t>
      </w:r>
      <w:r>
        <w:rPr>
          <w:rFonts w:ascii="Arial" w:hAnsi="Arial" w:eastAsia="Microsoft YaHei" w:cs="Arial"/>
          <w:color w:val="333333"/>
          <w:sz w:val="22"/>
        </w:rPr>
        <w:t xml:space="preserve"> 各 ETF 的累计盈亏金额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3.3 Tab 3: 风险分析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Brinson 归因分析、风险提示和实时告警监控。</w:t>
      </w:r>
    </w:p>
    <w:p>
      <w:pPr>
        <w:pStyle w:val="ListBullet"/>
        <w:numPr>
          <w:ilvl w:val="0"/>
          <w:numId w:val="15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Brinson 收益归因:</w:t>
      </w:r>
      <w:r>
        <w:rPr>
          <w:rFonts w:ascii="Arial" w:hAnsi="Arial" w:eastAsia="Microsoft YaHei" w:cs="Arial"/>
          <w:color w:val="333333"/>
          <w:sz w:val="22"/>
        </w:rPr>
        <w:t xml:space="preserve"> 超额收益分解为配置效应和选择效应</w:t>
      </w:r>
    </w:p>
    <w:p>
      <w:pPr>
        <w:pStyle w:val="ListBullet"/>
        <w:numPr>
          <w:ilvl w:val="0"/>
          <w:numId w:val="15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风险提示面板:</w:t>
      </w:r>
      <w:r>
        <w:rPr>
          <w:rFonts w:ascii="Arial" w:hAnsi="Arial" w:eastAsia="Microsoft YaHei" w:cs="Arial"/>
          <w:color w:val="333333"/>
          <w:sz w:val="22"/>
        </w:rPr>
        <w:t xml:space="preserve"> 关键风险指标卡片展示</w:t>
      </w:r>
    </w:p>
    <w:p>
      <w:pPr>
        <w:pStyle w:val="ListBullet"/>
        <w:numPr>
          <w:ilvl w:val="0"/>
          <w:numId w:val="15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告警中心 (v1.8新增):</w:t>
      </w:r>
      <w:r>
        <w:rPr>
          <w:rFonts w:ascii="Arial" w:hAnsi="Arial" w:eastAsia="Microsoft YaHei" w:cs="Arial"/>
          <w:color w:val="333333"/>
          <w:sz w:val="22"/>
        </w:rPr>
        <w:t xml:space="preserve"> 8 条实时规则引擎 + 历史告警记录 + 告警统计图表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3.4 Tab 4: 收益日历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日历热力图形式展示每日收益，直观识别收益模式。</w:t>
      </w:r>
    </w:p>
    <w:p>
      <w:pPr>
        <w:pStyle w:val="ListBullet"/>
        <w:numPr>
          <w:ilvl w:val="0"/>
          <w:numId w:val="16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年度/月度热力图:</w:t>
      </w:r>
      <w:r>
        <w:rPr>
          <w:rFonts w:ascii="Arial" w:hAnsi="Arial" w:eastAsia="Microsoft YaHei" w:cs="Arial"/>
          <w:color w:val="333333"/>
          <w:sz w:val="22"/>
        </w:rPr>
        <w:t xml:space="preserve"> 颜色深浅表示日收益率大小</w:t>
      </w:r>
    </w:p>
    <w:p>
      <w:pPr>
        <w:pStyle w:val="ListBullet"/>
        <w:numPr>
          <w:ilvl w:val="0"/>
          <w:numId w:val="16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月度统计:</w:t>
      </w:r>
      <w:r>
        <w:rPr>
          <w:rFonts w:ascii="Arial" w:hAnsi="Arial" w:eastAsia="Microsoft YaHei" w:cs="Arial"/>
          <w:color w:val="333333"/>
          <w:sz w:val="22"/>
        </w:rPr>
        <w:t xml:space="preserve"> 月度收益率、交易天数、最大单日涨跌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3.5 Tab 5: 高级分析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三种高级分析工具：Monte Carlo 模拟、压力测试和再平衡建议。</w:t>
      </w:r>
    </w:p>
    <w:p>
      <w:pPr>
        <w:pStyle w:val="ListBullet"/>
        <w:numPr>
          <w:ilvl w:val="0"/>
          <w:numId w:val="17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Monte Carlo 模拟:</w:t>
      </w:r>
      <w:r>
        <w:rPr>
          <w:rFonts w:ascii="Arial" w:hAnsi="Arial" w:eastAsia="Microsoft YaHei" w:cs="Arial"/>
          <w:color w:val="333333"/>
          <w:sz w:val="22"/>
        </w:rPr>
        <w:t xml:space="preserve"> Bootstrap 采样生成未来收益区间预测，扇形区域图 + VaR 估计</w:t>
      </w:r>
    </w:p>
    <w:p>
      <w:pPr>
        <w:pStyle w:val="ListBullet"/>
        <w:numPr>
          <w:ilvl w:val="0"/>
          <w:numId w:val="17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持仓压力测试 (v1.8新增):</w:t>
      </w:r>
      <w:r>
        <w:rPr>
          <w:rFonts w:ascii="Arial" w:hAnsi="Arial" w:eastAsia="Microsoft YaHei" w:cs="Arial"/>
          <w:color w:val="333333"/>
          <w:sz w:val="22"/>
        </w:rPr>
        <w:t xml:space="preserve"> 5 种极端情景模拟（温和下跌/大幅下跌/极端暴跌/震荡盘整/结构牛市），基于 Beta 和行业调整系数计算组合冲击，含行业影响分解</w:t>
      </w:r>
    </w:p>
    <w:p>
      <w:pPr>
        <w:pStyle w:val="ListBullet"/>
        <w:numPr>
          <w:ilvl w:val="0"/>
          <w:numId w:val="17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再平衡建议:</w:t>
      </w:r>
      <w:r>
        <w:rPr>
          <w:rFonts w:ascii="Arial" w:hAnsi="Arial" w:eastAsia="Microsoft YaHei" w:cs="Arial"/>
          <w:color w:val="333333"/>
          <w:sz w:val="22"/>
        </w:rPr>
        <w:t xml:space="preserve"> 目标权重 vs 实际权重偏离分析，生成调仓方案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3.6 Tab 6: 技术信号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汇总所有持仓 ETF 的技术信号，提供全景式技术面视图。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信号概览:</w:t>
      </w:r>
      <w:r>
        <w:rPr>
          <w:rFonts w:ascii="Arial" w:hAnsi="Arial" w:eastAsia="Microsoft YaHei" w:cs="Arial"/>
          <w:color w:val="333333"/>
          <w:sz w:val="22"/>
        </w:rPr>
        <w:t xml:space="preserve"> 多空信号数/趋势/超买超卖状态卡片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信号强度雷达图:</w:t>
      </w:r>
      <w:r>
        <w:rPr>
          <w:rFonts w:ascii="Arial" w:hAnsi="Arial" w:eastAsia="Microsoft YaHei" w:cs="Arial"/>
          <w:color w:val="333333"/>
          <w:sz w:val="22"/>
        </w:rPr>
        <w:t xml:space="preserve"> 多维信号强度可视化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技术信号详情表:</w:t>
      </w:r>
      <w:r>
        <w:rPr>
          <w:rFonts w:ascii="Arial" w:hAnsi="Arial" w:eastAsia="Microsoft YaHei" w:cs="Arial"/>
          <w:color w:val="333333"/>
          <w:sz w:val="22"/>
        </w:rPr>
        <w:t xml:space="preserve"> 各 ETF 的 MA/MACD/RSI/KDJ/布林带信号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布林带位置分布:</w:t>
      </w:r>
      <w:r>
        <w:rPr>
          <w:rFonts w:ascii="Arial" w:hAnsi="Arial" w:eastAsia="Microsoft YaHei" w:cs="Arial"/>
          <w:color w:val="333333"/>
          <w:sz w:val="22"/>
        </w:rPr>
        <w:t xml:space="preserve"> 所有 ETF 在布林带中的位置分布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RSI 分布:</w:t>
      </w:r>
      <w:r>
        <w:rPr>
          <w:rFonts w:ascii="Arial" w:hAnsi="Arial" w:eastAsia="Microsoft YaHei" w:cs="Arial"/>
          <w:color w:val="333333"/>
          <w:sz w:val="22"/>
        </w:rPr>
        <w:t xml:space="preserve"> RSI 值分布直方图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3.7 Tab 7: 资讯与评估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新闻资讯、综合评估和市场情绪分析。</w:t>
      </w:r>
    </w:p>
    <w:p>
      <w:pPr>
        <w:pStyle w:val="ListBullet"/>
        <w:numPr>
          <w:ilvl w:val="0"/>
          <w:numId w:val="19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新闻资讯面板:</w:t>
      </w:r>
      <w:r>
        <w:rPr>
          <w:rFonts w:ascii="Arial" w:hAnsi="Arial" w:eastAsia="Microsoft YaHei" w:cs="Arial"/>
          <w:color w:val="333333"/>
          <w:sz w:val="22"/>
        </w:rPr>
        <w:t xml:space="preserve"> 自动抓取分类财经新闻（宏观/行业/ETF/市场）</w:t>
      </w:r>
    </w:p>
    <w:p>
      <w:pPr>
        <w:pStyle w:val="ListBullet"/>
        <w:numPr>
          <w:ilvl w:val="0"/>
          <w:numId w:val="19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综合评估面板:</w:t>
      </w:r>
      <w:r>
        <w:rPr>
          <w:rFonts w:ascii="Arial" w:hAnsi="Arial" w:eastAsia="Microsoft YaHei" w:cs="Arial"/>
          <w:color w:val="333333"/>
          <w:sz w:val="22"/>
        </w:rPr>
        <w:t xml:space="preserve"> 组合收益/基准收益/超额收益(Alpha)指标卡</w:t>
      </w:r>
    </w:p>
    <w:p>
      <w:pPr>
        <w:pStyle w:val="ListBullet"/>
        <w:numPr>
          <w:ilvl w:val="0"/>
          <w:numId w:val="19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市场情绪仪表盘 (v1.8新增):</w:t>
      </w:r>
      <w:r>
        <w:rPr>
          <w:rFonts w:ascii="Arial" w:hAnsi="Arial" w:eastAsia="Microsoft YaHei" w:cs="Arial"/>
          <w:color w:val="333333"/>
          <w:sz w:val="22"/>
        </w:rPr>
        <w:t xml:space="preserve"> 情绪等级判断（极度乐观~极度悲观）、涨跌比、上涨占比、行业涨跌热力条、涨跌饼图、收益率分布直方图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3.8 Tab 8: 操作建议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基于技术信号和智能分析引擎生成的投资操作建议。</w:t>
      </w:r>
    </w:p>
    <w:p>
      <w:pPr>
        <w:pStyle w:val="ListBullet"/>
        <w:numPr>
          <w:ilvl w:val="0"/>
          <w:numId w:val="20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建议汇总卡片:</w:t>
      </w:r>
      <w:r>
        <w:rPr>
          <w:rFonts w:ascii="Arial" w:hAnsi="Arial" w:eastAsia="Microsoft YaHei" w:cs="Arial"/>
          <w:color w:val="333333"/>
          <w:sz w:val="22"/>
        </w:rPr>
        <w:t xml:space="preserve"> 各类建议数量统计</w:t>
      </w:r>
    </w:p>
    <w:p>
      <w:pPr>
        <w:pStyle w:val="ListBullet"/>
        <w:numPr>
          <w:ilvl w:val="0"/>
          <w:numId w:val="20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建议详情:</w:t>
      </w:r>
      <w:r>
        <w:rPr>
          <w:rFonts w:ascii="Arial" w:hAnsi="Arial" w:eastAsia="Microsoft YaHei" w:cs="Arial"/>
          <w:color w:val="333333"/>
          <w:sz w:val="22"/>
        </w:rPr>
        <w:t xml:space="preserve"> 按优先级排列的具体操作建议</w:t>
      </w:r>
    </w:p>
    <w:p>
      <w:pPr>
        <w:pStyle w:val="ListBullet"/>
        <w:numPr>
          <w:ilvl w:val="0"/>
          <w:numId w:val="20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技术指标增强详情:</w:t>
      </w:r>
      <w:r>
        <w:rPr>
          <w:rFonts w:ascii="Arial" w:hAnsi="Arial" w:eastAsia="Microsoft YaHei" w:cs="Arial"/>
          <w:color w:val="333333"/>
          <w:sz w:val="22"/>
        </w:rPr>
        <w:t xml:space="preserve"> 点击持仓行查看详细技术分析</w:t>
      </w:r>
    </w:p>
    <w:p>
      <w:pPr>
        <w:pStyle w:val="ListBullet"/>
        <w:numPr>
          <w:ilvl w:val="0"/>
          <w:numId w:val="20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数据导出:</w:t>
      </w:r>
      <w:r>
        <w:rPr>
          <w:rFonts w:ascii="Arial" w:hAnsi="Arial" w:eastAsia="Microsoft YaHei" w:cs="Arial"/>
          <w:color w:val="333333"/>
          <w:sz w:val="22"/>
        </w:rPr>
        <w:t xml:space="preserve"> 支持导出当前数据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3.9 侧边栏与全局控制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270"/>
        <w:gridCol w:w="7370"/>
      </w:tblGrid>
      <w:tr>
        <w:tc>
          <w:tcPr>
            <w:tcW w:type="dxa" w:w="127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控制项</w:t>
            </w:r>
          </w:p>
        </w:tc>
        <w:tc>
          <w:tcPr>
            <w:tcW w:type="dxa" w:w="737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说明</w:t>
            </w:r>
          </w:p>
        </w:tc>
      </w:tr>
      <w:tr>
        <w:tc>
          <w:tcPr>
            <w:tcW w:type="dxa" w:w="127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日期选择器</w:t>
            </w:r>
          </w:p>
        </w:tc>
        <w:tc>
          <w:tcPr>
            <w:tcW w:type="dxa" w:w="737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选择查看的历史日期（交易日后推一天可选）</w:t>
            </w:r>
          </w:p>
        </w:tc>
      </w:tr>
      <w:tr>
        <w:tc>
          <w:tcPr>
            <w:tcW w:type="dxa" w:w="127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时间范围</w:t>
            </w:r>
          </w:p>
        </w:tc>
        <w:tc>
          <w:tcPr>
            <w:tcW w:type="dxa" w:w="737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30/60/90/180/365 天可选</w:t>
            </w:r>
          </w:p>
        </w:tc>
      </w:tr>
      <w:tr>
        <w:tc>
          <w:tcPr>
            <w:tcW w:type="dxa" w:w="127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基准指数</w:t>
            </w:r>
          </w:p>
        </w:tc>
        <w:tc>
          <w:tcPr>
            <w:tcW w:type="dxa" w:w="737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11 个可选基准（沪深300/中证500/中证1000等）</w:t>
            </w:r>
          </w:p>
        </w:tc>
      </w:tr>
      <w:tr>
        <w:tc>
          <w:tcPr>
            <w:tcW w:type="dxa" w:w="127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系统信息</w:t>
            </w:r>
          </w:p>
        </w:tc>
        <w:tc>
          <w:tcPr>
            <w:tcW w:type="dxa" w:w="737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显示数据更新时间、持仓数量等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keepNext w:val="0"/>
        <w:keepLines w:val="0"/>
        <w:pageBreakBefore w:val="0"/>
        <w:spacing w:before="187" w:after="70" w:line="256" w:lineRule="auto"/>
        <w:outlineLvl w:val="1"/>
        <w:pBdr>
          <w:bottom w:val="single" w:sz="6" w:space="1" w:color="BDC3C7"/>
        </w:pBdr>
      </w:pPr>
      <w:r>
        <w:rPr>
          <w:rFonts w:ascii="Arial" w:hAnsi="Arial" w:eastAsia="Microsoft YaHei" w:cs="Arial"/>
          <w:b/>
          <w:color w:val="2C3E50"/>
          <w:sz w:val="32"/>
        </w:rPr>
        <w:t>四、数据库设计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4.1 表结构总览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表名</w:t>
            </w:r>
          </w:p>
        </w:tc>
        <w:tc>
          <w:tcPr>
            <w:tcW w:type="dxa" w:w="1728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列数</w:t>
            </w:r>
          </w:p>
        </w:tc>
        <w:tc>
          <w:tcPr>
            <w:tcW w:type="dxa" w:w="1728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主键</w:t>
            </w:r>
          </w:p>
        </w:tc>
        <w:tc>
          <w:tcPr>
            <w:tcW w:type="dxa" w:w="1728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时间范围</w:t>
            </w:r>
          </w:p>
        </w:tc>
        <w:tc>
          <w:tcPr>
            <w:tcW w:type="dxa" w:w="1728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说明</w:t>
            </w:r>
          </w:p>
        </w:tc>
      </w:tr>
      <w:tr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portfolio_snapshots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12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id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2012-05-28 ~ 今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每日持仓快照</w:t>
            </w:r>
          </w:p>
        </w:tc>
      </w:tr>
      <w:tr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portfolio_summary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12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date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2012-05-28 ~ 今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组合汇总指标</w:t>
            </w:r>
          </w:p>
        </w:tc>
      </w:tr>
      <w:tr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index_quotes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7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(date,code)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1990-12-19 ~ 今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11个指数行情</w:t>
            </w:r>
          </w:p>
        </w:tc>
      </w:tr>
      <w:tr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etf_technical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10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(date,code)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2012-06-26 ~ 今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ETF技术指标</w:t>
            </w:r>
          </w:p>
        </w:tc>
      </w:tr>
      <w:tr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daily_news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9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id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2026-04-26 ~ 今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财经新闻</w:t>
            </w:r>
          </w:p>
        </w:tc>
      </w:tr>
      <w:tr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alerts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6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id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--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告警记录</w:t>
            </w:r>
          </w:p>
        </w:tc>
      </w:tr>
      <w:tr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execution_logs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6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id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--</w:t>
            </w:r>
          </w:p>
        </w:tc>
        <w:tc>
          <w:tcPr>
            <w:tcW w:type="dxa" w:w="1728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执行日志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4.2 数据规模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5295"/>
        <w:gridCol w:w="1950"/>
        <w:gridCol w:w="1395"/>
      </w:tblGrid>
      <w:tr>
        <w:tc>
          <w:tcPr>
            <w:tcW w:type="dxa" w:w="5295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表名</w:t>
            </w:r>
          </w:p>
        </w:tc>
        <w:tc>
          <w:tcPr>
            <w:tcW w:type="dxa" w:w="195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行数</w:t>
            </w:r>
          </w:p>
        </w:tc>
        <w:tc>
          <w:tcPr>
            <w:tcW w:type="dxa" w:w="1395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占比</w:t>
            </w:r>
          </w:p>
        </w:tc>
      </w:tr>
      <w:tr>
        <w:tc>
          <w:tcPr>
            <w:tcW w:type="dxa" w:w="52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index_quotes</w:t>
            </w:r>
          </w:p>
        </w:tc>
        <w:tc>
          <w:tcPr>
            <w:tcW w:type="dxa" w:w="195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49,904</w:t>
            </w:r>
          </w:p>
        </w:tc>
        <w:tc>
          <w:tcPr>
            <w:tcW w:type="dxa" w:w="13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28.7%</w:t>
            </w:r>
          </w:p>
        </w:tc>
      </w:tr>
      <w:tr>
        <w:tc>
          <w:tcPr>
            <w:tcW w:type="dxa" w:w="52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etf_technical</w:t>
            </w:r>
          </w:p>
        </w:tc>
        <w:tc>
          <w:tcPr>
            <w:tcW w:type="dxa" w:w="195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33,144</w:t>
            </w:r>
          </w:p>
        </w:tc>
        <w:tc>
          <w:tcPr>
            <w:tcW w:type="dxa" w:w="13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19.1%</w:t>
            </w:r>
          </w:p>
        </w:tc>
      </w:tr>
      <w:tr>
        <w:tc>
          <w:tcPr>
            <w:tcW w:type="dxa" w:w="52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portfolio_snapshots</w:t>
            </w:r>
          </w:p>
        </w:tc>
        <w:tc>
          <w:tcPr>
            <w:tcW w:type="dxa" w:w="195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33,604</w:t>
            </w:r>
          </w:p>
        </w:tc>
        <w:tc>
          <w:tcPr>
            <w:tcW w:type="dxa" w:w="13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19.3%</w:t>
            </w:r>
          </w:p>
        </w:tc>
      </w:tr>
      <w:tr>
        <w:tc>
          <w:tcPr>
            <w:tcW w:type="dxa" w:w="52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portfolio_summary</w:t>
            </w:r>
          </w:p>
        </w:tc>
        <w:tc>
          <w:tcPr>
            <w:tcW w:type="dxa" w:w="195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3,390</w:t>
            </w:r>
          </w:p>
        </w:tc>
        <w:tc>
          <w:tcPr>
            <w:tcW w:type="dxa" w:w="13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1.9%</w:t>
            </w:r>
          </w:p>
        </w:tc>
      </w:tr>
      <w:tr>
        <w:tc>
          <w:tcPr>
            <w:tcW w:type="dxa" w:w="52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daily_news</w:t>
            </w:r>
          </w:p>
        </w:tc>
        <w:tc>
          <w:tcPr>
            <w:tcW w:type="dxa" w:w="195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414</w:t>
            </w:r>
          </w:p>
        </w:tc>
        <w:tc>
          <w:tcPr>
            <w:tcW w:type="dxa" w:w="13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0.2%</w:t>
            </w:r>
          </w:p>
        </w:tc>
      </w:tr>
      <w:tr>
        <w:tc>
          <w:tcPr>
            <w:tcW w:type="dxa" w:w="52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alerts</w:t>
            </w:r>
          </w:p>
        </w:tc>
        <w:tc>
          <w:tcPr>
            <w:tcW w:type="dxa" w:w="195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24</w:t>
            </w:r>
          </w:p>
        </w:tc>
        <w:tc>
          <w:tcPr>
            <w:tcW w:type="dxa" w:w="13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&lt;0.1%</w:t>
            </w:r>
          </w:p>
        </w:tc>
      </w:tr>
      <w:tr>
        <w:tc>
          <w:tcPr>
            <w:tcW w:type="dxa" w:w="52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execution_logs</w:t>
            </w:r>
          </w:p>
        </w:tc>
        <w:tc>
          <w:tcPr>
            <w:tcW w:type="dxa" w:w="195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46</w:t>
            </w:r>
          </w:p>
        </w:tc>
        <w:tc>
          <w:tcPr>
            <w:tcW w:type="dxa" w:w="13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&lt;0.1%</w:t>
            </w:r>
          </w:p>
        </w:tc>
      </w:tr>
      <w:tr>
        <w:tc>
          <w:tcPr>
            <w:tcW w:type="dxa" w:w="52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合计</w:t>
            </w:r>
          </w:p>
        </w:tc>
        <w:tc>
          <w:tcPr>
            <w:tcW w:type="dxa" w:w="195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120,526</w:t>
            </w:r>
          </w:p>
        </w:tc>
        <w:tc>
          <w:tcPr>
            <w:tcW w:type="dxa" w:w="1395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100%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keepNext w:val="0"/>
        <w:keepLines w:val="0"/>
        <w:pageBreakBefore w:val="0"/>
        <w:spacing w:before="187" w:after="70" w:line="256" w:lineRule="auto"/>
        <w:outlineLvl w:val="1"/>
        <w:pBdr>
          <w:bottom w:val="single" w:sz="6" w:space="1" w:color="BDC3C7"/>
        </w:pBdr>
      </w:pPr>
      <w:r>
        <w:rPr>
          <w:rFonts w:ascii="Arial" w:hAnsi="Arial" w:eastAsia="Microsoft YaHei" w:cs="Arial"/>
          <w:b/>
          <w:color w:val="2C3E50"/>
          <w:sz w:val="32"/>
        </w:rPr>
        <w:t>五、配置说明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 xml:space="preserve">所有配置集中在 </w:t>
      </w:r>
      <w:r>
        <w:pict>
          <v:roundrect style="width:96.98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config/settings.py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>，主要配置项如下：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51"/>
        <w:gridCol w:w="1517"/>
        <w:gridCol w:w="4672"/>
      </w:tblGrid>
      <w:tr>
        <w:tc>
          <w:tcPr>
            <w:tcW w:type="dxa" w:w="2451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配置项</w:t>
            </w:r>
          </w:p>
        </w:tc>
        <w:tc>
          <w:tcPr>
            <w:tcW w:type="dxa" w:w="1517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说明</w:t>
            </w:r>
          </w:p>
        </w:tc>
        <w:tc>
          <w:tcPr>
            <w:tcW w:type="dxa" w:w="4672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关键参数</w:t>
            </w:r>
          </w:p>
        </w:tc>
      </w:tr>
      <w:tr>
        <w:tc>
          <w:tcPr>
            <w:tcW w:type="dxa" w:w="245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INDEX_CODES</w:t>
            </w:r>
          </w:p>
        </w:tc>
        <w:tc>
          <w:tcPr>
            <w:tcW w:type="dxa" w:w="151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11 个基准指数</w:t>
            </w:r>
          </w:p>
        </w:tc>
        <w:tc>
          <w:tcPr>
            <w:tcW w:type="dxa" w:w="4672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sh000300/sz399006/sh000852 等</w:t>
            </w:r>
          </w:p>
        </w:tc>
      </w:tr>
      <w:tr>
        <w:tc>
          <w:tcPr>
            <w:tcW w:type="dxa" w:w="245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ETF_CATEGORIES</w:t>
            </w:r>
          </w:p>
        </w:tc>
        <w:tc>
          <w:tcPr>
            <w:tcW w:type="dxa" w:w="151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23 只 ETF 行业分类</w:t>
            </w:r>
          </w:p>
        </w:tc>
        <w:tc>
          <w:tcPr>
            <w:tcW w:type="dxa" w:w="4672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医药/金融/军工/新能源/科技/宽基/红利/债券</w:t>
            </w:r>
          </w:p>
        </w:tc>
      </w:tr>
      <w:tr>
        <w:tc>
          <w:tcPr>
            <w:tcW w:type="dxa" w:w="245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SECTOR_COLORS</w:t>
            </w:r>
          </w:p>
        </w:tc>
        <w:tc>
          <w:tcPr>
            <w:tcW w:type="dxa" w:w="151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8 个行业图表颜色</w:t>
            </w:r>
          </w:p>
        </w:tc>
        <w:tc>
          <w:tcPr>
            <w:tcW w:type="dxa" w:w="4672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统一配色方案</w:t>
            </w:r>
          </w:p>
        </w:tc>
      </w:tr>
      <w:tr>
        <w:tc>
          <w:tcPr>
            <w:tcW w:type="dxa" w:w="245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TECH_INDICATORS</w:t>
            </w:r>
          </w:p>
        </w:tc>
        <w:tc>
          <w:tcPr>
            <w:tcW w:type="dxa" w:w="151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技术指标参数</w:t>
            </w:r>
          </w:p>
        </w:tc>
        <w:tc>
          <w:tcPr>
            <w:tcW w:type="dxa" w:w="4672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MA(5,20)/MACD(12,26,9)/RSI(14)/KDJ(9,3,3)</w:t>
            </w:r>
          </w:p>
        </w:tc>
      </w:tr>
      <w:tr>
        <w:tc>
          <w:tcPr>
            <w:tcW w:type="dxa" w:w="245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RISK_CONFIG</w:t>
            </w:r>
          </w:p>
        </w:tc>
        <w:tc>
          <w:tcPr>
            <w:tcW w:type="dxa" w:w="151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风险参数</w:t>
            </w:r>
          </w:p>
        </w:tc>
        <w:tc>
          <w:tcPr>
            <w:tcW w:type="dxa" w:w="4672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无风险利率2.5%/回撤预警15%/集中度25%</w:t>
            </w:r>
          </w:p>
        </w:tc>
      </w:tr>
      <w:tr>
        <w:tc>
          <w:tcPr>
            <w:tcW w:type="dxa" w:w="245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NOTIFICATION</w:t>
            </w:r>
          </w:p>
        </w:tc>
        <w:tc>
          <w:tcPr>
            <w:tcW w:type="dxa" w:w="151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通知配置</w:t>
            </w:r>
          </w:p>
        </w:tc>
        <w:tc>
          <w:tcPr>
            <w:tcW w:type="dxa" w:w="4672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SMTP + 企业微信 (默认关闭)</w:t>
            </w:r>
          </w:p>
        </w:tc>
      </w:tr>
      <w:tr>
        <w:tc>
          <w:tcPr>
            <w:tcW w:type="dxa" w:w="245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MONITOR_CONFIG</w:t>
            </w:r>
          </w:p>
        </w:tc>
        <w:tc>
          <w:tcPr>
            <w:tcW w:type="dxa" w:w="151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告警规则</w:t>
            </w:r>
          </w:p>
        </w:tc>
        <w:tc>
          <w:tcPr>
            <w:tcW w:type="dxa" w:w="4672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5项后台规则</w:t>
            </w:r>
          </w:p>
        </w:tc>
      </w:tr>
      <w:tr>
        <w:tc>
          <w:tcPr>
            <w:tcW w:type="dxa" w:w="2451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SMART_ANALYSIS_CONFIG</w:t>
            </w:r>
          </w:p>
        </w:tc>
        <w:tc>
          <w:tcPr>
            <w:tcW w:type="dxa" w:w="1517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智能分析</w:t>
            </w:r>
          </w:p>
        </w:tc>
        <w:tc>
          <w:tcPr>
            <w:tcW w:type="dxa" w:w="4672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建议引擎+回测 (默认开启)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keepNext w:val="0"/>
        <w:keepLines w:val="0"/>
        <w:pageBreakBefore w:val="0"/>
        <w:spacing w:before="187" w:after="70" w:line="256" w:lineRule="auto"/>
        <w:outlineLvl w:val="1"/>
        <w:pBdr>
          <w:bottom w:val="single" w:sz="6" w:space="1" w:color="BDC3C7"/>
        </w:pBdr>
      </w:pPr>
      <w:r>
        <w:rPr>
          <w:rFonts w:ascii="Arial" w:hAnsi="Arial" w:eastAsia="Microsoft YaHei" w:cs="Arial"/>
          <w:b/>
          <w:color w:val="2C3E50"/>
          <w:sz w:val="32"/>
        </w:rPr>
        <w:t>六、部署与运维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6.1 环境要求</w:t>
      </w:r>
    </w:p>
    <w:p>
      <w:pPr>
        <w:spacing w:line="240" w:lineRule="auto"/>
        <w:ind w:left="454" w:firstLine="180"/>
        <w:shd w:val="clear" w:color="auto" w:fill="F5F5F5"/>
        <w:pBdr>
          <w:left w:val="single" w:sz="6" w:space="1" w:color="DDDDDD"/>
          <w:right w:val="single" w:sz="6" w:space="1" w:color="DDDDDD"/>
          <w:top w:val="single" w:sz="6" w:space="1" w:color="DDDDDD"/>
          <w:bottom w:val="single" w:sz="6" w:space="1" w:color="DDDDDD"/>
        </w:pBdr>
      </w:pPr>
      <w:r>
        <w:rPr>
          <w:rFonts w:ascii="Consolas" w:hAnsi="Consolas" w:eastAsia="Microsoft YaHei" w:cs="Consolas"/>
          <w:color w:val="333333"/>
          <w:sz w:val="18"/>
          <w:shd w:val="clear" w:color="auto" w:fill="F5F5F5"/>
        </w:rPr>
        <w:t>Python 3.9+</w:t>
      </w:r>
      <w:r>
        <w:br/>
      </w:r>
      <w:r>
        <w:rPr>
          <w:rFonts w:ascii="Consolas" w:hAnsi="Consolas" w:eastAsia="Microsoft YaHei" w:cs="Consolas"/>
          <w:color w:val="333333"/>
          <w:sz w:val="18"/>
          <w:shd w:val="clear" w:color="auto" w:fill="F5F5F5"/>
        </w:rPr>
        <w:t>pip install -r requirements.txt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6.2 启动方式</w:t>
      </w:r>
    </w:p>
    <w:p>
      <w:pPr>
        <w:spacing w:line="240" w:lineRule="auto"/>
        <w:ind w:left="454" w:firstLine="180"/>
        <w:shd w:val="clear" w:color="auto" w:fill="F5F5F5"/>
        <w:pBdr>
          <w:left w:val="single" w:sz="6" w:space="1" w:color="DDDDDD"/>
          <w:right w:val="single" w:sz="6" w:space="1" w:color="DDDDDD"/>
          <w:top w:val="single" w:sz="6" w:space="1" w:color="DDDDDD"/>
          <w:bottom w:val="single" w:sz="6" w:space="1" w:color="DDDDDD"/>
        </w:pBdr>
      </w:pPr>
      <w:r>
        <w:rPr>
          <w:rFonts w:ascii="Consolas" w:hAnsi="Consolas" w:eastAsia="Microsoft YaHei" w:cs="Consolas"/>
          <w:color w:val="333333"/>
          <w:sz w:val="18"/>
          <w:shd w:val="clear" w:color="auto" w:fill="F5F5F5"/>
        </w:rPr>
        <w:t># Dashboard (推荐)</w:t>
      </w:r>
      <w:r>
        <w:br/>
      </w:r>
      <w:r>
        <w:rPr>
          <w:rFonts w:ascii="Consolas" w:hAnsi="Consolas" w:eastAsia="Microsoft YaHei" w:cs="Consolas"/>
          <w:color w:val="333333"/>
          <w:sz w:val="18"/>
          <w:shd w:val="clear" w:color="auto" w:fill="F5F5F5"/>
        </w:rPr>
        <w:t>streamlit run dashboard.py</w:t>
      </w:r>
      <w:r>
        <w:br/>
      </w:r>
      <w:r>
        <w:br/>
      </w:r>
      <w:r>
        <w:rPr>
          <w:rFonts w:ascii="Consolas" w:hAnsi="Consolas" w:eastAsia="Microsoft YaHei" w:cs="Consolas"/>
          <w:color w:val="333333"/>
          <w:sz w:val="18"/>
          <w:shd w:val="clear" w:color="auto" w:fill="F5F5F5"/>
        </w:rPr>
        <w:t># 完整分析</w:t>
      </w:r>
      <w:r>
        <w:br/>
      </w:r>
      <w:r>
        <w:rPr>
          <w:rFonts w:ascii="Consolas" w:hAnsi="Consolas" w:eastAsia="Microsoft YaHei" w:cs="Consolas"/>
          <w:color w:val="333333"/>
          <w:sz w:val="18"/>
          <w:shd w:val="clear" w:color="auto" w:fill="F5F5F5"/>
        </w:rPr>
        <w:t>python run_analysis.py</w:t>
      </w:r>
      <w:r>
        <w:br/>
      </w:r>
      <w:r>
        <w:br/>
      </w:r>
      <w:r>
        <w:rPr>
          <w:rFonts w:ascii="Consolas" w:hAnsi="Consolas" w:eastAsia="Microsoft YaHei" w:cs="Consolas"/>
          <w:color w:val="333333"/>
          <w:sz w:val="18"/>
          <w:shd w:val="clear" w:color="auto" w:fill="F5F5F5"/>
        </w:rPr>
        <w:t># 监控管理</w:t>
      </w:r>
      <w:r>
        <w:br/>
      </w:r>
      <w:r>
        <w:rPr>
          <w:rFonts w:ascii="Consolas" w:hAnsi="Consolas" w:eastAsia="Microsoft YaHei" w:cs="Consolas"/>
          <w:color w:val="333333"/>
          <w:sz w:val="18"/>
          <w:shd w:val="clear" w:color="auto" w:fill="F5F5F5"/>
        </w:rPr>
        <w:t>python run_enhanced.py --health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6.3 定时任务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 xml:space="preserve">Windows 任务计划程序，每日 15:10 触发 </w:t>
      </w:r>
      <w:r>
        <w:pict>
          <v:roundrect style="width:86.90pt;height:17.40pt;v-text-anchor:middle" o:allowincell="t" filled="t" fillcolor="#F0F0F0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333333"/>
                    </w:rPr>
                    <w:t>run_analysis.bat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>，自动判断交易日。</w:t>
      </w:r>
    </w:p>
    <w:p>
      <w:pPr>
        <w:pBdr>
          <w:bottom w:val="single" w:sz="6" w:space="1" w:color="auto"/>
        </w:pBdr>
      </w:pPr>
    </w:p>
    <w:p>
      <w:pPr>
        <w:pStyle w:val="Heading2"/>
        <w:keepNext w:val="0"/>
        <w:keepLines w:val="0"/>
        <w:pageBreakBefore w:val="0"/>
        <w:spacing w:before="187" w:after="70" w:line="256" w:lineRule="auto"/>
        <w:outlineLvl w:val="1"/>
        <w:pBdr>
          <w:bottom w:val="single" w:sz="6" w:space="1" w:color="BDC3C7"/>
        </w:pBdr>
      </w:pPr>
      <w:r>
        <w:rPr>
          <w:rFonts w:ascii="Arial" w:hAnsi="Arial" w:eastAsia="Microsoft YaHei" w:cs="Arial"/>
          <w:b/>
          <w:color w:val="2C3E50"/>
          <w:sz w:val="32"/>
        </w:rPr>
        <w:t>七、Phase 5 规划 (v2.0)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color w:val="333333"/>
          <w:sz w:val="22"/>
        </w:rPr>
        <w:t>Phase 5 聚焦于系统专业化和实用性的进一步提升，规划 5 个功能模块：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7.1 自定义指标工作台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目标:</w:t>
      </w:r>
      <w:r>
        <w:rPr>
          <w:rFonts w:ascii="Arial" w:hAnsi="Arial" w:eastAsia="Microsoft YaHei" w:cs="Arial"/>
          <w:color w:val="333333"/>
          <w:sz w:val="22"/>
        </w:rPr>
        <w:t xml:space="preserve"> 新增 Tab 9，支持用户构建和验证自定义技术指标。</w:t>
      </w:r>
    </w:p>
    <w:p>
      <w:pPr>
        <w:pStyle w:val="ListBullet"/>
        <w:numPr>
          <w:ilvl w:val="0"/>
          <w:numId w:val="21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指标公式编辑器（下拉菜单+参数输入，JSON 配置存储）</w:t>
      </w:r>
    </w:p>
    <w:p>
      <w:pPr>
        <w:pStyle w:val="ListBullet"/>
        <w:numPr>
          <w:ilvl w:val="0"/>
          <w:numId w:val="21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指标信号回测（复用 backtest.py 框架）</w:t>
      </w:r>
    </w:p>
    <w:p>
      <w:pPr>
        <w:pStyle w:val="ListBullet"/>
        <w:numPr>
          <w:ilvl w:val="0"/>
          <w:numId w:val="21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K 线形态识别（十字星/锤子线/吞没等预置形态）</w:t>
      </w:r>
    </w:p>
    <w:p>
      <w:pPr>
        <w:pStyle w:val="ListBullet"/>
        <w:numPr>
          <w:ilvl w:val="0"/>
          <w:numId w:val="21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指标模板库（均线多头排列/MACD金叉+RSI/布林下轨反弹等）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7.2 资金流分析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目标:</w:t>
      </w:r>
      <w:r>
        <w:rPr>
          <w:rFonts w:ascii="Arial" w:hAnsi="Arial" w:eastAsia="Microsoft YaHei" w:cs="Arial"/>
          <w:color w:val="333333"/>
          <w:sz w:val="22"/>
        </w:rPr>
        <w:t xml:space="preserve"> 新增 Tab 10，追踪市场资金动向辅助择时决策。</w:t>
      </w:r>
    </w:p>
    <w:p>
      <w:pPr>
        <w:pStyle w:val="ListBullet"/>
        <w:numPr>
          <w:ilvl w:val="0"/>
          <w:numId w:val="22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行业/ETF 资金流向图（通过 AKShare 获取）</w:t>
      </w:r>
    </w:p>
    <w:p>
      <w:pPr>
        <w:pStyle w:val="ListBullet"/>
        <w:numPr>
          <w:ilvl w:val="0"/>
          <w:numId w:val="22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北向资金关联分析</w:t>
      </w:r>
    </w:p>
    <w:p>
      <w:pPr>
        <w:pStyle w:val="ListBullet"/>
        <w:numPr>
          <w:ilvl w:val="0"/>
          <w:numId w:val="22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资金流排行 + 异常预警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7.3 数据导出增强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目标:</w:t>
      </w:r>
      <w:r>
        <w:rPr>
          <w:rFonts w:ascii="Arial" w:hAnsi="Arial" w:eastAsia="Microsoft YaHei" w:cs="Arial"/>
          <w:color w:val="333333"/>
          <w:sz w:val="22"/>
        </w:rPr>
        <w:t xml:space="preserve"> 增强现有导出功能，支持 Excel 多 Sheet 和 PDF 报告。</w:t>
      </w:r>
    </w:p>
    <w:p>
      <w:pPr>
        <w:pStyle w:val="ListBullet"/>
        <w:numPr>
          <w:ilvl w:val="0"/>
          <w:numId w:val="23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Excel 报告：6 个 Sheet（持仓明细/收益汇总/风险/技术指标/资金流/告警）</w:t>
      </w:r>
    </w:p>
    <w:p>
      <w:pPr>
        <w:pStyle w:val="ListBullet"/>
        <w:numPr>
          <w:ilvl w:val="0"/>
          <w:numId w:val="23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PDF 专业报告：含图表的完整分析报告</w:t>
      </w:r>
    </w:p>
    <w:p>
      <w:pPr>
        <w:pStyle w:val="ListBullet"/>
        <w:numPr>
          <w:ilvl w:val="0"/>
          <w:numId w:val="23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定时邮件报告：每日自动发送 Excel 附件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7.4 组合归因深化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目标:</w:t>
      </w:r>
      <w:r>
        <w:rPr>
          <w:rFonts w:ascii="Arial" w:hAnsi="Arial" w:eastAsia="Microsoft YaHei" w:cs="Arial"/>
          <w:color w:val="333333"/>
          <w:sz w:val="22"/>
        </w:rPr>
        <w:t xml:space="preserve"> 在 Tab 3 中扩展多因子归因和风格暴露分析。</w:t>
      </w:r>
    </w:p>
    <w:p>
      <w:pPr>
        <w:pStyle w:val="ListBullet"/>
        <w:numPr>
          <w:ilvl w:val="0"/>
          <w:numId w:val="24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Fama-French 多因子归因（市场/规模/价值/动量/质量因子）</w:t>
      </w:r>
    </w:p>
    <w:p>
      <w:pPr>
        <w:pStyle w:val="ListBullet"/>
        <w:numPr>
          <w:ilvl w:val="0"/>
          <w:numId w:val="24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风格暴露雷达图（大盘/小盘/价值/成长维度）</w:t>
      </w:r>
    </w:p>
    <w:p>
      <w:pPr>
        <w:pStyle w:val="ListBullet"/>
        <w:numPr>
          <w:ilvl w:val="0"/>
          <w:numId w:val="24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行业轮动分析（排名变化趋势 + 轮动速度指标）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7.5 系统体验优化</w:t>
      </w:r>
    </w:p>
    <w:p>
      <w:pPr>
        <w:spacing w:before="60" w:after="60" w:line="256" w:lineRule="auto"/>
      </w:pPr>
      <w:r>
        <w:rPr>
          <w:rFonts w:ascii="Arial" w:hAnsi="Arial" w:eastAsia="Microsoft YaHei" w:cs="Arial"/>
          <w:b/>
          <w:color w:val="333333"/>
          <w:sz w:val="22"/>
        </w:rPr>
        <w:t>目标:</w:t>
      </w:r>
      <w:r>
        <w:rPr>
          <w:rFonts w:ascii="Arial" w:hAnsi="Arial" w:eastAsia="Microsoft YaHei" w:cs="Arial"/>
          <w:color w:val="333333"/>
          <w:sz w:val="22"/>
        </w:rPr>
        <w:t xml:space="preserve"> 性能和用户体验全面提升。</w:t>
      </w:r>
    </w:p>
    <w:p>
      <w:pPr>
        <w:pStyle w:val="ListBullet"/>
        <w:numPr>
          <w:ilvl w:val="0"/>
          <w:numId w:val="25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数据库索引优化 + 查询缓存策略</w:t>
      </w:r>
    </w:p>
    <w:p>
      <w:pPr>
        <w:pStyle w:val="ListBullet"/>
        <w:numPr>
          <w:ilvl w:val="0"/>
          <w:numId w:val="25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响应式布局（1280px ~ 2560px）</w:t>
      </w:r>
    </w:p>
    <w:p>
      <w:pPr>
        <w:pStyle w:val="ListBullet"/>
        <w:numPr>
          <w:ilvl w:val="0"/>
          <w:numId w:val="25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数据自动刷新机制（盘中 5 分钟间隔）</w:t>
      </w:r>
    </w:p>
    <w:p>
      <w:pPr>
        <w:pStyle w:val="ListBullet"/>
        <w:numPr>
          <w:ilvl w:val="0"/>
          <w:numId w:val="25"/>
        </w:numPr>
        <w:spacing w:before="30" w:after="30" w:line="256" w:lineRule="auto"/>
        <w:ind w:left="620" w:hanging="360"/>
      </w:pPr>
      <w:r>
        <w:rPr>
          <w:rFonts w:ascii="Arial" w:hAnsi="Arial" w:eastAsia="Microsoft YaHei" w:cs="Arial"/>
          <w:color w:val="333333"/>
          <w:sz w:val="22"/>
        </w:rPr>
        <w:t>多组合支持（portfolio_id 字段扩展）</w:t>
      </w:r>
    </w:p>
    <w:p>
      <w:pPr>
        <w:pStyle w:val="Heading3"/>
        <w:keepNext w:val="0"/>
        <w:keepLines w:val="0"/>
        <w:pageBreakBefore w:val="0"/>
        <w:spacing w:before="135" w:after="60" w:line="256" w:lineRule="auto"/>
        <w:outlineLvl w:val="2"/>
      </w:pPr>
      <w:r>
        <w:rPr>
          <w:rFonts w:ascii="Arial" w:hAnsi="Arial" w:eastAsia="Microsoft YaHei" w:cs="Arial"/>
          <w:b/>
          <w:color w:val="34495E"/>
          <w:sz w:val="26"/>
        </w:rPr>
        <w:t>实施路线图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批次</w:t>
            </w:r>
          </w:p>
        </w:tc>
        <w:tc>
          <w:tcPr>
            <w:tcW w:type="dxa" w:w="216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模块</w:t>
            </w:r>
          </w:p>
        </w:tc>
        <w:tc>
          <w:tcPr>
            <w:tcW w:type="dxa" w:w="216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预估代码量</w:t>
            </w:r>
          </w:p>
        </w:tc>
        <w:tc>
          <w:tcPr>
            <w:tcW w:type="dxa" w:w="2160"/>
            <w:shd w:val="clear" w:color="auto" w:fill="2C3E50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2C3E50"/>
              </w:rPr>
              <w:t>目标版本</w:t>
            </w:r>
          </w:p>
        </w:tc>
      </w:tr>
      <w:tr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Batch 1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数据导出增强 + 系统体验优化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~1,300 行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v1.9</w:t>
            </w:r>
          </w:p>
        </w:tc>
      </w:tr>
      <w:tr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Batch 2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组合归因深化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~550 行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v1.10</w:t>
            </w:r>
          </w:p>
        </w:tc>
      </w:tr>
      <w:tr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Batch 3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自定义指标工作台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~700 行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v2.0-beta</w:t>
            </w:r>
          </w:p>
        </w:tc>
      </w:tr>
      <w:tr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Batch 4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资金流分析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~800 行</w:t>
            </w:r>
          </w:p>
        </w:tc>
        <w:tc>
          <w:tcPr>
            <w:tcW w:type="dxa" w:w="2160"/>
            <w:tcBorders>
              <w:left w:val="single" w:sz="6" w:space="1" w:color="DCDCDC"/>
              <w:right w:val="single" w:sz="6" w:space="1" w:color="DCDCDC"/>
              <w:top w:val="single" w:sz="6" w:space="1" w:color="DCDCDC"/>
              <w:bottom w:val="single" w:sz="6" w:space="1" w:color="DCDCD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v2.0</w:t>
            </w:r>
          </w:p>
        </w:tc>
      </w:tr>
    </w:tbl>
    <w:p>
      <w:pPr>
        <w:pBdr>
          <w:bottom w:val="single" w:sz="6" w:space="1" w:color="auto"/>
        </w:pBdr>
      </w:pPr>
    </w:p>
    <w:p>
      <w:pPr>
        <w:spacing w:before="60" w:after="60" w:line="256" w:lineRule="auto"/>
        <w:jc w:val="center"/>
      </w:pPr>
      <w:r>
        <w:rPr>
          <w:rFonts w:ascii="Arial" w:hAnsi="Arial" w:eastAsia="Microsoft YaHei" w:cs="Arial"/>
          <w:color w:val="95A5A6"/>
          <w:sz w:val="20"/>
        </w:rPr>
        <w:t>投资组合跟踪分析系统 v1.8 | 综合项目文档</w:t>
      </w:r>
    </w:p>
    <w:p>
      <w:pPr>
        <w:spacing w:before="60" w:after="60" w:line="256" w:lineRule="auto"/>
        <w:jc w:val="center"/>
      </w:pPr>
      <w:r>
        <w:rPr>
          <w:rFonts w:ascii="Arial" w:hAnsi="Arial" w:eastAsia="Microsoft YaHei" w:cs="Arial"/>
          <w:color w:val="95A5A6"/>
          <w:sz w:val="20"/>
        </w:rPr>
        <w:t>文档生成时间: 2026年5月10日</w:t>
      </w:r>
    </w:p>
    <w:p>
      <w:pPr>
        <w:spacing w:before="60" w:after="60" w:line="256" w:lineRule="auto"/>
        <w:jc w:val="center"/>
      </w:pPr>
      <w:r>
        <w:rPr>
          <w:rFonts w:ascii="Arial" w:hAnsi="Arial" w:eastAsia="Microsoft YaHei" w:cs="Arial"/>
          <w:color w:val="95A5A6"/>
          <w:sz w:val="20"/>
        </w:rPr>
        <w:t>本系统仅供学习和参考，不构成任何投资建议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