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 w:val="0"/>
        <w:keepLines w:val="0"/>
        <w:pageBreakBefore w:val="0"/>
        <w:spacing w:before="0" w:after="80" w:line="288" w:lineRule="auto"/>
        <w:outlineLvl w:val="0"/>
        <w:pBdr>
          <w:bottom w:val="single" w:sz="18" w:space="1" w:color="0D419D"/>
        </w:pBdr>
      </w:pPr>
      <w:r>
        <w:rPr>
          <w:rFonts w:ascii="Arial" w:hAnsi="Arial" w:eastAsia="Microsoft YaHei" w:cs="Arial"/>
          <w:b/>
          <w:color w:val="0D1117"/>
          <w:sz w:val="44"/>
        </w:rPr>
        <w:t>投资组合Dashboard改进计划与路线图（最终版）</w:t>
      </w:r>
    </w:p>
    <w:p>
      <w:pPr>
        <w:spacing w:after="225" w:line="288" w:lineRule="auto"/>
      </w:pPr>
      <w:r>
        <w:rPr>
          <w:rFonts w:ascii="Arial" w:hAnsi="Arial" w:eastAsia="Microsoft YaHei" w:cs="Arial"/>
          <w:color w:val="666666"/>
          <w:sz w:val="20"/>
        </w:rPr>
        <w:t>项目：Portfolio Tracker v1.3 | 文档日期：2026-04-27 | 涉及文件：</w:t>
      </w:r>
      <w:r>
        <w:pict>
          <v:roundrect style="width:71.63pt;height:18.60pt;v-text-anchor:middle" o:allowincell="t" filled="t" fillcolor="#F0F0F0" stroked="f" arcsize="12%">
            <v:textbox inset="0,0,0,0" style="mso-fit-shape-to-text:f">
              <w:txbxContent>
                <w:p>
                  <w:pPr>
                    <w:jc w:val="center"/>
                    <w:spacing w:before="0" w:after="0"/>
                  </w:pPr>
                  <w:r>
                    <w:rPr>
                      <w:rFonts w:ascii="Consolas" w:hAnsi="Consolas" w:eastAsia="Microsoft YaHei" w:cs="Consolas"/>
                      <w:sz w:val="19"/>
                      <w:szCs w:val="19"/>
                      <w:color w:val="666666"/>
                    </w:rPr>
                    <w:t>dashboard.py</w:t>
                  </w:r>
                </w:p>
              </w:txbxContent>
            </v:textbox>
          </v:roundrect>
        </w:pict>
      </w:r>
      <w:r>
        <w:rPr>
          <w:rFonts w:ascii="Arial" w:hAnsi="Arial" w:eastAsia="Microsoft YaHei" w:cs="Arial"/>
          <w:color w:val="666666"/>
          <w:sz w:val="20"/>
        </w:rPr>
        <w:t xml:space="preserve"> (2568行) | 数据库：</w:t>
      </w:r>
      <w:r>
        <w:pict>
          <v:roundrect style="width:71.63pt;height:18.60pt;v-text-anchor:middle" o:allowincell="t" filled="t" fillcolor="#F0F0F0" stroked="f" arcsize="12%">
            <v:textbox inset="0,0,0,0" style="mso-fit-shape-to-text:f">
              <w:txbxContent>
                <w:p>
                  <w:pPr>
                    <w:jc w:val="center"/>
                    <w:spacing w:before="0" w:after="0"/>
                  </w:pPr>
                  <w:r>
                    <w:rPr>
                      <w:rFonts w:ascii="Consolas" w:hAnsi="Consolas" w:eastAsia="Microsoft YaHei" w:cs="Consolas"/>
                      <w:sz w:val="19"/>
                      <w:szCs w:val="19"/>
                      <w:color w:val="666666"/>
                    </w:rPr>
                    <w:t>portfolio.db</w:t>
                  </w:r>
                </w:p>
              </w:txbxContent>
            </v:textbox>
          </v:roundrect>
        </w:pict>
      </w:r>
      <w:r>
        <w:rPr>
          <w:rFonts w:ascii="Arial" w:hAnsi="Arial" w:eastAsia="Microsoft YaHei" w:cs="Arial"/>
          <w:color w:val="666666"/>
          <w:sz w:val="20"/>
        </w:rPr>
        <w:t xml:space="preserve"> (8张表, 120,000+ 条记录) | 状态：</w:t>
      </w:r>
      <w:r>
        <w:pict>
          <v:roundrect style="width:50.72pt;height:19.20pt;v-text-anchor:middle" o:allowincell="t" filled="t" fillcolor="#DCFCE7" stroked="f" arcsize="39%">
            <v:textbox inset="0,0,0,0" style="mso-fit-shape-to-text:f">
              <w:txbxContent>
                <w:p>
                  <w:pPr>
                    <w:jc w:val="center"/>
                    <w:spacing w:before="0" w:after="0"/>
                  </w:pPr>
                  <w:r>
                    <w:rPr>
                      <w:rFonts w:ascii="Arial" w:hAnsi="Arial" w:eastAsia="Microsoft YaHei" w:cs="Arial"/>
                      <w:sz w:val="18"/>
                      <w:szCs w:val="18"/>
                      <w:b/>
                      <w:color w:val="166534"/>
                    </w:rPr>
                    <w:t>全部完成</w:t>
                  </w:r>
                </w:p>
              </w:txbxContent>
            </v:textbox>
          </v:roundrect>
        </w:pict>
      </w:r>
    </w:p>
    <w:p>
      <w:pPr>
        <w:pStyle w:val="Heading2"/>
        <w:keepNext w:val="0"/>
        <w:keepLines w:val="0"/>
        <w:pageBreakBefore w:val="0"/>
        <w:spacing w:before="270" w:after="70" w:line="288" w:lineRule="auto"/>
        <w:ind w:left="60" w:firstLine="180"/>
        <w:outlineLvl w:val="1"/>
        <w:pBdr>
          <w:left w:val="single" w:sz="24" w:space="1" w:color="0D419D"/>
        </w:pBdr>
      </w:pPr>
      <w:r>
        <w:rPr>
          <w:rFonts w:ascii="Arial" w:hAnsi="Arial" w:eastAsia="Microsoft YaHei" w:cs="Arial"/>
          <w:b/>
          <w:color w:val="0D419D"/>
          <w:sz w:val="32"/>
        </w:rPr>
        <w:t>一、项目概况</w:t>
      </w:r>
    </w:p>
    <w:p>
      <w:pPr>
        <w:spacing w:line="288" w:lineRule="auto"/>
      </w:pPr>
      <w:r>
        <w:rPr>
          <w:rFonts w:ascii="Arial" w:hAnsi="Arial" w:eastAsia="Microsoft YaHei" w:cs="Arial"/>
          <w:color w:val="1A1A1A"/>
          <w:sz w:val="22"/>
        </w:rPr>
        <w:t>投资组合跟踪分析系统（Portfolio Tracker）是一套基于 Python + Streamlit 的 ETF 投资组合实时监控与量化分析平台。系统从通达信导出持仓数据，通过新浪财经/K线接口获取行情，存储至 SQLite 数据库，并在 Streamlit Dashboard 中以 Dark Theme 风格展示。</w:t>
      </w:r>
    </w:p>
    <w:p>
      <w:pPr>
        <w:spacing w:line="288" w:lineRule="auto"/>
      </w:pPr>
      <w:r>
        <w:rPr>
          <w:rFonts w:ascii="Arial" w:hAnsi="Arial" w:eastAsia="Microsoft YaHei" w:cs="Arial"/>
          <w:color w:val="1A1A1A"/>
          <w:sz w:val="22"/>
        </w:rPr>
        <w:t xml:space="preserve">Dashboard 初始基线版本（commit </w:t>
      </w:r>
      <w:r>
        <w:pict>
          <v:roundrect style="width:47.69pt;height:18.60pt;v-text-anchor:middle" o:allowincell="t" filled="t" fillcolor="#F0F0F0" stroked="f" arcsize="12%">
            <v:textbox inset="0,0,0,0" style="mso-fit-shape-to-text:f">
              <w:txbxContent>
                <w:p>
                  <w:pPr>
                    <w:jc w:val="center"/>
                    <w:spacing w:before="0" w:after="0"/>
                  </w:pPr>
                  <w:r>
                    <w:rPr>
                      <w:rFonts w:ascii="Consolas" w:hAnsi="Consolas" w:eastAsia="Microsoft YaHei" w:cs="Consolas"/>
                      <w:sz w:val="19"/>
                      <w:szCs w:val="19"/>
                      <w:color w:val="1A1A1A"/>
                    </w:rPr>
                    <w:t>e5829f0</w:t>
                  </w:r>
                </w:p>
              </w:txbxContent>
            </v:textbox>
          </v:roundrect>
        </w:pict>
      </w:r>
      <w:r>
        <w:rPr>
          <w:rFonts w:ascii="Arial" w:hAnsi="Arial" w:eastAsia="Microsoft YaHei" w:cs="Arial"/>
          <w:color w:val="1A1A1A"/>
          <w:sz w:val="22"/>
        </w:rPr>
        <w:t>）提供基础的四标签页布局和核心指标展示。通过参考 QuantStats、pyfolio、Interactive Brokers PortfolioAnalyst 等业界标杆工具，制定了分三级（P0/P1/P2）的渐进式改进计划。</w:t>
      </w:r>
    </w:p>
    <w:p>
      <w:pPr>
        <w:spacing w:before="0" w:after="0" w:line="120" w:lineRule="exact"/>
      </w:pPr>
      <w:r>
        <w:rPr>
          <w:sz w:val="12"/>
        </w:rPr>
      </w:r>
    </w:p>
    <w:tbl>
      <w:tblPr>
        <w:tblStyle w:val="TableGrid"/>
        <w:tblW w:type="dxa" w:w="864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8640"/>
      </w:tblGrid>
      <w:tr>
        <w:tc>
          <w:tcPr>
            <w:tcW w:type="dxa" w:w="8640"/>
            <w:shd w:val="clear" w:color="auto" w:fill="F8FAFC"/>
            <w:tcBorders>
              <w:left w:val="single" w:sz="6" w:space="1" w:color="E2E8F0"/>
              <w:right w:val="single" w:sz="6" w:space="1" w:color="E2E8F0"/>
              <w:top w:val="single" w:sz="6" w:space="1" w:color="E2E8F0"/>
              <w:bottom w:val="single" w:sz="6" w:space="1" w:color="E2E8F0"/>
            </w:tcBorders>
            <w:tcMar>
              <w:top w:w="180" w:type="dxa"/>
              <w:right w:w="240" w:type="dxa"/>
              <w:bottom w:w="180" w:type="dxa"/>
              <w:left w:w="240" w:type="dxa"/>
            </w:tcMar>
          </w:tcPr>
          <w:p>
            <w:pPr>
              <w:spacing w:line="288" w:lineRule="auto"/>
            </w:pPr>
            <w:r>
              <w:rPr>
                <w:rFonts w:ascii="Arial" w:hAnsi="Arial" w:eastAsia="Microsoft YaHei" w:cs="Arial"/>
                <w:b/>
                <w:color w:val="1A1A1A"/>
                <w:sz w:val="28"/>
              </w:rPr>
              <w:t>全部改进已完成交付。</w:t>
            </w:r>
            <w:r>
              <w:rPr>
                <w:rFonts w:ascii="Arial" w:hAnsi="Arial" w:eastAsia="Microsoft YaHei" w:cs="Arial"/>
                <w:color w:val="1A1A1A"/>
                <w:sz w:val="22"/>
              </w:rPr>
              <w:t xml:space="preserve">P0（7项）→ P1（10项）→ P2（4项），共 21 项改进，Dashboard 从基线版本扩展至 5 个 Tab / 2568 行 / 30 个函数。 </w:t>
            </w:r>
          </w:p>
        </w:tc>
      </w:tr>
    </w:tbl>
    <w:p>
      <w:pPr>
        <w:spacing w:before="0" w:after="0" w:line="120" w:lineRule="exact"/>
      </w:pPr>
      <w:r>
        <w:rPr>
          <w:sz w:val="12"/>
        </w:rPr>
      </w:r>
    </w:p>
    <w:p>
      <w:pPr>
        <w:pStyle w:val="Heading2"/>
        <w:keepNext w:val="0"/>
        <w:keepLines w:val="0"/>
        <w:pageBreakBefore w:val="0"/>
        <w:spacing w:before="270" w:after="70" w:line="288" w:lineRule="auto"/>
        <w:ind w:left="60" w:firstLine="180"/>
        <w:outlineLvl w:val="1"/>
        <w:pBdr>
          <w:left w:val="single" w:sz="24" w:space="1" w:color="0D419D"/>
        </w:pBdr>
      </w:pPr>
      <w:r>
        <w:rPr>
          <w:rFonts w:ascii="Arial" w:hAnsi="Arial" w:eastAsia="Microsoft YaHei" w:cs="Arial"/>
          <w:b/>
          <w:color w:val="0D419D"/>
          <w:sz w:val="32"/>
        </w:rPr>
        <w:t>二、核心统计</w:t>
      </w:r>
    </w:p>
    <w:p>
      <w:pPr>
        <w:spacing w:before="0" w:after="0" w:line="30" w:lineRule="exact"/>
      </w:pPr>
      <w:r>
        <w:rPr>
          <w:sz w:val="3"/>
        </w:rPr>
      </w:r>
    </w:p>
    <w:tbl>
      <w:tblPr>
        <w:tblStyle w:val="TableGrid"/>
        <w:tblW w:type="dxa" w:w="420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8640"/>
      </w:tblGrid>
      <w:tr>
        <w:tc>
          <w:tcPr>
            <w:tcW w:type="dxa" w:w="4200"/>
            <w:shd w:val="clear" w:color="auto" w:fill="F0F5FF"/>
            <w:tcBorders>
              <w:left w:val="single" w:sz="6" w:space="1" w:color="D0E0FF"/>
              <w:right w:val="single" w:sz="6" w:space="1" w:color="D0E0FF"/>
              <w:top w:val="single" w:sz="6" w:space="1" w:color="D0E0FF"/>
              <w:bottom w:val="single" w:sz="6" w:space="1" w:color="D0E0FF"/>
            </w:tcBorders>
            <w:tcMar>
              <w:top w:w="150" w:type="dxa"/>
              <w:right w:w="210" w:type="dxa"/>
              <w:bottom w:w="150" w:type="dxa"/>
              <w:left w:w="210" w:type="dxa"/>
            </w:tcMar>
          </w:tcPr>
          <w:p>
            <w:pPr>
              <w:spacing w:line="288" w:lineRule="auto"/>
              <w:jc w:val="center"/>
            </w:pPr>
            <w:r>
              <w:rPr>
                <w:rFonts w:ascii="Arial" w:hAnsi="Arial" w:eastAsia="Microsoft YaHei" w:cs="Arial"/>
                <w:b/>
                <w:color w:val="0D419D"/>
                <w:sz w:val="40"/>
              </w:rPr>
              <w:t>5</w:t>
            </w:r>
          </w:p>
          <w:p>
            <w:pPr>
              <w:spacing w:line="288" w:lineRule="auto"/>
              <w:jc w:val="center"/>
            </w:pPr>
            <w:r>
              <w:rPr>
                <w:rFonts w:ascii="Arial" w:hAnsi="Arial" w:eastAsia="Microsoft YaHei" w:cs="Arial"/>
                <w:color w:val="666666"/>
                <w:sz w:val="18"/>
              </w:rPr>
              <w:t>功能标签页</w:t>
            </w:r>
          </w:p>
        </w:tc>
      </w:tr>
    </w:tbl>
    <w:p>
      <w:pPr>
        <w:spacing w:before="0" w:after="0" w:line="30" w:lineRule="exact"/>
      </w:pPr>
      <w:r>
        <w:rPr>
          <w:sz w:val="3"/>
        </w:rPr>
      </w:r>
    </w:p>
    <w:p>
      <w:pPr>
        <w:spacing w:before="0" w:after="0" w:line="100" w:lineRule="exact"/>
      </w:pPr>
      <w:r>
        <w:rPr>
          <w:sz w:val="10"/>
        </w:rPr>
      </w:r>
    </w:p>
    <w:p>
      <w:pPr>
        <w:spacing w:before="0" w:after="0" w:line="30" w:lineRule="exact"/>
      </w:pPr>
      <w:r>
        <w:rPr>
          <w:sz w:val="3"/>
        </w:rPr>
      </w:r>
    </w:p>
    <w:tbl>
      <w:tblPr>
        <w:tblStyle w:val="TableGrid"/>
        <w:tblW w:type="dxa" w:w="420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8640"/>
      </w:tblGrid>
      <w:tr>
        <w:tc>
          <w:tcPr>
            <w:tcW w:type="dxa" w:w="4200"/>
            <w:shd w:val="clear" w:color="auto" w:fill="F0F5FF"/>
            <w:tcBorders>
              <w:left w:val="single" w:sz="6" w:space="1" w:color="D0E0FF"/>
              <w:right w:val="single" w:sz="6" w:space="1" w:color="D0E0FF"/>
              <w:top w:val="single" w:sz="6" w:space="1" w:color="D0E0FF"/>
              <w:bottom w:val="single" w:sz="6" w:space="1" w:color="D0E0FF"/>
            </w:tcBorders>
            <w:tcMar>
              <w:top w:w="150" w:type="dxa"/>
              <w:right w:w="210" w:type="dxa"/>
              <w:bottom w:w="150" w:type="dxa"/>
              <w:left w:w="210" w:type="dxa"/>
            </w:tcMar>
          </w:tcPr>
          <w:p>
            <w:pPr>
              <w:spacing w:line="288" w:lineRule="auto"/>
              <w:jc w:val="center"/>
            </w:pPr>
            <w:r>
              <w:rPr>
                <w:rFonts w:ascii="Arial" w:hAnsi="Arial" w:eastAsia="Microsoft YaHei" w:cs="Arial"/>
                <w:b/>
                <w:color w:val="0D419D"/>
                <w:sz w:val="40"/>
              </w:rPr>
              <w:t>2568</w:t>
            </w:r>
          </w:p>
          <w:p>
            <w:pPr>
              <w:spacing w:line="288" w:lineRule="auto"/>
              <w:jc w:val="center"/>
            </w:pPr>
            <w:r>
              <w:rPr>
                <w:rFonts w:ascii="Arial" w:hAnsi="Arial" w:eastAsia="Microsoft YaHei" w:cs="Arial"/>
                <w:color w:val="666666"/>
                <w:sz w:val="18"/>
              </w:rPr>
              <w:t>代码行数</w:t>
            </w:r>
          </w:p>
        </w:tc>
      </w:tr>
    </w:tbl>
    <w:p>
      <w:pPr>
        <w:spacing w:before="0" w:after="0" w:line="30" w:lineRule="exact"/>
      </w:pPr>
      <w:r>
        <w:rPr>
          <w:sz w:val="3"/>
        </w:rPr>
      </w:r>
    </w:p>
    <w:p>
      <w:pPr>
        <w:spacing w:before="0" w:after="0" w:line="100" w:lineRule="exact"/>
      </w:pPr>
      <w:r>
        <w:rPr>
          <w:sz w:val="10"/>
        </w:rPr>
      </w:r>
    </w:p>
    <w:p>
      <w:pPr>
        <w:spacing w:before="0" w:after="0" w:line="30" w:lineRule="exact"/>
      </w:pPr>
      <w:r>
        <w:rPr>
          <w:sz w:val="3"/>
        </w:rPr>
      </w:r>
    </w:p>
    <w:tbl>
      <w:tblPr>
        <w:tblStyle w:val="TableGrid"/>
        <w:tblW w:type="dxa" w:w="420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8640"/>
      </w:tblGrid>
      <w:tr>
        <w:tc>
          <w:tcPr>
            <w:tcW w:type="dxa" w:w="4200"/>
            <w:shd w:val="clear" w:color="auto" w:fill="F0F5FF"/>
            <w:tcBorders>
              <w:left w:val="single" w:sz="6" w:space="1" w:color="D0E0FF"/>
              <w:right w:val="single" w:sz="6" w:space="1" w:color="D0E0FF"/>
              <w:top w:val="single" w:sz="6" w:space="1" w:color="D0E0FF"/>
              <w:bottom w:val="single" w:sz="6" w:space="1" w:color="D0E0FF"/>
            </w:tcBorders>
            <w:tcMar>
              <w:top w:w="150" w:type="dxa"/>
              <w:right w:w="210" w:type="dxa"/>
              <w:bottom w:w="150" w:type="dxa"/>
              <w:left w:w="210" w:type="dxa"/>
            </w:tcMar>
          </w:tcPr>
          <w:p>
            <w:pPr>
              <w:spacing w:line="288" w:lineRule="auto"/>
              <w:jc w:val="center"/>
            </w:pPr>
            <w:r>
              <w:rPr>
                <w:rFonts w:ascii="Arial" w:hAnsi="Arial" w:eastAsia="Microsoft YaHei" w:cs="Arial"/>
                <w:b/>
                <w:color w:val="0D419D"/>
                <w:sz w:val="40"/>
              </w:rPr>
              <w:t>30</w:t>
            </w:r>
          </w:p>
          <w:p>
            <w:pPr>
              <w:spacing w:line="288" w:lineRule="auto"/>
              <w:jc w:val="center"/>
            </w:pPr>
            <w:r>
              <w:rPr>
                <w:rFonts w:ascii="Arial" w:hAnsi="Arial" w:eastAsia="Microsoft YaHei" w:cs="Arial"/>
                <w:color w:val="666666"/>
                <w:sz w:val="18"/>
              </w:rPr>
              <w:t>函数总数</w:t>
            </w:r>
          </w:p>
        </w:tc>
      </w:tr>
    </w:tbl>
    <w:p>
      <w:pPr>
        <w:spacing w:before="0" w:after="0" w:line="30" w:lineRule="exact"/>
      </w:pPr>
      <w:r>
        <w:rPr>
          <w:sz w:val="3"/>
        </w:rPr>
      </w:r>
    </w:p>
    <w:p>
      <w:pPr>
        <w:spacing w:before="0" w:after="0" w:line="100" w:lineRule="exact"/>
      </w:pPr>
      <w:r>
        <w:rPr>
          <w:sz w:val="10"/>
        </w:rPr>
      </w:r>
    </w:p>
    <w:p>
      <w:pPr>
        <w:spacing w:before="0" w:after="0" w:line="30" w:lineRule="exact"/>
      </w:pPr>
      <w:r>
        <w:rPr>
          <w:sz w:val="3"/>
        </w:rPr>
      </w:r>
    </w:p>
    <w:tbl>
      <w:tblPr>
        <w:tblStyle w:val="TableGrid"/>
        <w:tblW w:type="dxa" w:w="420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8640"/>
      </w:tblGrid>
      <w:tr>
        <w:tc>
          <w:tcPr>
            <w:tcW w:type="dxa" w:w="4200"/>
            <w:shd w:val="clear" w:color="auto" w:fill="F0F5FF"/>
            <w:tcBorders>
              <w:left w:val="single" w:sz="6" w:space="1" w:color="D0E0FF"/>
              <w:right w:val="single" w:sz="6" w:space="1" w:color="D0E0FF"/>
              <w:top w:val="single" w:sz="6" w:space="1" w:color="D0E0FF"/>
              <w:bottom w:val="single" w:sz="6" w:space="1" w:color="D0E0FF"/>
            </w:tcBorders>
            <w:tcMar>
              <w:top w:w="150" w:type="dxa"/>
              <w:right w:w="210" w:type="dxa"/>
              <w:bottom w:w="150" w:type="dxa"/>
              <w:left w:w="210" w:type="dxa"/>
            </w:tcMar>
          </w:tcPr>
          <w:p>
            <w:pPr>
              <w:spacing w:line="288" w:lineRule="auto"/>
              <w:jc w:val="center"/>
            </w:pPr>
            <w:r>
              <w:rPr>
                <w:rFonts w:ascii="Arial" w:hAnsi="Arial" w:eastAsia="Microsoft YaHei" w:cs="Arial"/>
                <w:b/>
                <w:color w:val="0D419D"/>
                <w:sz w:val="40"/>
              </w:rPr>
              <w:t>21</w:t>
            </w:r>
          </w:p>
          <w:p>
            <w:pPr>
              <w:spacing w:line="288" w:lineRule="auto"/>
              <w:jc w:val="center"/>
            </w:pPr>
            <w:r>
              <w:rPr>
                <w:rFonts w:ascii="Arial" w:hAnsi="Arial" w:eastAsia="Microsoft YaHei" w:cs="Arial"/>
                <w:color w:val="666666"/>
                <w:sz w:val="18"/>
              </w:rPr>
              <w:t>改进项完成</w:t>
            </w:r>
          </w:p>
        </w:tc>
      </w:tr>
    </w:tbl>
    <w:p>
      <w:pPr>
        <w:spacing w:before="0" w:after="0" w:line="30" w:lineRule="exact"/>
      </w:pPr>
      <w:r>
        <w:rPr>
          <w:sz w:val="3"/>
        </w:rPr>
      </w:r>
    </w:p>
    <w:p>
      <w:pPr>
        <w:pStyle w:val="Heading2"/>
        <w:keepNext w:val="0"/>
        <w:keepLines w:val="0"/>
        <w:pageBreakBefore w:val="0"/>
        <w:spacing w:before="270" w:after="70" w:line="288" w:lineRule="auto"/>
        <w:ind w:left="60" w:firstLine="180"/>
        <w:outlineLvl w:val="1"/>
        <w:pBdr>
          <w:left w:val="single" w:sz="24" w:space="1" w:color="0D419D"/>
        </w:pBdr>
      </w:pPr>
      <w:r>
        <w:rPr>
          <w:rFonts w:ascii="Arial" w:hAnsi="Arial" w:eastAsia="Microsoft YaHei" w:cs="Arial"/>
          <w:b/>
          <w:color w:val="0D419D"/>
          <w:sz w:val="32"/>
        </w:rPr>
        <w:t>三、优先级分级原则</w:t>
      </w:r>
    </w:p>
    <w:tbl>
      <w:tblPr>
        <w:tblStyle w:val="TableGrid"/>
        <w:tblW w:type="dxa" w:w="864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900"/>
        <w:gridCol w:w="5184"/>
        <w:gridCol w:w="2556"/>
      </w:tblGrid>
      <w:tr>
        <w:tc>
          <w:tcPr>
            <w:tcW w:type="dxa" w:w="900"/>
            <w:shd w:val="clear" w:color="auto" w:fill="0D419D"/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20"/>
                <w:shd w:val="clear" w:color="auto" w:fill="0D419D"/>
              </w:rPr>
              <w:t>优先级</w:t>
            </w:r>
          </w:p>
        </w:tc>
        <w:tc>
          <w:tcPr>
            <w:tcW w:type="dxa" w:w="5184"/>
            <w:shd w:val="clear" w:color="auto" w:fill="0D419D"/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20"/>
                <w:shd w:val="clear" w:color="auto" w:fill="0D419D"/>
              </w:rPr>
              <w:t>定义</w:t>
            </w:r>
          </w:p>
        </w:tc>
        <w:tc>
          <w:tcPr>
            <w:tcW w:type="dxa" w:w="2556"/>
            <w:shd w:val="clear" w:color="auto" w:fill="0D419D"/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20"/>
                <w:shd w:val="clear" w:color="auto" w:fill="0D419D"/>
              </w:rPr>
              <w:t>投入产出比</w:t>
            </w:r>
          </w:p>
        </w:tc>
      </w:tr>
      <w:tr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b/>
                <w:color w:val="1A1A1A"/>
                <w:sz w:val="20"/>
              </w:rPr>
              <w:t>P0</w:t>
            </w:r>
          </w:p>
        </w:tc>
        <w:tc>
          <w:tcPr>
            <w:tcW w:type="dxa" w:w="5184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基于现有数据即可计算的关键指标与可视化，不依赖新增数据源或外部接口</w:t>
            </w:r>
          </w:p>
        </w:tc>
        <w:tc>
          <w:tcPr>
            <w:tcW w:type="dxa" w:w="2556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高 — 代码改动小，用户感知大</w:t>
            </w:r>
          </w:p>
        </w:tc>
      </w:tr>
      <w:tr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b/>
                <w:color w:val="1A1A1A"/>
                <w:sz w:val="20"/>
              </w:rPr>
              <w:t>P1</w:t>
            </w:r>
          </w:p>
        </w:tc>
        <w:tc>
          <w:tcPr>
            <w:tcW w:type="dxa" w:w="5184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需要新增数据函数和 UI 组件的功能扩展，涉及交互逻辑优化</w:t>
            </w:r>
          </w:p>
        </w:tc>
        <w:tc>
          <w:tcPr>
            <w:tcW w:type="dxa" w:w="2556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中高 — 代码改动中，显著提升分析深度</w:t>
            </w:r>
          </w:p>
        </w:tc>
      </w:tr>
      <w:tr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b/>
                <w:color w:val="1A1A1A"/>
                <w:sz w:val="20"/>
              </w:rPr>
              <w:t>P2</w:t>
            </w:r>
          </w:p>
        </w:tc>
        <w:tc>
          <w:tcPr>
            <w:tcW w:type="dxa" w:w="5184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高级分析能力和数据输出，引入新的计算逻辑或外部工具</w:t>
            </w:r>
          </w:p>
        </w:tc>
        <w:tc>
          <w:tcPr>
            <w:tcW w:type="dxa" w:w="2556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中 — 代码改动大，专业性强</w:t>
            </w:r>
          </w:p>
        </w:tc>
      </w:tr>
    </w:tbl>
    <w:p>
      <w:pPr>
        <w:pStyle w:val="Heading2"/>
        <w:keepNext w:val="0"/>
        <w:keepLines w:val="0"/>
        <w:pageBreakBefore w:val="0"/>
        <w:spacing w:before="270" w:after="70" w:line="288" w:lineRule="auto"/>
        <w:ind w:left="60" w:firstLine="180"/>
        <w:outlineLvl w:val="1"/>
        <w:pBdr>
          <w:left w:val="single" w:sz="24" w:space="1" w:color="0D419D"/>
        </w:pBdr>
      </w:pPr>
      <w:r>
        <w:rPr>
          <w:rFonts w:ascii="Arial" w:hAnsi="Arial" w:eastAsia="Microsoft YaHei" w:cs="Arial"/>
          <w:b/>
          <w:color w:val="0D419D"/>
          <w:sz w:val="32"/>
        </w:rPr>
        <w:t xml:space="preserve">四、P0 改进（基础增强）— </w:t>
      </w:r>
      <w:r>
        <w:pict>
          <v:roundrect style="width:49.37pt;height:19.20pt;v-text-anchor:middle" o:allowincell="t" filled="t" fillcolor="#DCFCE7" stroked="f" arcsize="39%">
            <v:textbox inset="0,0,0,0" style="mso-fit-shape-to-text:f">
              <w:txbxContent>
                <w:p>
                  <w:pPr>
                    <w:jc w:val="center"/>
                    <w:spacing w:before="0" w:after="0"/>
                  </w:pPr>
                  <w:r>
                    <w:rPr>
                      <w:rFonts w:ascii="Arial" w:hAnsi="Arial" w:eastAsia="Microsoft YaHei" w:cs="Arial"/>
                      <w:sz w:val="18"/>
                      <w:szCs w:val="18"/>
                      <w:b/>
                      <w:color w:val="166534"/>
                    </w:rPr>
                    <w:t>7/7 完成</w:t>
                  </w:r>
                </w:p>
              </w:txbxContent>
            </v:textbox>
          </v:roundrect>
        </w:pict>
      </w:r>
    </w:p>
    <w:p>
      <w:pPr>
        <w:spacing w:line="288" w:lineRule="auto"/>
      </w:pPr>
      <w:r>
        <w:rPr>
          <w:rFonts w:ascii="Arial" w:hAnsi="Arial" w:eastAsia="Microsoft YaHei" w:cs="Arial"/>
          <w:color w:val="1A1A1A"/>
          <w:sz w:val="22"/>
        </w:rPr>
        <w:t>P0 目标是在不增加数据源依赖的前提下，用最小改动量补齐专业级投资组合分析工具必备的核心功能。</w:t>
      </w:r>
    </w:p>
    <w:tbl>
      <w:tblPr>
        <w:tblStyle w:val="TableGrid"/>
        <w:tblW w:type="dxa" w:w="864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900"/>
        <w:gridCol w:w="1853"/>
        <w:gridCol w:w="3707"/>
        <w:gridCol w:w="2180"/>
      </w:tblGrid>
      <w:tr>
        <w:tc>
          <w:tcPr>
            <w:tcW w:type="dxa" w:w="900"/>
            <w:shd w:val="clear" w:color="auto" w:fill="0D419D"/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20"/>
                <w:shd w:val="clear" w:color="auto" w:fill="0D419D"/>
              </w:rPr>
              <w:t>#</w:t>
            </w:r>
          </w:p>
        </w:tc>
        <w:tc>
          <w:tcPr>
            <w:tcW w:type="dxa" w:w="1853"/>
            <w:shd w:val="clear" w:color="auto" w:fill="0D419D"/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20"/>
                <w:shd w:val="clear" w:color="auto" w:fill="0D419D"/>
              </w:rPr>
              <w:t>改进项</w:t>
            </w:r>
          </w:p>
        </w:tc>
        <w:tc>
          <w:tcPr>
            <w:tcW w:type="dxa" w:w="3707"/>
            <w:shd w:val="clear" w:color="auto" w:fill="0D419D"/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20"/>
                <w:shd w:val="clear" w:color="auto" w:fill="0D419D"/>
              </w:rPr>
              <w:t>核心实现</w:t>
            </w:r>
          </w:p>
        </w:tc>
        <w:tc>
          <w:tcPr>
            <w:tcW w:type="dxa" w:w="2180"/>
            <w:shd w:val="clear" w:color="auto" w:fill="0D419D"/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20"/>
                <w:shd w:val="clear" w:color="auto" w:fill="0D419D"/>
              </w:rPr>
              <w:t>代码位置</w:t>
            </w:r>
          </w:p>
        </w:tc>
      </w:tr>
      <w:tr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1</w:t>
            </w:r>
          </w:p>
        </w:tc>
        <w:tc>
          <w:tcPr>
            <w:tcW w:type="dxa" w:w="1853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Sortino 比率</w:t>
            </w:r>
          </w:p>
        </w:tc>
        <w:tc>
          <w:tcPr>
            <w:tcW w:type="dxa" w:w="3707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年化收益 / 下行标准差，仅惩罚下行波动</w:t>
            </w:r>
          </w:p>
        </w:tc>
        <w:tc>
          <w:tcPr>
            <w:tcW w:type="dxa" w:w="218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pict>
                <v:roundrect style="width:165.87pt;height:18.60pt;v-text-anchor:middle" o:allowincell="t" filled="t" fillcolor="#F0F0F0" stroked="f" arcsize="12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19"/>
                            <w:szCs w:val="19"/>
                            <w:color w:val="1A1A1A"/>
                          </w:rPr>
                          <w:t>compute_extended_risk_metrics()</w:t>
                        </w:r>
                      </w:p>
                    </w:txbxContent>
                  </v:textbox>
                </v:roundrect>
              </w:pict>
            </w:r>
          </w:p>
        </w:tc>
      </w:tr>
      <w:tr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2</w:t>
            </w:r>
          </w:p>
        </w:tc>
        <w:tc>
          <w:tcPr>
            <w:tcW w:type="dxa" w:w="1853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Calmar 比率</w:t>
            </w:r>
          </w:p>
        </w:tc>
        <w:tc>
          <w:tcPr>
            <w:tcW w:type="dxa" w:w="3707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年化收益 / 最大回撤绝对值</w:t>
            </w:r>
          </w:p>
        </w:tc>
        <w:tc>
          <w:tcPr>
            <w:tcW w:type="dxa" w:w="218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pict>
                <v:roundrect style="width:165.87pt;height:18.60pt;v-text-anchor:middle" o:allowincell="t" filled="t" fillcolor="#F0F0F0" stroked="f" arcsize="12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19"/>
                            <w:szCs w:val="19"/>
                            <w:color w:val="1A1A1A"/>
                          </w:rPr>
                          <w:t>compute_extended_risk_metrics()</w:t>
                        </w:r>
                      </w:p>
                    </w:txbxContent>
                  </v:textbox>
                </v:roundrect>
              </w:pict>
            </w:r>
          </w:p>
        </w:tc>
      </w:tr>
      <w:tr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3</w:t>
            </w:r>
          </w:p>
        </w:tc>
        <w:tc>
          <w:tcPr>
            <w:tcW w:type="dxa" w:w="1853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胜率 / 盈亏比</w:t>
            </w:r>
          </w:p>
        </w:tc>
        <w:tc>
          <w:tcPr>
            <w:tcW w:type="dxa" w:w="3707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盈利天数占比 + 平均盈利/亏损金额比</w:t>
            </w:r>
          </w:p>
        </w:tc>
        <w:tc>
          <w:tcPr>
            <w:tcW w:type="dxa" w:w="218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pict>
                <v:roundrect style="width:165.87pt;height:18.60pt;v-text-anchor:middle" o:allowincell="t" filled="t" fillcolor="#F0F0F0" stroked="f" arcsize="12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19"/>
                            <w:szCs w:val="19"/>
                            <w:color w:val="1A1A1A"/>
                          </w:rPr>
                          <w:t>compute_extended_risk_metrics()</w:t>
                        </w:r>
                      </w:p>
                    </w:txbxContent>
                  </v:textbox>
                </v:roundrect>
              </w:pict>
            </w:r>
          </w:p>
        </w:tc>
      </w:tr>
      <w:tr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4</w:t>
            </w:r>
          </w:p>
        </w:tc>
        <w:tc>
          <w:tcPr>
            <w:tcW w:type="dxa" w:w="1853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最大回撤持续天数</w:t>
            </w:r>
          </w:p>
        </w:tc>
        <w:tc>
          <w:tcPr>
            <w:tcW w:type="dxa" w:w="3707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净值低于峰值的最长连续交易日数</w:t>
            </w:r>
          </w:p>
        </w:tc>
        <w:tc>
          <w:tcPr>
            <w:tcW w:type="dxa" w:w="218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pict>
                <v:roundrect style="width:165.87pt;height:18.60pt;v-text-anchor:middle" o:allowincell="t" filled="t" fillcolor="#F0F0F0" stroked="f" arcsize="12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19"/>
                            <w:szCs w:val="19"/>
                            <w:color w:val="1A1A1A"/>
                          </w:rPr>
                          <w:t>compute_extended_risk_metrics()</w:t>
                        </w:r>
                      </w:p>
                    </w:txbxContent>
                  </v:textbox>
                </v:roundrect>
              </w:pict>
            </w:r>
          </w:p>
        </w:tc>
      </w:tr>
      <w:tr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5</w:t>
            </w:r>
          </w:p>
        </w:tc>
        <w:tc>
          <w:tcPr>
            <w:tcW w:type="dxa" w:w="1853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月度收益热力图</w:t>
            </w:r>
          </w:p>
        </w:tc>
        <w:tc>
          <w:tcPr>
            <w:tcW w:type="dxa" w:w="3707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年份 × 月份矩阵，RdYlGn 色阶，含年度合计</w:t>
            </w:r>
          </w:p>
        </w:tc>
        <w:tc>
          <w:tcPr>
            <w:tcW w:type="dxa" w:w="218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pict>
                <v:roundrect style="width:135.66pt;height:18.60pt;v-text-anchor:middle" o:allowincell="t" filled="t" fillcolor="#F0F0F0" stroked="f" arcsize="12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19"/>
                            <w:szCs w:val="19"/>
                            <w:color w:val="1A1A1A"/>
                          </w:rPr>
                          <w:t>compute_monthly_returns()</w:t>
                        </w:r>
                      </w:p>
                    </w:txbxContent>
                  </v:textbox>
                </v:roundrect>
              </w:pict>
            </w:r>
          </w:p>
        </w:tc>
      </w:tr>
      <w:tr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6</w:t>
            </w:r>
          </w:p>
        </w:tc>
        <w:tc>
          <w:tcPr>
            <w:tcW w:type="dxa" w:w="1853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滚动夏普 / 波动率</w:t>
            </w:r>
          </w:p>
        </w:tc>
        <w:tc>
          <w:tcPr>
            <w:tcW w:type="dxa" w:w="3707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60 日滚动窗口双子图折线</w:t>
            </w:r>
          </w:p>
        </w:tc>
        <w:tc>
          <w:tcPr>
            <w:tcW w:type="dxa" w:w="218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pict>
                <v:roundrect style="width:135.66pt;height:18.60pt;v-text-anchor:middle" o:allowincell="t" filled="t" fillcolor="#F0F0F0" stroked="f" arcsize="12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19"/>
                            <w:szCs w:val="19"/>
                            <w:color w:val="1A1A1A"/>
                          </w:rPr>
                          <w:t>compute_rolling_metrics()</w:t>
                        </w:r>
                      </w:p>
                    </w:txbxContent>
                  </v:textbox>
                </v:roundrect>
              </w:pict>
            </w:r>
          </w:p>
        </w:tc>
      </w:tr>
      <w:tr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7</w:t>
            </w:r>
          </w:p>
        </w:tc>
        <w:tc>
          <w:tcPr>
            <w:tcW w:type="dxa" w:w="1853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缓存优化 + 弃用修复 + 非交易日防护</w:t>
            </w:r>
          </w:p>
        </w:tc>
        <w:tc>
          <w:tcPr>
            <w:tcW w:type="dxa" w:w="3707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@st.cache_data TTL、降采样 500 点、10 日预热、use_container_width 修复、周末脏数据过滤</w:t>
            </w:r>
          </w:p>
        </w:tc>
        <w:tc>
          <w:tcPr>
            <w:tcW w:type="dxa" w:w="218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全局</w:t>
            </w:r>
          </w:p>
        </w:tc>
      </w:tr>
    </w:tbl>
    <w:p>
      <w:pPr>
        <w:pStyle w:val="Heading2"/>
        <w:keepNext w:val="0"/>
        <w:keepLines w:val="0"/>
        <w:pageBreakBefore w:val="0"/>
        <w:spacing w:before="270" w:after="70" w:line="288" w:lineRule="auto"/>
        <w:ind w:left="60" w:firstLine="180"/>
        <w:outlineLvl w:val="1"/>
        <w:pBdr>
          <w:left w:val="single" w:sz="24" w:space="1" w:color="0D419D"/>
        </w:pBdr>
      </w:pPr>
      <w:r>
        <w:rPr>
          <w:rFonts w:ascii="Arial" w:hAnsi="Arial" w:eastAsia="Microsoft YaHei" w:cs="Arial"/>
          <w:b/>
          <w:color w:val="0D419D"/>
          <w:sz w:val="32"/>
        </w:rPr>
        <w:t xml:space="preserve">五、P1 改进（功能扩展）— </w:t>
      </w:r>
      <w:r>
        <w:pict>
          <v:roundrect style="width:59.81pt;height:19.20pt;v-text-anchor:middle" o:allowincell="t" filled="t" fillcolor="#DCFCE7" stroked="f" arcsize="39%">
            <v:textbox inset="0,0,0,0" style="mso-fit-shape-to-text:f">
              <w:txbxContent>
                <w:p>
                  <w:pPr>
                    <w:jc w:val="center"/>
                    <w:spacing w:before="0" w:after="0"/>
                  </w:pPr>
                  <w:r>
                    <w:rPr>
                      <w:rFonts w:ascii="Arial" w:hAnsi="Arial" w:eastAsia="Microsoft YaHei" w:cs="Arial"/>
                      <w:sz w:val="18"/>
                      <w:szCs w:val="18"/>
                      <w:b/>
                      <w:color w:val="166534"/>
                    </w:rPr>
                    <w:t>10/10 完成</w:t>
                  </w:r>
                </w:p>
              </w:txbxContent>
            </v:textbox>
          </v:roundrect>
        </w:pict>
      </w:r>
    </w:p>
    <w:p>
      <w:pPr>
        <w:spacing w:line="288" w:lineRule="auto"/>
      </w:pPr>
      <w:r>
        <w:rPr>
          <w:rFonts w:ascii="Arial" w:hAnsi="Arial" w:eastAsia="Microsoft YaHei" w:cs="Arial"/>
          <w:color w:val="1A1A1A"/>
          <w:sz w:val="22"/>
        </w:rPr>
        <w:t>P1 拓展分析维度：持仓间关联性、个股深度剖析、多基准灵活对比、行业权重可视化、数据导出。</w:t>
      </w:r>
    </w:p>
    <w:tbl>
      <w:tblPr>
        <w:tblStyle w:val="TableGrid"/>
        <w:tblW w:type="dxa" w:w="864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900"/>
        <w:gridCol w:w="1333"/>
        <w:gridCol w:w="3554"/>
        <w:gridCol w:w="2853"/>
      </w:tblGrid>
      <w:tr>
        <w:tc>
          <w:tcPr>
            <w:tcW w:type="dxa" w:w="900"/>
            <w:shd w:val="clear" w:color="auto" w:fill="0D419D"/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20"/>
                <w:shd w:val="clear" w:color="auto" w:fill="0D419D"/>
              </w:rPr>
              <w:t>#</w:t>
            </w:r>
          </w:p>
        </w:tc>
        <w:tc>
          <w:tcPr>
            <w:tcW w:type="dxa" w:w="1333"/>
            <w:shd w:val="clear" w:color="auto" w:fill="0D419D"/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20"/>
                <w:shd w:val="clear" w:color="auto" w:fill="0D419D"/>
              </w:rPr>
              <w:t>改进项</w:t>
            </w:r>
          </w:p>
        </w:tc>
        <w:tc>
          <w:tcPr>
            <w:tcW w:type="dxa" w:w="3554"/>
            <w:shd w:val="clear" w:color="auto" w:fill="0D419D"/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20"/>
                <w:shd w:val="clear" w:color="auto" w:fill="0D419D"/>
              </w:rPr>
              <w:t>核心实现</w:t>
            </w:r>
          </w:p>
        </w:tc>
        <w:tc>
          <w:tcPr>
            <w:tcW w:type="dxa" w:w="2853"/>
            <w:shd w:val="clear" w:color="auto" w:fill="0D419D"/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20"/>
                <w:shd w:val="clear" w:color="auto" w:fill="0D419D"/>
              </w:rPr>
              <w:t>代码位置</w:t>
            </w:r>
          </w:p>
        </w:tc>
      </w:tr>
      <w:tr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1</w:t>
            </w:r>
          </w:p>
        </w:tc>
        <w:tc>
          <w:tcPr>
            <w:tcW w:type="dxa" w:w="1333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持仓相关性矩阵</w:t>
            </w:r>
          </w:p>
        </w:tc>
        <w:tc>
          <w:tcPr>
            <w:tcW w:type="dxa" w:w="3554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Pearson 日收益率热力图，蓝-灰-红配色，自适应高度，数值标注</w:t>
            </w:r>
          </w:p>
        </w:tc>
        <w:tc>
          <w:tcPr>
            <w:tcW w:type="dxa" w:w="2853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pict>
                <v:roundrect style="width:135.66pt;height:18.60pt;v-text-anchor:middle" o:allowincell="t" filled="t" fillcolor="#F0F0F0" stroked="f" arcsize="12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19"/>
                            <w:szCs w:val="19"/>
                            <w:color w:val="1A1A1A"/>
                          </w:rPr>
                          <w:t>load_correlation_matrix()</w:t>
                        </w:r>
                      </w:p>
                    </w:txbxContent>
                  </v:textbox>
                </v:roundrect>
              </w:pict>
            </w:r>
            <w:r>
              <w:rPr>
                <w:rFonts w:ascii="Arial" w:hAnsi="Arial" w:eastAsia="Microsoft YaHei" w:cs="Arial"/>
                <w:color w:val="1A1A1A"/>
                <w:sz w:val="20"/>
              </w:rPr>
              <w:t xml:space="preserve"> L352</w:t>
            </w:r>
          </w:p>
        </w:tc>
      </w:tr>
      <w:tr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2</w:t>
            </w:r>
          </w:p>
        </w:tc>
        <w:tc>
          <w:tcPr>
            <w:tcW w:type="dxa" w:w="1333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ETF 详情面板 - 核心指标</w:t>
            </w:r>
          </w:p>
        </w:tc>
        <w:tc>
          <w:tcPr>
            <w:tcW w:type="dxa" w:w="3554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6 列指标卡：市值、累计盈亏、年内收益、Beta、成本价、现价</w:t>
            </w:r>
          </w:p>
        </w:tc>
        <w:tc>
          <w:tcPr>
            <w:tcW w:type="dxa" w:w="2853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pict>
                <v:roundrect style="width:137.56pt;height:18.60pt;v-text-anchor:middle" o:allowincell="t" filled="t" fillcolor="#F0F0F0" stroked="f" arcsize="12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19"/>
                            <w:szCs w:val="19"/>
                            <w:color w:val="1A1A1A"/>
                          </w:rPr>
                          <w:t>_render_etf_detail_panel()</w:t>
                        </w:r>
                      </w:p>
                    </w:txbxContent>
                  </v:textbox>
                </v:roundrect>
              </w:pict>
            </w:r>
            <w:r>
              <w:rPr>
                <w:rFonts w:ascii="Arial" w:hAnsi="Arial" w:eastAsia="Microsoft YaHei" w:cs="Arial"/>
                <w:color w:val="1A1A1A"/>
                <w:sz w:val="20"/>
              </w:rPr>
              <w:t xml:space="preserve"> L488</w:t>
            </w:r>
          </w:p>
        </w:tc>
      </w:tr>
      <w:tr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3</w:t>
            </w:r>
          </w:p>
        </w:tc>
        <w:tc>
          <w:tcPr>
            <w:tcW w:type="dxa" w:w="1333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ETF 详情面板 - 价格走势</w:t>
            </w:r>
          </w:p>
        </w:tc>
        <w:tc>
          <w:tcPr>
            <w:tcW w:type="dxa" w:w="3554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250 日收盘价折线 + 黄色成本线标注</w:t>
            </w:r>
          </w:p>
        </w:tc>
        <w:tc>
          <w:tcPr>
            <w:tcW w:type="dxa" w:w="2853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同上</w:t>
            </w:r>
          </w:p>
        </w:tc>
      </w:tr>
      <w:tr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4</w:t>
            </w:r>
          </w:p>
        </w:tc>
        <w:tc>
          <w:tcPr>
            <w:tcW w:type="dxa" w:w="1333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ETF 详情面板 - 技术指标</w:t>
            </w:r>
          </w:p>
        </w:tc>
        <w:tc>
          <w:tcPr>
            <w:tcW w:type="dxa" w:w="3554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趋势/RSI/MA/MACD/KDJ/布林/ATR 面板 + RSI 仪表条</w:t>
            </w:r>
          </w:p>
        </w:tc>
        <w:tc>
          <w:tcPr>
            <w:tcW w:type="dxa" w:w="2853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同上</w:t>
            </w:r>
          </w:p>
        </w:tc>
      </w:tr>
      <w:tr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5</w:t>
            </w:r>
          </w:p>
        </w:tc>
        <w:tc>
          <w:tcPr>
            <w:tcW w:type="dxa" w:w="1333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ETF 详情面板 - 收益分布</w:t>
            </w:r>
          </w:p>
        </w:tc>
        <w:tc>
          <w:tcPr>
            <w:tcW w:type="dxa" w:w="3554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日收益率直方图（30 分箱）+ 关键统计（均值/标准差/极值）</w:t>
            </w:r>
          </w:p>
        </w:tc>
        <w:tc>
          <w:tcPr>
            <w:tcW w:type="dxa" w:w="2853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同上</w:t>
            </w:r>
          </w:p>
        </w:tc>
      </w:tr>
      <w:tr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6</w:t>
            </w:r>
          </w:p>
        </w:tc>
        <w:tc>
          <w:tcPr>
            <w:tcW w:type="dxa" w:w="1333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多基准指数选择</w:t>
            </w:r>
          </w:p>
        </w:tc>
        <w:tc>
          <w:tcPr>
            <w:tcW w:type="dxa" w:w="3554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侧边栏 selectbox，11 个指数可选，缓存预热联动</w:t>
            </w:r>
          </w:p>
        </w:tc>
        <w:tc>
          <w:tcPr>
            <w:tcW w:type="dxa" w:w="2853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pict>
                <v:roundrect style="width:146.30pt;height:18.60pt;v-text-anchor:middle" o:allowincell="t" filled="t" fillcolor="#F0F0F0" stroked="f" arcsize="12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19"/>
                            <w:szCs w:val="19"/>
                            <w:color w:val="1A1A1A"/>
                          </w:rPr>
                          <w:t>load_benchmark_comparison()</w:t>
                        </w:r>
                      </w:p>
                    </w:txbxContent>
                  </v:textbox>
                </v:roundrect>
              </w:pict>
            </w:r>
            <w:r>
              <w:rPr>
                <w:rFonts w:ascii="Arial" w:hAnsi="Arial" w:eastAsia="Microsoft YaHei" w:cs="Arial"/>
                <w:color w:val="1A1A1A"/>
                <w:sz w:val="20"/>
              </w:rPr>
              <w:t xml:space="preserve"> L724</w:t>
            </w:r>
          </w:p>
        </w:tc>
      </w:tr>
      <w:tr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7</w:t>
            </w:r>
          </w:p>
        </w:tc>
        <w:tc>
          <w:tcPr>
            <w:tcW w:type="dxa" w:w="1333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行业权重堆叠面积图</w:t>
            </w:r>
          </w:p>
        </w:tc>
        <w:tc>
          <w:tcPr>
            <w:tcW w:type="dxa" w:w="3554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8 大行业权重时序，独立配色，底部统计摘要</w:t>
            </w:r>
          </w:p>
        </w:tc>
        <w:tc>
          <w:tcPr>
            <w:tcW w:type="dxa" w:w="2853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pict>
                <v:roundrect style="width:114.38pt;height:18.60pt;v-text-anchor:middle" o:allowincell="t" filled="t" fillcolor="#F0F0F0" stroked="f" arcsize="12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19"/>
                            <w:szCs w:val="19"/>
                            <w:color w:val="1A1A1A"/>
                          </w:rPr>
                          <w:t>load_sector_weights()</w:t>
                        </w:r>
                      </w:p>
                    </w:txbxContent>
                  </v:textbox>
                </v:roundrect>
              </w:pict>
            </w:r>
            <w:r>
              <w:rPr>
                <w:rFonts w:ascii="Arial" w:hAnsi="Arial" w:eastAsia="Microsoft YaHei" w:cs="Arial"/>
                <w:color w:val="1A1A1A"/>
                <w:sz w:val="20"/>
              </w:rPr>
              <w:t xml:space="preserve"> L751</w:t>
            </w:r>
          </w:p>
        </w:tc>
      </w:tr>
      <w:tr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8</w:t>
            </w:r>
          </w:p>
        </w:tc>
        <w:tc>
          <w:tcPr>
            <w:tcW w:type="dxa" w:w="1333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CSV 数据导出</w:t>
            </w:r>
          </w:p>
        </w:tc>
        <w:tc>
          <w:tcPr>
            <w:tcW w:type="dxa" w:w="3554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持仓数据 + 收益序列，一键下载</w:t>
            </w:r>
          </w:p>
        </w:tc>
        <w:tc>
          <w:tcPr>
            <w:tcW w:type="dxa" w:w="2853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pict>
                <v:roundrect style="width:119.70pt;height:18.60pt;v-text-anchor:middle" o:allowincell="t" filled="t" fillcolor="#F0F0F0" stroked="f" arcsize="12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19"/>
                            <w:szCs w:val="19"/>
                            <w:color w:val="1A1A1A"/>
                          </w:rPr>
                          <w:t>export_positions_csv()</w:t>
                        </w:r>
                      </w:p>
                    </w:txbxContent>
                  </v:textbox>
                </v:roundrect>
              </w:pict>
            </w:r>
            <w:r>
              <w:rPr>
                <w:rFonts w:ascii="Arial" w:hAnsi="Arial" w:eastAsia="Microsoft YaHei" w:cs="Arial"/>
                <w:color w:val="1A1A1A"/>
                <w:sz w:val="20"/>
              </w:rPr>
              <w:t xml:space="preserve"> / </w:t>
            </w:r>
            <w:r>
              <w:pict>
                <v:roundrect style="width:109.06pt;height:18.60pt;v-text-anchor:middle" o:allowincell="t" filled="t" fillcolor="#F0F0F0" stroked="f" arcsize="12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19"/>
                            <w:szCs w:val="19"/>
                            <w:color w:val="1A1A1A"/>
                          </w:rPr>
                          <w:t>export_summary_csv()</w:t>
                        </w:r>
                      </w:p>
                    </w:txbxContent>
                  </v:textbox>
                </v:roundrect>
              </w:pict>
            </w:r>
          </w:p>
        </w:tc>
      </w:tr>
      <w:tr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9</w:t>
            </w:r>
          </w:p>
        </w:tc>
        <w:tc>
          <w:tcPr>
            <w:tcW w:type="dxa" w:w="1333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智能分析建议</w:t>
            </w:r>
          </w:p>
        </w:tc>
        <w:tc>
          <w:tcPr>
            <w:tcW w:type="dxa" w:w="3554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自动加载 data/reports/smart_report_*.md 最新报告</w:t>
            </w:r>
          </w:p>
        </w:tc>
        <w:tc>
          <w:tcPr>
            <w:tcW w:type="dxa" w:w="2853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页脚区域</w:t>
            </w:r>
          </w:p>
        </w:tc>
      </w:tr>
      <w:tr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10</w:t>
            </w:r>
          </w:p>
        </w:tc>
        <w:tc>
          <w:tcPr>
            <w:tcW w:type="dxa" w:w="1333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净值曲线基准归一化</w:t>
            </w:r>
          </w:p>
        </w:tc>
        <w:tc>
          <w:tcPr>
            <w:tcW w:type="dxa" w:w="3554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组合和基准统一归一化到 100 基点对比</w:t>
            </w:r>
          </w:p>
        </w:tc>
        <w:tc>
          <w:tcPr>
            <w:tcW w:type="dxa" w:w="2853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Tab1 净值走势</w:t>
            </w:r>
          </w:p>
        </w:tc>
      </w:tr>
    </w:tbl>
    <w:p>
      <w:pPr>
        <w:pStyle w:val="Heading2"/>
        <w:keepNext w:val="0"/>
        <w:keepLines w:val="0"/>
        <w:pageBreakBefore w:val="0"/>
        <w:spacing w:before="270" w:after="70" w:line="288" w:lineRule="auto"/>
        <w:ind w:left="60" w:firstLine="180"/>
        <w:outlineLvl w:val="1"/>
        <w:pBdr>
          <w:left w:val="single" w:sz="24" w:space="1" w:color="0D419D"/>
        </w:pBdr>
      </w:pPr>
      <w:r>
        <w:rPr>
          <w:rFonts w:ascii="Arial" w:hAnsi="Arial" w:eastAsia="Microsoft YaHei" w:cs="Arial"/>
          <w:b/>
          <w:color w:val="0D419D"/>
          <w:sz w:val="32"/>
        </w:rPr>
        <w:t xml:space="preserve">六、P2 改进（高级特性）— </w:t>
      </w:r>
      <w:r>
        <w:pict>
          <v:roundrect style="width:49.37pt;height:19.20pt;v-text-anchor:middle" o:allowincell="t" filled="t" fillcolor="#DCFCE7" stroked="f" arcsize="39%">
            <v:textbox inset="0,0,0,0" style="mso-fit-shape-to-text:f">
              <w:txbxContent>
                <w:p>
                  <w:pPr>
                    <w:jc w:val="center"/>
                    <w:spacing w:before="0" w:after="0"/>
                  </w:pPr>
                  <w:r>
                    <w:rPr>
                      <w:rFonts w:ascii="Arial" w:hAnsi="Arial" w:eastAsia="Microsoft YaHei" w:cs="Arial"/>
                      <w:sz w:val="18"/>
                      <w:szCs w:val="18"/>
                      <w:b/>
                      <w:color w:val="166534"/>
                    </w:rPr>
                    <w:t>4/4 完成</w:t>
                  </w:r>
                </w:p>
              </w:txbxContent>
            </v:textbox>
          </v:roundrect>
        </w:pict>
      </w:r>
    </w:p>
    <w:p>
      <w:pPr>
        <w:spacing w:line="288" w:lineRule="auto"/>
      </w:pPr>
      <w:r>
        <w:rPr>
          <w:rFonts w:ascii="Arial" w:hAnsi="Arial" w:eastAsia="Microsoft YaHei" w:cs="Arial"/>
          <w:color w:val="1A1A1A"/>
          <w:sz w:val="22"/>
        </w:rPr>
        <w:t>P2 聚焦专业级分析能力和数据输出，共新增 267 行代码。</w:t>
      </w:r>
    </w:p>
    <w:p>
      <w:pPr>
        <w:pStyle w:val="Heading3"/>
        <w:keepNext w:val="0"/>
        <w:keepLines w:val="0"/>
        <w:pageBreakBefore w:val="0"/>
        <w:spacing w:before="180" w:after="60" w:line="288" w:lineRule="auto"/>
        <w:outlineLvl w:val="2"/>
      </w:pPr>
      <w:r>
        <w:rPr>
          <w:rFonts w:ascii="Arial" w:hAnsi="Arial" w:eastAsia="Microsoft YaHei" w:cs="Arial"/>
          <w:b/>
          <w:color w:val="21262D"/>
          <w:sz w:val="26"/>
        </w:rPr>
        <w:t>6.1 收益归因分析（Brinson 模型）</w:t>
      </w:r>
    </w:p>
    <w:tbl>
      <w:tblPr>
        <w:tblStyle w:val="TableGrid"/>
        <w:tblW w:type="dxa" w:w="864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900"/>
        <w:gridCol w:w="6400"/>
        <w:gridCol w:w="1340"/>
      </w:tblGrid>
      <w:tr>
        <w:tc>
          <w:tcPr>
            <w:tcW w:type="dxa" w:w="900"/>
            <w:shd w:val="clear" w:color="auto" w:fill="0D419D"/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20"/>
                <w:shd w:val="clear" w:color="auto" w:fill="0D419D"/>
              </w:rPr>
              <w:t>组件</w:t>
            </w:r>
          </w:p>
        </w:tc>
        <w:tc>
          <w:tcPr>
            <w:tcW w:type="dxa" w:w="6400"/>
            <w:shd w:val="clear" w:color="auto" w:fill="0D419D"/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20"/>
                <w:shd w:val="clear" w:color="auto" w:fill="0D419D"/>
              </w:rPr>
              <w:t>说明</w:t>
            </w:r>
          </w:p>
        </w:tc>
        <w:tc>
          <w:tcPr>
            <w:tcW w:type="dxa" w:w="1340"/>
            <w:shd w:val="clear" w:color="auto" w:fill="0D419D"/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20"/>
                <w:shd w:val="clear" w:color="auto" w:fill="0D419D"/>
              </w:rPr>
              <w:t>代码位置</w:t>
            </w:r>
          </w:p>
        </w:tc>
      </w:tr>
      <w:tr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数据函数</w:t>
            </w:r>
          </w:p>
        </w:tc>
        <w:tc>
          <w:tcPr>
            <w:tcW w:type="dxa" w:w="64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Consolas" w:hAnsi="Consolas" w:eastAsia="Microsoft YaHei" w:cs="Consolas"/>
                <w:color w:val="1A1A1A"/>
                <w:sz w:val="19"/>
                <w:shd w:val="clear" w:color="auto" w:fill="F0F0F0"/>
              </w:rPr>
              <w:t>compute_return_attribution(days, end_date)</w:t>
            </w:r>
            <w:r>
              <w:rPr>
                <w:rFonts w:ascii="Arial" w:hAnsi="Arial" w:eastAsia="Microsoft YaHei" w:cs="Arial"/>
                <w:color w:val="1A1A1A"/>
                <w:sz w:val="20"/>
              </w:rPr>
              <w:t xml:space="preserve"> (58行) — Brinson 分解：配置效应 + 选股效应</w:t>
            </w:r>
          </w:p>
        </w:tc>
        <w:tc>
          <w:tcPr>
            <w:tcW w:type="dxa" w:w="134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L880</w:t>
            </w:r>
          </w:p>
        </w:tc>
      </w:tr>
      <w:tr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可视化</w:t>
            </w:r>
          </w:p>
        </w:tc>
        <w:tc>
          <w:tcPr>
            <w:tcW w:type="dxa" w:w="64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Plotly 瀑布图：基准收益 → 各行业配置贡献 → 选股贡献 → 总超额收益</w:t>
            </w:r>
          </w:p>
        </w:tc>
        <w:tc>
          <w:tcPr>
            <w:tcW w:type="dxa" w:w="134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Tab5 L1845</w:t>
            </w:r>
          </w:p>
        </w:tc>
      </w:tr>
      <w:tr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数据源</w:t>
            </w:r>
          </w:p>
        </w:tc>
        <w:tc>
          <w:tcPr>
            <w:tcW w:type="dxa" w:w="64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portfolio_snapshots 按行业聚合 + index_quotes 基准收益率</w:t>
            </w:r>
          </w:p>
        </w:tc>
        <w:tc>
          <w:tcPr>
            <w:tcW w:type="dxa" w:w="134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</w:p>
        </w:tc>
      </w:tr>
    </w:tbl>
    <w:p>
      <w:pPr>
        <w:pStyle w:val="Heading3"/>
        <w:keepNext w:val="0"/>
        <w:keepLines w:val="0"/>
        <w:pageBreakBefore w:val="0"/>
        <w:spacing w:before="180" w:after="60" w:line="288" w:lineRule="auto"/>
        <w:outlineLvl w:val="2"/>
      </w:pPr>
      <w:r>
        <w:rPr>
          <w:rFonts w:ascii="Arial" w:hAnsi="Arial" w:eastAsia="Microsoft YaHei" w:cs="Arial"/>
          <w:b/>
          <w:color w:val="21262D"/>
          <w:sz w:val="26"/>
        </w:rPr>
        <w:t>6.2 Monte Carlo 模拟</w:t>
      </w:r>
    </w:p>
    <w:tbl>
      <w:tblPr>
        <w:tblStyle w:val="TableGrid"/>
        <w:tblW w:type="dxa" w:w="864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900"/>
        <w:gridCol w:w="6400"/>
        <w:gridCol w:w="1340"/>
      </w:tblGrid>
      <w:tr>
        <w:tc>
          <w:tcPr>
            <w:tcW w:type="dxa" w:w="900"/>
            <w:shd w:val="clear" w:color="auto" w:fill="0D419D"/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20"/>
                <w:shd w:val="clear" w:color="auto" w:fill="0D419D"/>
              </w:rPr>
              <w:t>组件</w:t>
            </w:r>
          </w:p>
        </w:tc>
        <w:tc>
          <w:tcPr>
            <w:tcW w:type="dxa" w:w="6400"/>
            <w:shd w:val="clear" w:color="auto" w:fill="0D419D"/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20"/>
                <w:shd w:val="clear" w:color="auto" w:fill="0D419D"/>
              </w:rPr>
              <w:t>说明</w:t>
            </w:r>
          </w:p>
        </w:tc>
        <w:tc>
          <w:tcPr>
            <w:tcW w:type="dxa" w:w="1340"/>
            <w:shd w:val="clear" w:color="auto" w:fill="0D419D"/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20"/>
                <w:shd w:val="clear" w:color="auto" w:fill="0D419D"/>
              </w:rPr>
              <w:t>代码位置</w:t>
            </w:r>
          </w:p>
        </w:tc>
      </w:tr>
      <w:tr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数据函数</w:t>
            </w:r>
          </w:p>
        </w:tc>
        <w:tc>
          <w:tcPr>
            <w:tcW w:type="dxa" w:w="64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Consolas" w:hAnsi="Consolas" w:eastAsia="Microsoft YaHei" w:cs="Consolas"/>
                <w:color w:val="1A1A1A"/>
                <w:sz w:val="19"/>
                <w:shd w:val="clear" w:color="auto" w:fill="F0F0F0"/>
              </w:rPr>
              <w:t>run_monte_carlo(days, n_simulations, end_date)</w:t>
            </w:r>
            <w:r>
              <w:rPr>
                <w:rFonts w:ascii="Arial" w:hAnsi="Arial" w:eastAsia="Microsoft YaHei" w:cs="Arial"/>
                <w:color w:val="1A1A1A"/>
                <w:sz w:val="20"/>
              </w:rPr>
              <w:t xml:space="preserve"> (75行) — Bootstrap 采样生成未来收益路径</w:t>
            </w:r>
          </w:p>
        </w:tc>
        <w:tc>
          <w:tcPr>
            <w:tcW w:type="dxa" w:w="134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L805</w:t>
            </w:r>
          </w:p>
        </w:tc>
      </w:tr>
      <w:tr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交互控件</w:t>
            </w:r>
          </w:p>
        </w:tc>
        <w:tc>
          <w:tcPr>
            <w:tcW w:type="dxa" w:w="64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模拟天数滑块（30-500）+ 路径数选择（200/500/1000）</w:t>
            </w:r>
          </w:p>
        </w:tc>
        <w:tc>
          <w:tcPr>
            <w:tcW w:type="dxa" w:w="134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Tab5 L2187</w:t>
            </w:r>
          </w:p>
        </w:tc>
      </w:tr>
      <w:tr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可视化</w:t>
            </w:r>
          </w:p>
        </w:tc>
        <w:tc>
          <w:tcPr>
            <w:tcW w:type="dxa" w:w="64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扇形区域图（P5/P25/P50/P75/P95）+ 中位数线 + 当前市值基准线</w:t>
            </w:r>
          </w:p>
        </w:tc>
        <w:tc>
          <w:tcPr>
            <w:tcW w:type="dxa" w:w="134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Tab5 L2196</w:t>
            </w:r>
          </w:p>
        </w:tc>
      </w:tr>
      <w:tr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摘要指标</w:t>
            </w:r>
          </w:p>
        </w:tc>
        <w:tc>
          <w:tcPr>
            <w:tcW w:type="dxa" w:w="64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当前市值、P50/P5/P95 预估值、VaR(95%) 和 CVaR(95%)</w:t>
            </w:r>
          </w:p>
        </w:tc>
        <w:tc>
          <w:tcPr>
            <w:tcW w:type="dxa" w:w="134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Tab5 L2256</w:t>
            </w:r>
          </w:p>
        </w:tc>
      </w:tr>
    </w:tbl>
    <w:p>
      <w:pPr>
        <w:pStyle w:val="Heading3"/>
        <w:keepNext w:val="0"/>
        <w:keepLines w:val="0"/>
        <w:pageBreakBefore w:val="0"/>
        <w:spacing w:before="180" w:after="60" w:line="288" w:lineRule="auto"/>
        <w:outlineLvl w:val="2"/>
      </w:pPr>
      <w:r>
        <w:rPr>
          <w:rFonts w:ascii="Arial" w:hAnsi="Arial" w:eastAsia="Microsoft YaHei" w:cs="Arial"/>
          <w:b/>
          <w:color w:val="21262D"/>
          <w:sz w:val="26"/>
        </w:rPr>
        <w:t>6.3 再平衡建议</w:t>
      </w:r>
    </w:p>
    <w:tbl>
      <w:tblPr>
        <w:tblStyle w:val="TableGrid"/>
        <w:tblW w:type="dxa" w:w="864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900"/>
        <w:gridCol w:w="6400"/>
        <w:gridCol w:w="1340"/>
      </w:tblGrid>
      <w:tr>
        <w:tc>
          <w:tcPr>
            <w:tcW w:type="dxa" w:w="900"/>
            <w:shd w:val="clear" w:color="auto" w:fill="0D419D"/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20"/>
                <w:shd w:val="clear" w:color="auto" w:fill="0D419D"/>
              </w:rPr>
              <w:t>组件</w:t>
            </w:r>
          </w:p>
        </w:tc>
        <w:tc>
          <w:tcPr>
            <w:tcW w:type="dxa" w:w="6400"/>
            <w:shd w:val="clear" w:color="auto" w:fill="0D419D"/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20"/>
                <w:shd w:val="clear" w:color="auto" w:fill="0D419D"/>
              </w:rPr>
              <w:t>说明</w:t>
            </w:r>
          </w:p>
        </w:tc>
        <w:tc>
          <w:tcPr>
            <w:tcW w:type="dxa" w:w="1340"/>
            <w:shd w:val="clear" w:color="auto" w:fill="0D419D"/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20"/>
                <w:shd w:val="clear" w:color="auto" w:fill="0D419D"/>
              </w:rPr>
              <w:t>代码位置</w:t>
            </w:r>
          </w:p>
        </w:tc>
      </w:tr>
      <w:tr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数据函数</w:t>
            </w:r>
          </w:p>
        </w:tc>
        <w:tc>
          <w:tcPr>
            <w:tcW w:type="dxa" w:w="64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Consolas" w:hAnsi="Consolas" w:eastAsia="Microsoft YaHei" w:cs="Consolas"/>
                <w:color w:val="1A1A1A"/>
                <w:sz w:val="19"/>
                <w:shd w:val="clear" w:color="auto" w:fill="F0F0F0"/>
              </w:rPr>
              <w:t>compute_rebalance_suggestion(threshold=0.03)</w:t>
            </w:r>
            <w:r>
              <w:rPr>
                <w:rFonts w:ascii="Arial" w:hAnsi="Arial" w:eastAsia="Microsoft YaHei" w:cs="Arial"/>
                <w:color w:val="1A1A1A"/>
                <w:sz w:val="20"/>
              </w:rPr>
              <w:t xml:space="preserve"> (31行) — 当前权重 vs 目标权重偏离分析</w:t>
            </w:r>
          </w:p>
        </w:tc>
        <w:tc>
          <w:tcPr>
            <w:tcW w:type="dxa" w:w="134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L1017</w:t>
            </w:r>
          </w:p>
        </w:tc>
      </w:tr>
      <w:tr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目标权重</w:t>
            </w:r>
          </w:p>
        </w:tc>
        <w:tc>
          <w:tcPr>
            <w:tcW w:type="dxa" w:w="64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医药 15%、科技 15%、新能源 15%、宽基 20%、金融 10%、军工 10%、红利 10%、债券 5%</w:t>
            </w:r>
          </w:p>
        </w:tc>
        <w:tc>
          <w:tcPr>
            <w:tcW w:type="dxa" w:w="134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Tab5 L2299</w:t>
            </w:r>
          </w:p>
        </w:tc>
      </w:tr>
      <w:tr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可视化</w:t>
            </w:r>
          </w:p>
        </w:tc>
        <w:tc>
          <w:tcPr>
            <w:tcW w:type="dxa" w:w="64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分组柱状图（当前 vs 目标）+ 偏离折线（右 Y 轴）</w:t>
            </w:r>
          </w:p>
        </w:tc>
        <w:tc>
          <w:tcPr>
            <w:tcW w:type="dxa" w:w="134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Tab5 L2312</w:t>
            </w:r>
          </w:p>
        </w:tc>
      </w:tr>
      <w:tr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调仓明细</w:t>
            </w:r>
          </w:p>
        </w:tc>
        <w:tc>
          <w:tcPr>
            <w:tcW w:type="dxa" w:w="64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行业/ETF/方向/当前权重/目标权重/偏离/调仓金额/预估股数/现价</w:t>
            </w:r>
          </w:p>
        </w:tc>
        <w:tc>
          <w:tcPr>
            <w:tcW w:type="dxa" w:w="134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Tab5 L2368</w:t>
            </w:r>
          </w:p>
        </w:tc>
      </w:tr>
    </w:tbl>
    <w:p>
      <w:pPr>
        <w:pStyle w:val="Heading3"/>
        <w:keepNext w:val="0"/>
        <w:keepLines w:val="0"/>
        <w:pageBreakBefore w:val="0"/>
        <w:spacing w:before="180" w:after="60" w:line="288" w:lineRule="auto"/>
        <w:outlineLvl w:val="2"/>
      </w:pPr>
      <w:r>
        <w:rPr>
          <w:rFonts w:ascii="Arial" w:hAnsi="Arial" w:eastAsia="Microsoft YaHei" w:cs="Arial"/>
          <w:b/>
          <w:color w:val="21262D"/>
          <w:sz w:val="26"/>
        </w:rPr>
        <w:t>6.4 截图 / PDF 导出</w:t>
      </w:r>
    </w:p>
    <w:tbl>
      <w:tblPr>
        <w:tblStyle w:val="TableGrid"/>
        <w:tblW w:type="dxa" w:w="864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900"/>
        <w:gridCol w:w="5857"/>
        <w:gridCol w:w="1883"/>
      </w:tblGrid>
      <w:tr>
        <w:tc>
          <w:tcPr>
            <w:tcW w:type="dxa" w:w="900"/>
            <w:shd w:val="clear" w:color="auto" w:fill="0D419D"/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20"/>
                <w:shd w:val="clear" w:color="auto" w:fill="0D419D"/>
              </w:rPr>
              <w:t>组件</w:t>
            </w:r>
          </w:p>
        </w:tc>
        <w:tc>
          <w:tcPr>
            <w:tcW w:type="dxa" w:w="5857"/>
            <w:shd w:val="clear" w:color="auto" w:fill="0D419D"/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20"/>
                <w:shd w:val="clear" w:color="auto" w:fill="0D419D"/>
              </w:rPr>
              <w:t>说明</w:t>
            </w:r>
          </w:p>
        </w:tc>
        <w:tc>
          <w:tcPr>
            <w:tcW w:type="dxa" w:w="1883"/>
            <w:shd w:val="clear" w:color="auto" w:fill="0D419D"/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20"/>
                <w:shd w:val="clear" w:color="auto" w:fill="0D419D"/>
              </w:rPr>
              <w:t>代码位置</w:t>
            </w:r>
          </w:p>
        </w:tc>
      </w:tr>
      <w:tr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截图函数</w:t>
            </w:r>
          </w:p>
        </w:tc>
        <w:tc>
          <w:tcPr>
            <w:tcW w:type="dxa" w:w="5857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pict>
                <v:roundrect style="width:183.54pt;height:18.60pt;v-text-anchor:middle" o:allowincell="t" filled="t" fillcolor="#F0F0F0" stroked="f" arcsize="12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19"/>
                            <w:szCs w:val="19"/>
                            <w:color w:val="1A1A1A"/>
                          </w:rPr>
                          <w:t>capture_dashboard_screenshot(port)</w:t>
                        </w:r>
                      </w:p>
                    </w:txbxContent>
                  </v:textbox>
                </v:roundrect>
              </w:pict>
            </w:r>
            <w:r>
              <w:rPr>
                <w:rFonts w:ascii="Arial" w:hAnsi="Arial" w:eastAsia="Microsoft YaHei" w:cs="Arial"/>
                <w:color w:val="1A1A1A"/>
                <w:sz w:val="20"/>
              </w:rPr>
              <w:t xml:space="preserve"> (50行) — Selenium headless Chrome 全页截图</w:t>
            </w:r>
          </w:p>
        </w:tc>
        <w:tc>
          <w:tcPr>
            <w:tcW w:type="dxa" w:w="1883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L1134</w:t>
            </w:r>
          </w:p>
        </w:tc>
      </w:tr>
      <w:tr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PDF 函数</w:t>
            </w:r>
          </w:p>
        </w:tc>
        <w:tc>
          <w:tcPr>
            <w:tcW w:type="dxa" w:w="5857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pict>
                <v:roundrect style="width:140.98pt;height:18.60pt;v-text-anchor:middle" o:allowincell="t" filled="t" fillcolor="#F0F0F0" stroked="f" arcsize="12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19"/>
                            <w:szCs w:val="19"/>
                            <w:color w:val="1A1A1A"/>
                          </w:rPr>
                          <w:t>export_dashboard_pdf(port)</w:t>
                        </w:r>
                      </w:p>
                    </w:txbxContent>
                  </v:textbox>
                </v:roundrect>
              </w:pict>
            </w:r>
            <w:r>
              <w:rPr>
                <w:rFonts w:ascii="Arial" w:hAnsi="Arial" w:eastAsia="Microsoft YaHei" w:cs="Arial"/>
                <w:color w:val="1A1A1A"/>
                <w:sz w:val="20"/>
              </w:rPr>
              <w:t xml:space="preserve"> (53行) — Chrome CDP Page.printToPDF，A3 宽幅</w:t>
            </w:r>
          </w:p>
        </w:tc>
        <w:tc>
          <w:tcPr>
            <w:tcW w:type="dxa" w:w="1883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L1184</w:t>
            </w:r>
          </w:p>
        </w:tc>
      </w:tr>
      <w:tr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UI</w:t>
            </w:r>
          </w:p>
        </w:tc>
        <w:tc>
          <w:tcPr>
            <w:tcW w:type="dxa" w:w="5857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页脚导出区域，PNG 和 PDF 两个按钮，一键生成并下载</w:t>
            </w:r>
          </w:p>
        </w:tc>
        <w:tc>
          <w:tcPr>
            <w:tcW w:type="dxa" w:w="1883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L2517 / L2540</w:t>
            </w:r>
          </w:p>
        </w:tc>
      </w:tr>
      <w:tr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依赖</w:t>
            </w:r>
          </w:p>
        </w:tc>
        <w:tc>
          <w:tcPr>
            <w:tcW w:type="dxa" w:w="5857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selenium 4.41.0 + Chrome WebDriver</w:t>
            </w:r>
          </w:p>
        </w:tc>
        <w:tc>
          <w:tcPr>
            <w:tcW w:type="dxa" w:w="1883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</w:p>
        </w:tc>
      </w:tr>
    </w:tbl>
    <w:p>
      <w:pPr>
        <w:pStyle w:val="Heading2"/>
        <w:keepNext w:val="0"/>
        <w:keepLines w:val="0"/>
        <w:pageBreakBefore w:val="0"/>
        <w:spacing w:before="270" w:after="70" w:line="288" w:lineRule="auto"/>
        <w:ind w:left="60" w:firstLine="180"/>
        <w:outlineLvl w:val="1"/>
        <w:pBdr>
          <w:left w:val="single" w:sz="24" w:space="1" w:color="0D419D"/>
        </w:pBdr>
      </w:pPr>
      <w:r>
        <w:rPr>
          <w:rFonts w:ascii="Arial" w:hAnsi="Arial" w:eastAsia="Microsoft YaHei" w:cs="Arial"/>
          <w:b/>
          <w:color w:val="0D419D"/>
          <w:sz w:val="32"/>
        </w:rPr>
        <w:t>七、Dashboard Tab 结构</w:t>
      </w:r>
    </w:p>
    <w:tbl>
      <w:tblPr>
        <w:tblStyle w:val="TableGrid"/>
        <w:tblW w:type="dxa" w:w="864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1586"/>
        <w:gridCol w:w="7054"/>
      </w:tblGrid>
      <w:tr>
        <w:tc>
          <w:tcPr>
            <w:tcW w:type="dxa" w:w="1586"/>
            <w:shd w:val="clear" w:color="auto" w:fill="0D419D"/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20"/>
                <w:shd w:val="clear" w:color="auto" w:fill="0D419D"/>
              </w:rPr>
              <w:t>Tab</w:t>
            </w:r>
          </w:p>
        </w:tc>
        <w:tc>
          <w:tcPr>
            <w:tcW w:type="dxa" w:w="7054"/>
            <w:shd w:val="clear" w:color="auto" w:fill="0D419D"/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20"/>
                <w:shd w:val="clear" w:color="auto" w:fill="0D419D"/>
              </w:rPr>
              <w:t>包含模块</w:t>
            </w:r>
          </w:p>
        </w:tc>
      </w:tr>
      <w:tr>
        <w:tc>
          <w:tcPr>
            <w:tcW w:type="dxa" w:w="1586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b/>
                <w:color w:val="1A1A1A"/>
                <w:sz w:val="20"/>
              </w:rPr>
              <w:t>Tab1 净值走势</w:t>
            </w:r>
          </w:p>
        </w:tc>
        <w:tc>
          <w:tcPr>
            <w:tcW w:type="dxa" w:w="7054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核心指标卡片（6 项）、组合净值走势（含基准对比）、日收益率分布、每日盈亏、滚动夏普/波动率双子图</w:t>
            </w:r>
          </w:p>
        </w:tc>
      </w:tr>
      <w:tr>
        <w:tc>
          <w:tcPr>
            <w:tcW w:type="dxa" w:w="1586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b/>
                <w:color w:val="1A1A1A"/>
                <w:sz w:val="20"/>
              </w:rPr>
              <w:t>Tab2 持仓分布</w:t>
            </w:r>
          </w:p>
        </w:tc>
        <w:tc>
          <w:tcPr>
            <w:tcW w:type="dxa" w:w="7054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持仓明细表格 + ETF 选择器、ETF 增强详情面板（6 区域）、行业权重堆叠面积图、持仓相关性矩阵热力图</w:t>
            </w:r>
          </w:p>
        </w:tc>
      </w:tr>
      <w:tr>
        <w:tc>
          <w:tcPr>
            <w:tcW w:type="dxa" w:w="1586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b/>
                <w:color w:val="1A1A1A"/>
                <w:sz w:val="20"/>
              </w:rPr>
              <w:t>Tab3 风险分析</w:t>
            </w:r>
          </w:p>
        </w:tc>
        <w:tc>
          <w:tcPr>
            <w:tcW w:type="dxa" w:w="7054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风险指标仪表盘、风险指标详情（Sortino/Calmar/胜率/盈亏比等）、月度收益热力图、回撤曲线</w:t>
            </w:r>
          </w:p>
        </w:tc>
      </w:tr>
      <w:tr>
        <w:tc>
          <w:tcPr>
            <w:tcW w:type="dxa" w:w="1586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b/>
                <w:color w:val="1A1A1A"/>
                <w:sz w:val="20"/>
              </w:rPr>
              <w:t>Tab4 收益日历</w:t>
            </w:r>
          </w:p>
        </w:tc>
        <w:tc>
          <w:tcPr>
            <w:tcW w:type="dxa" w:w="7054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日历视图（日/月/年汇总）、颜色编码</w:t>
            </w:r>
          </w:p>
        </w:tc>
      </w:tr>
      <w:tr>
        <w:tc>
          <w:tcPr>
            <w:tcW w:type="dxa" w:w="1586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b/>
                <w:color w:val="1A1A1A"/>
                <w:sz w:val="20"/>
              </w:rPr>
              <w:t>Tab5 高级分析</w:t>
            </w:r>
          </w:p>
        </w:tc>
        <w:tc>
          <w:tcPr>
            <w:tcW w:type="dxa" w:w="7054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Brinson 收益归因瀑布图、Monte Carlo 模拟（扇形图+VaR/CVaR）、再平衡建议（权重对比+调仓明细）、技术指标信号卡片</w:t>
            </w:r>
          </w:p>
        </w:tc>
      </w:tr>
    </w:tbl>
    <w:p>
      <w:pPr>
        <w:spacing w:before="120" w:line="288" w:lineRule="auto"/>
      </w:pPr>
      <w:r>
        <w:rPr>
          <w:rFonts w:ascii="Arial" w:hAnsi="Arial" w:eastAsia="Microsoft YaHei" w:cs="Arial"/>
          <w:color w:val="1A1A1A"/>
          <w:sz w:val="22"/>
        </w:rPr>
        <w:t>页脚区域：数据导出（CSV 持仓/收益、PNG 截图、PDF 报告）+ 智能分析建议</w:t>
      </w:r>
    </w:p>
    <w:p>
      <w:pPr>
        <w:pStyle w:val="Heading2"/>
        <w:keepNext w:val="0"/>
        <w:keepLines w:val="0"/>
        <w:pageBreakBefore w:val="0"/>
        <w:spacing w:before="270" w:after="70" w:line="288" w:lineRule="auto"/>
        <w:ind w:left="60" w:firstLine="180"/>
        <w:outlineLvl w:val="1"/>
        <w:pBdr>
          <w:left w:val="single" w:sz="24" w:space="1" w:color="0D419D"/>
        </w:pBdr>
      </w:pPr>
      <w:r>
        <w:rPr>
          <w:rFonts w:ascii="Arial" w:hAnsi="Arial" w:eastAsia="Microsoft YaHei" w:cs="Arial"/>
          <w:b/>
          <w:color w:val="0D419D"/>
          <w:sz w:val="32"/>
        </w:rPr>
        <w:t>八、技术架构</w:t>
      </w:r>
    </w:p>
    <w:tbl>
      <w:tblPr>
        <w:tblStyle w:val="TableGrid"/>
        <w:tblW w:type="dxa" w:w="864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1586"/>
        <w:gridCol w:w="7054"/>
      </w:tblGrid>
      <w:tr>
        <w:tc>
          <w:tcPr>
            <w:tcW w:type="dxa" w:w="1586"/>
            <w:shd w:val="clear" w:color="auto" w:fill="0D419D"/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20"/>
                <w:shd w:val="clear" w:color="auto" w:fill="0D419D"/>
              </w:rPr>
              <w:t>组件</w:t>
            </w:r>
          </w:p>
        </w:tc>
        <w:tc>
          <w:tcPr>
            <w:tcW w:type="dxa" w:w="7054"/>
            <w:shd w:val="clear" w:color="auto" w:fill="0D419D"/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20"/>
                <w:shd w:val="clear" w:color="auto" w:fill="0D419D"/>
              </w:rPr>
              <w:t>技术选型</w:t>
            </w:r>
          </w:p>
        </w:tc>
      </w:tr>
      <w:tr>
        <w:tc>
          <w:tcPr>
            <w:tcW w:type="dxa" w:w="1586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前端框架</w:t>
            </w:r>
          </w:p>
        </w:tc>
        <w:tc>
          <w:tcPr>
            <w:tcW w:type="dxa" w:w="7054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Streamlit 1.56.0，Dark Theme</w:t>
            </w:r>
          </w:p>
        </w:tc>
      </w:tr>
      <w:tr>
        <w:tc>
          <w:tcPr>
            <w:tcW w:type="dxa" w:w="1586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图表库</w:t>
            </w:r>
          </w:p>
        </w:tc>
        <w:tc>
          <w:tcPr>
            <w:tcW w:type="dxa" w:w="7054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Plotly（交互式图表），支持悬停/缩放/下载</w:t>
            </w:r>
          </w:p>
        </w:tc>
      </w:tr>
      <w:tr>
        <w:tc>
          <w:tcPr>
            <w:tcW w:type="dxa" w:w="1586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数据库</w:t>
            </w:r>
          </w:p>
        </w:tc>
        <w:tc>
          <w:tcPr>
            <w:tcW w:type="dxa" w:w="7054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SQLite 3，</w:t>
            </w:r>
            <w:r>
              <w:pict>
                <v:roundrect style="width:71.63pt;height:18.60pt;v-text-anchor:middle" o:allowincell="t" filled="t" fillcolor="#F0F0F0" stroked="f" arcsize="12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19"/>
                            <w:szCs w:val="19"/>
                            <w:color w:val="1A1A1A"/>
                          </w:rPr>
                          <w:t>portfolio.db</w:t>
                        </w:r>
                      </w:p>
                    </w:txbxContent>
                  </v:textbox>
                </v:roundrect>
              </w:pict>
            </w:r>
          </w:p>
        </w:tc>
      </w:tr>
      <w:tr>
        <w:tc>
          <w:tcPr>
            <w:tcW w:type="dxa" w:w="1586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数据源</w:t>
            </w:r>
          </w:p>
        </w:tc>
        <w:tc>
          <w:tcPr>
            <w:tcW w:type="dxa" w:w="7054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新浪财经（主）、东方财富（备用）、AKShare（三级备用）</w:t>
            </w:r>
          </w:p>
        </w:tc>
      </w:tr>
      <w:tr>
        <w:tc>
          <w:tcPr>
            <w:tcW w:type="dxa" w:w="1586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持仓导入</w:t>
            </w:r>
          </w:p>
        </w:tc>
        <w:tc>
          <w:tcPr>
            <w:tcW w:type="dxa" w:w="7054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通达信 T0002 导出，制表符分隔 + GB2312 编码</w:t>
            </w:r>
          </w:p>
        </w:tc>
      </w:tr>
      <w:tr>
        <w:tc>
          <w:tcPr>
            <w:tcW w:type="dxa" w:w="1586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缓存策略</w:t>
            </w:r>
          </w:p>
        </w:tc>
        <w:tc>
          <w:tcPr>
            <w:tcW w:type="dxa" w:w="7054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pict>
                <v:roundrect style="width:144.02pt;height:18.60pt;v-text-anchor:middle" o:allowincell="t" filled="t" fillcolor="#F0F0F0" stroked="f" arcsize="12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19"/>
                            <w:szCs w:val="19"/>
                            <w:color w:val="1A1A1A"/>
                          </w:rPr>
                          <w:t>@st.cache_data(ttl=300/600)</w:t>
                        </w:r>
                      </w:p>
                    </w:txbxContent>
                  </v:textbox>
                </v:roundrect>
              </w:pict>
            </w:r>
            <w:r>
              <w:rPr>
                <w:rFonts w:ascii="Arial" w:hAnsi="Arial" w:eastAsia="Microsoft YaHei" w:cs="Arial"/>
                <w:color w:val="1A1A1A"/>
                <w:sz w:val="20"/>
              </w:rPr>
              <w:t>，预热 10 日 × 6 预设</w:t>
            </w:r>
          </w:p>
        </w:tc>
      </w:tr>
      <w:tr>
        <w:tc>
          <w:tcPr>
            <w:tcW w:type="dxa" w:w="1586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导出能力</w:t>
            </w:r>
          </w:p>
        </w:tc>
        <w:tc>
          <w:tcPr>
            <w:tcW w:type="dxa" w:w="7054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Selenium 4.41.0 headless Chrome（PNG 截图 + PDF 报告）</w:t>
            </w:r>
          </w:p>
        </w:tc>
      </w:tr>
      <w:tr>
        <w:tc>
          <w:tcPr>
            <w:tcW w:type="dxa" w:w="1586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Python 环境</w:t>
            </w:r>
          </w:p>
        </w:tc>
        <w:tc>
          <w:tcPr>
            <w:tcW w:type="dxa" w:w="7054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独立虚拟环境，含 pandas / numpy / requests / streamlit / selenium</w:t>
            </w:r>
          </w:p>
        </w:tc>
      </w:tr>
    </w:tbl>
    <w:p>
      <w:pPr>
        <w:pStyle w:val="Heading2"/>
        <w:keepNext w:val="0"/>
        <w:keepLines w:val="0"/>
        <w:pageBreakBefore w:val="0"/>
        <w:spacing w:before="270" w:after="70" w:line="288" w:lineRule="auto"/>
        <w:ind w:left="60" w:firstLine="180"/>
        <w:outlineLvl w:val="1"/>
        <w:pBdr>
          <w:left w:val="single" w:sz="24" w:space="1" w:color="0D419D"/>
        </w:pBdr>
      </w:pPr>
      <w:r>
        <w:rPr>
          <w:rFonts w:ascii="Arial" w:hAnsi="Arial" w:eastAsia="Microsoft YaHei" w:cs="Arial"/>
          <w:b/>
          <w:color w:val="0D419D"/>
          <w:sz w:val="32"/>
        </w:rPr>
        <w:t>九、数据库统计</w:t>
      </w:r>
    </w:p>
    <w:tbl>
      <w:tblPr>
        <w:tblStyle w:val="TableGrid"/>
        <w:tblW w:type="dxa" w:w="864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4003"/>
        <w:gridCol w:w="1264"/>
        <w:gridCol w:w="2107"/>
        <w:gridCol w:w="1266"/>
      </w:tblGrid>
      <w:tr>
        <w:tc>
          <w:tcPr>
            <w:tcW w:type="dxa" w:w="4003"/>
            <w:shd w:val="clear" w:color="auto" w:fill="0D419D"/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20"/>
                <w:shd w:val="clear" w:color="auto" w:fill="0D419D"/>
              </w:rPr>
              <w:t>表名</w:t>
            </w:r>
          </w:p>
        </w:tc>
        <w:tc>
          <w:tcPr>
            <w:tcW w:type="dxa" w:w="1264"/>
            <w:shd w:val="clear" w:color="auto" w:fill="0D419D"/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20"/>
                <w:shd w:val="clear" w:color="auto" w:fill="0D419D"/>
              </w:rPr>
              <w:t>记录数</w:t>
            </w:r>
          </w:p>
        </w:tc>
        <w:tc>
          <w:tcPr>
            <w:tcW w:type="dxa" w:w="2107"/>
            <w:shd w:val="clear" w:color="auto" w:fill="0D419D"/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20"/>
                <w:shd w:val="clear" w:color="auto" w:fill="0D419D"/>
              </w:rPr>
              <w:t>最新日期</w:t>
            </w:r>
          </w:p>
        </w:tc>
        <w:tc>
          <w:tcPr>
            <w:tcW w:type="dxa" w:w="1266"/>
            <w:shd w:val="clear" w:color="auto" w:fill="0D419D"/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20"/>
                <w:shd w:val="clear" w:color="auto" w:fill="0D419D"/>
              </w:rPr>
              <w:t>说明</w:t>
            </w:r>
          </w:p>
        </w:tc>
      </w:tr>
      <w:tr>
        <w:tc>
          <w:tcPr>
            <w:tcW w:type="dxa" w:w="4003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portfolio_snapshots</w:t>
            </w:r>
          </w:p>
        </w:tc>
        <w:tc>
          <w:tcPr>
            <w:tcW w:type="dxa" w:w="1264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33,374</w:t>
            </w:r>
          </w:p>
        </w:tc>
        <w:tc>
          <w:tcPr>
            <w:tcW w:type="dxa" w:w="2107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2026-04-24</w:t>
            </w:r>
          </w:p>
        </w:tc>
        <w:tc>
          <w:tcPr>
            <w:tcW w:type="dxa" w:w="1266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每日持仓快照</w:t>
            </w:r>
          </w:p>
        </w:tc>
      </w:tr>
      <w:tr>
        <w:tc>
          <w:tcPr>
            <w:tcW w:type="dxa" w:w="4003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portfolio_summary</w:t>
            </w:r>
          </w:p>
        </w:tc>
        <w:tc>
          <w:tcPr>
            <w:tcW w:type="dxa" w:w="1264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3,380</w:t>
            </w:r>
          </w:p>
        </w:tc>
        <w:tc>
          <w:tcPr>
            <w:tcW w:type="dxa" w:w="2107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2026-04-24</w:t>
            </w:r>
          </w:p>
        </w:tc>
        <w:tc>
          <w:tcPr>
            <w:tcW w:type="dxa" w:w="1266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每日组合汇总</w:t>
            </w:r>
          </w:p>
        </w:tc>
      </w:tr>
      <w:tr>
        <w:tc>
          <w:tcPr>
            <w:tcW w:type="dxa" w:w="4003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etf_technical</w:t>
            </w:r>
          </w:p>
        </w:tc>
        <w:tc>
          <w:tcPr>
            <w:tcW w:type="dxa" w:w="1264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32,914</w:t>
            </w:r>
          </w:p>
        </w:tc>
        <w:tc>
          <w:tcPr>
            <w:tcW w:type="dxa" w:w="2107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2026-04-24</w:t>
            </w:r>
          </w:p>
        </w:tc>
        <w:tc>
          <w:tcPr>
            <w:tcW w:type="dxa" w:w="1266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每日技术指标</w:t>
            </w:r>
          </w:p>
        </w:tc>
      </w:tr>
      <w:tr>
        <w:tc>
          <w:tcPr>
            <w:tcW w:type="dxa" w:w="4003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index_quotes</w:t>
            </w:r>
          </w:p>
        </w:tc>
        <w:tc>
          <w:tcPr>
            <w:tcW w:type="dxa" w:w="1264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49,794</w:t>
            </w:r>
          </w:p>
        </w:tc>
        <w:tc>
          <w:tcPr>
            <w:tcW w:type="dxa" w:w="2107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2026-04-24</w:t>
            </w:r>
          </w:p>
        </w:tc>
        <w:tc>
          <w:tcPr>
            <w:tcW w:type="dxa" w:w="1266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基准指数日线</w:t>
            </w:r>
          </w:p>
        </w:tc>
      </w:tr>
      <w:tr>
        <w:tc>
          <w:tcPr>
            <w:tcW w:type="dxa" w:w="4003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alerts</w:t>
            </w:r>
          </w:p>
        </w:tc>
        <w:tc>
          <w:tcPr>
            <w:tcW w:type="dxa" w:w="1264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10</w:t>
            </w:r>
          </w:p>
        </w:tc>
        <w:tc>
          <w:tcPr>
            <w:tcW w:type="dxa" w:w="2107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2026-04-26</w:t>
            </w:r>
          </w:p>
        </w:tc>
        <w:tc>
          <w:tcPr>
            <w:tcW w:type="dxa" w:w="1266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监控告警记录</w:t>
            </w:r>
          </w:p>
        </w:tc>
      </w:tr>
      <w:tr>
        <w:tc>
          <w:tcPr>
            <w:tcW w:type="dxa" w:w="4003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execution_logs</w:t>
            </w:r>
          </w:p>
        </w:tc>
        <w:tc>
          <w:tcPr>
            <w:tcW w:type="dxa" w:w="1264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18</w:t>
            </w:r>
          </w:p>
        </w:tc>
        <w:tc>
          <w:tcPr>
            <w:tcW w:type="dxa" w:w="2107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2026-04-26</w:t>
            </w:r>
          </w:p>
        </w:tc>
        <w:tc>
          <w:tcPr>
            <w:tcW w:type="dxa" w:w="1266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任务执行日志</w:t>
            </w:r>
          </w:p>
        </w:tc>
      </w:tr>
      <w:tr>
        <w:tc>
          <w:tcPr>
            <w:tcW w:type="dxa" w:w="4003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daily_news</w:t>
            </w:r>
          </w:p>
        </w:tc>
        <w:tc>
          <w:tcPr>
            <w:tcW w:type="dxa" w:w="1264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162</w:t>
            </w:r>
          </w:p>
        </w:tc>
        <w:tc>
          <w:tcPr>
            <w:tcW w:type="dxa" w:w="2107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2026-04-26</w:t>
            </w:r>
          </w:p>
        </w:tc>
        <w:tc>
          <w:tcPr>
            <w:tcW w:type="dxa" w:w="1266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每日资讯摘要</w:t>
            </w:r>
          </w:p>
        </w:tc>
      </w:tr>
    </w:tbl>
    <w:p>
      <w:pPr>
        <w:pStyle w:val="Heading2"/>
        <w:keepNext w:val="0"/>
        <w:keepLines w:val="0"/>
        <w:pageBreakBefore w:val="0"/>
        <w:spacing w:before="270" w:after="70" w:line="288" w:lineRule="auto"/>
        <w:ind w:left="60" w:firstLine="180"/>
        <w:outlineLvl w:val="1"/>
        <w:pBdr>
          <w:left w:val="single" w:sz="24" w:space="1" w:color="0D419D"/>
        </w:pBdr>
      </w:pPr>
      <w:r>
        <w:rPr>
          <w:rFonts w:ascii="Arial" w:hAnsi="Arial" w:eastAsia="Microsoft YaHei" w:cs="Arial"/>
          <w:b/>
          <w:color w:val="0D419D"/>
          <w:sz w:val="32"/>
        </w:rPr>
        <w:t>十、Git 提交历史</w:t>
      </w:r>
    </w:p>
    <w:tbl>
      <w:tblPr>
        <w:tblStyle w:val="TableGrid"/>
        <w:tblW w:type="dxa" w:w="864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1061"/>
        <w:gridCol w:w="1515"/>
        <w:gridCol w:w="6064"/>
      </w:tblGrid>
      <w:tr>
        <w:tc>
          <w:tcPr>
            <w:tcW w:type="dxa" w:w="1061"/>
            <w:shd w:val="clear" w:color="auto" w:fill="0D419D"/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20"/>
                <w:shd w:val="clear" w:color="auto" w:fill="0D419D"/>
              </w:rPr>
              <w:t>Commit</w:t>
            </w:r>
          </w:p>
        </w:tc>
        <w:tc>
          <w:tcPr>
            <w:tcW w:type="dxa" w:w="1515"/>
            <w:shd w:val="clear" w:color="auto" w:fill="0D419D"/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20"/>
                <w:shd w:val="clear" w:color="auto" w:fill="0D419D"/>
              </w:rPr>
              <w:t>日期</w:t>
            </w:r>
          </w:p>
        </w:tc>
        <w:tc>
          <w:tcPr>
            <w:tcW w:type="dxa" w:w="6064"/>
            <w:shd w:val="clear" w:color="auto" w:fill="0D419D"/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20"/>
                <w:shd w:val="clear" w:color="auto" w:fill="0D419D"/>
              </w:rPr>
              <w:t>说明</w:t>
            </w:r>
          </w:p>
        </w:tc>
      </w:tr>
      <w:tr>
        <w:tc>
          <w:tcPr>
            <w:tcW w:type="dxa" w:w="1061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pict>
                <v:roundrect style="width:47.69pt;height:18.60pt;v-text-anchor:middle" o:allowincell="t" filled="t" fillcolor="#F0F0F0" stroked="f" arcsize="12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19"/>
                            <w:szCs w:val="19"/>
                            <w:color w:val="1A1A1A"/>
                          </w:rPr>
                          <w:t>e5829f0</w:t>
                        </w:r>
                      </w:p>
                    </w:txbxContent>
                  </v:textbox>
                </v:roundrect>
              </w:pict>
            </w:r>
          </w:p>
        </w:tc>
        <w:tc>
          <w:tcPr>
            <w:tcW w:type="dxa" w:w="1515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2026-04-26</w:t>
            </w:r>
          </w:p>
        </w:tc>
        <w:tc>
          <w:tcPr>
            <w:tcW w:type="dxa" w:w="6064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init: 投资组合跟踪分析系统 v1.3 基线版本</w:t>
            </w:r>
          </w:p>
        </w:tc>
      </w:tr>
      <w:tr>
        <w:tc>
          <w:tcPr>
            <w:tcW w:type="dxa" w:w="1061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pict>
                <v:roundrect style="width:47.88pt;height:18.60pt;v-text-anchor:middle" o:allowincell="t" filled="t" fillcolor="#F0F0F0" stroked="f" arcsize="12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19"/>
                            <w:szCs w:val="19"/>
                            <w:color w:val="1A1A1A"/>
                          </w:rPr>
                          <w:t>0b58615</w:t>
                        </w:r>
                      </w:p>
                    </w:txbxContent>
                  </v:textbox>
                </v:roundrect>
              </w:pict>
            </w:r>
          </w:p>
        </w:tc>
        <w:tc>
          <w:tcPr>
            <w:tcW w:type="dxa" w:w="1515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2026-04-26</w:t>
            </w:r>
          </w:p>
        </w:tc>
        <w:tc>
          <w:tcPr>
            <w:tcW w:type="dxa" w:w="6064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feat: 添加完整历史数据回填脚本</w:t>
            </w:r>
          </w:p>
        </w:tc>
      </w:tr>
      <w:tr>
        <w:tc>
          <w:tcPr>
            <w:tcW w:type="dxa" w:w="1061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pict>
                <v:roundrect style="width:47.31pt;height:18.60pt;v-text-anchor:middle" o:allowincell="t" filled="t" fillcolor="#F0F0F0" stroked="f" arcsize="12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19"/>
                            <w:szCs w:val="19"/>
                            <w:color w:val="1A1A1A"/>
                          </w:rPr>
                          <w:t>a54dee1</w:t>
                        </w:r>
                      </w:p>
                    </w:txbxContent>
                  </v:textbox>
                </v:roundrect>
              </w:pict>
            </w:r>
          </w:p>
        </w:tc>
        <w:tc>
          <w:tcPr>
            <w:tcW w:type="dxa" w:w="1515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2026-04-26</w:t>
            </w:r>
          </w:p>
        </w:tc>
        <w:tc>
          <w:tcPr>
            <w:tcW w:type="dxa" w:w="6064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perf: Dashboard性能优化 - 缓存/降采样/索引/日期选择器</w:t>
            </w:r>
          </w:p>
        </w:tc>
      </w:tr>
      <w:tr>
        <w:tc>
          <w:tcPr>
            <w:tcW w:type="dxa" w:w="1061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pict>
                <v:roundrect style="width:47.50pt;height:18.60pt;v-text-anchor:middle" o:allowincell="t" filled="t" fillcolor="#F0F0F0" stroked="f" arcsize="12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19"/>
                            <w:szCs w:val="19"/>
                            <w:color w:val="1A1A1A"/>
                          </w:rPr>
                          <w:t>5928dbd</w:t>
                        </w:r>
                      </w:p>
                    </w:txbxContent>
                  </v:textbox>
                </v:roundrect>
              </w:pict>
            </w:r>
          </w:p>
        </w:tc>
        <w:tc>
          <w:tcPr>
            <w:tcW w:type="dxa" w:w="1515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2026-04-26</w:t>
            </w:r>
          </w:p>
        </w:tc>
        <w:tc>
          <w:tcPr>
            <w:tcW w:type="dxa" w:w="6064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fix: 替换use_container_width消除Streamlit弃用警告</w:t>
            </w:r>
          </w:p>
        </w:tc>
      </w:tr>
      <w:tr>
        <w:tc>
          <w:tcPr>
            <w:tcW w:type="dxa" w:w="1061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pict>
                <v:roundrect style="width:47.50pt;height:18.60pt;v-text-anchor:middle" o:allowincell="t" filled="t" fillcolor="#F0F0F0" stroked="f" arcsize="12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19"/>
                            <w:szCs w:val="19"/>
                            <w:color w:val="1A1A1A"/>
                          </w:rPr>
                          <w:t>98ea8e6</w:t>
                        </w:r>
                      </w:p>
                    </w:txbxContent>
                  </v:textbox>
                </v:roundrect>
              </w:pict>
            </w:r>
          </w:p>
        </w:tc>
        <w:tc>
          <w:tcPr>
            <w:tcW w:type="dxa" w:w="1515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2026-04-26</w:t>
            </w:r>
          </w:p>
        </w:tc>
        <w:tc>
          <w:tcPr>
            <w:tcW w:type="dxa" w:w="6064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feat: summary/index_quotes支持end_date参数，缓存预热扩展</w:t>
            </w:r>
          </w:p>
        </w:tc>
      </w:tr>
      <w:tr>
        <w:tc>
          <w:tcPr>
            <w:tcW w:type="dxa" w:w="1061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pict>
                <v:roundrect style="width:47.88pt;height:18.60pt;v-text-anchor:middle" o:allowincell="t" filled="t" fillcolor="#F0F0F0" stroked="f" arcsize="12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19"/>
                            <w:szCs w:val="19"/>
                            <w:color w:val="1A1A1A"/>
                          </w:rPr>
                          <w:t>b652050</w:t>
                        </w:r>
                      </w:p>
                    </w:txbxContent>
                  </v:textbox>
                </v:roundrect>
              </w:pict>
            </w:r>
          </w:p>
        </w:tc>
        <w:tc>
          <w:tcPr>
            <w:tcW w:type="dxa" w:w="1515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2026-04-26</w:t>
            </w:r>
          </w:p>
        </w:tc>
        <w:tc>
          <w:tcPr>
            <w:tcW w:type="dxa" w:w="6064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fix: 回填脚本添加周末过滤</w:t>
            </w:r>
          </w:p>
        </w:tc>
      </w:tr>
      <w:tr>
        <w:tc>
          <w:tcPr>
            <w:tcW w:type="dxa" w:w="1061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pict>
                <v:roundrect style="width:47.31pt;height:18.60pt;v-text-anchor:middle" o:allowincell="t" filled="t" fillcolor="#F0F0F0" stroked="f" arcsize="12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19"/>
                            <w:szCs w:val="19"/>
                            <w:color w:val="1A1A1A"/>
                          </w:rPr>
                          <w:t>c51bc2d</w:t>
                        </w:r>
                      </w:p>
                    </w:txbxContent>
                  </v:textbox>
                </v:roundrect>
              </w:pict>
            </w:r>
          </w:p>
        </w:tc>
        <w:tc>
          <w:tcPr>
            <w:tcW w:type="dxa" w:w="1515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2026-04-26</w:t>
            </w:r>
          </w:p>
        </w:tc>
        <w:tc>
          <w:tcPr>
            <w:tcW w:type="dxa" w:w="6064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feat: 添加收益日历模块(tab4)和项目文档</w:t>
            </w:r>
          </w:p>
        </w:tc>
      </w:tr>
      <w:tr>
        <w:tc>
          <w:tcPr>
            <w:tcW w:type="dxa" w:w="1061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pict>
                <v:roundrect style="width:47.50pt;height:18.60pt;v-text-anchor:middle" o:allowincell="t" filled="t" fillcolor="#F0F0F0" stroked="f" arcsize="12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19"/>
                            <w:szCs w:val="19"/>
                            <w:color w:val="1A1A1A"/>
                          </w:rPr>
                          <w:t>be75c36</w:t>
                        </w:r>
                      </w:p>
                    </w:txbxContent>
                  </v:textbox>
                </v:roundrect>
              </w:pict>
            </w:r>
          </w:p>
        </w:tc>
        <w:tc>
          <w:tcPr>
            <w:tcW w:type="dxa" w:w="1515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2026-04-26</w:t>
            </w:r>
          </w:p>
        </w:tc>
        <w:tc>
          <w:tcPr>
            <w:tcW w:type="dxa" w:w="6064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feat: 4项Dashboard优化增强（P0完成）</w:t>
            </w:r>
          </w:p>
        </w:tc>
      </w:tr>
      <w:tr>
        <w:tc>
          <w:tcPr>
            <w:tcW w:type="dxa" w:w="1061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pict>
                <v:roundrect style="width:47.88pt;height:18.60pt;v-text-anchor:middle" o:allowincell="t" filled="t" fillcolor="#F0F0F0" stroked="f" arcsize="12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19"/>
                            <w:szCs w:val="19"/>
                            <w:color w:val="1A1A1A"/>
                          </w:rPr>
                          <w:t>398c138</w:t>
                        </w:r>
                      </w:p>
                    </w:txbxContent>
                  </v:textbox>
                </v:roundrect>
              </w:pict>
            </w:r>
          </w:p>
        </w:tc>
        <w:tc>
          <w:tcPr>
            <w:tcW w:type="dxa" w:w="1515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2026-04-26</w:t>
            </w:r>
          </w:p>
        </w:tc>
        <w:tc>
          <w:tcPr>
            <w:tcW w:type="dxa" w:w="6064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feat: P1改进 - 相关性矩阵、ETF详情、多基准选择器</w:t>
            </w:r>
          </w:p>
        </w:tc>
      </w:tr>
      <w:tr>
        <w:tc>
          <w:tcPr>
            <w:tcW w:type="dxa" w:w="1061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pict>
                <v:roundrect style="width:47.88pt;height:18.60pt;v-text-anchor:middle" o:allowincell="t" filled="t" fillcolor="#F0F0F0" stroked="f" arcsize="12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19"/>
                            <w:szCs w:val="19"/>
                            <w:color w:val="1A1A1A"/>
                          </w:rPr>
                          <w:t>0d66958</w:t>
                        </w:r>
                      </w:p>
                    </w:txbxContent>
                  </v:textbox>
                </v:roundrect>
              </w:pict>
            </w:r>
          </w:p>
        </w:tc>
        <w:tc>
          <w:tcPr>
            <w:tcW w:type="dxa" w:w="1515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2026-04-26</w:t>
            </w:r>
          </w:p>
        </w:tc>
        <w:tc>
          <w:tcPr>
            <w:tcW w:type="dxa" w:w="6064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feat: P1改进完善 - ETF详情增强、行业权重、CSV导出</w:t>
            </w:r>
          </w:p>
        </w:tc>
      </w:tr>
      <w:tr>
        <w:tc>
          <w:tcPr>
            <w:tcW w:type="dxa" w:w="1061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pict>
                <v:roundrect style="width:47.31pt;height:18.60pt;v-text-anchor:middle" o:allowincell="t" filled="t" fillcolor="#F0F0F0" stroked="f" arcsize="12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19"/>
                            <w:szCs w:val="19"/>
                            <w:color w:val="1A1A1A"/>
                          </w:rPr>
                          <w:t>36fcf9c</w:t>
                        </w:r>
                      </w:p>
                    </w:txbxContent>
                  </v:textbox>
                </v:roundrect>
              </w:pict>
            </w:r>
          </w:p>
        </w:tc>
        <w:tc>
          <w:tcPr>
            <w:tcW w:type="dxa" w:w="1515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2026-04-27</w:t>
            </w:r>
          </w:p>
        </w:tc>
        <w:tc>
          <w:tcPr>
            <w:tcW w:type="dxa" w:w="6064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fix: 修复3个运行时错误（data_editor/解包/列名引用）</w:t>
            </w:r>
          </w:p>
        </w:tc>
      </w:tr>
    </w:tbl>
    <w:p>
      <w:pPr>
        <w:pStyle w:val="Heading2"/>
        <w:keepNext w:val="0"/>
        <w:keepLines w:val="0"/>
        <w:pageBreakBefore w:val="0"/>
        <w:spacing w:before="270" w:after="70" w:line="288" w:lineRule="auto"/>
        <w:ind w:left="60" w:firstLine="180"/>
        <w:outlineLvl w:val="1"/>
        <w:pBdr>
          <w:left w:val="single" w:sz="24" w:space="1" w:color="0D419D"/>
        </w:pBdr>
      </w:pPr>
      <w:r>
        <w:rPr>
          <w:rFonts w:ascii="Arial" w:hAnsi="Arial" w:eastAsia="Microsoft YaHei" w:cs="Arial"/>
          <w:b/>
          <w:color w:val="0D419D"/>
          <w:sz w:val="32"/>
        </w:rPr>
        <w:t>十一、业界参考与设计对标</w:t>
      </w:r>
    </w:p>
    <w:tbl>
      <w:tblPr>
        <w:tblStyle w:val="TableGrid"/>
        <w:tblW w:type="dxa" w:w="864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1765"/>
        <w:gridCol w:w="3158"/>
        <w:gridCol w:w="3717"/>
      </w:tblGrid>
      <w:tr>
        <w:tc>
          <w:tcPr>
            <w:tcW w:type="dxa" w:w="1765"/>
            <w:shd w:val="clear" w:color="auto" w:fill="0D419D"/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20"/>
                <w:shd w:val="clear" w:color="auto" w:fill="0D419D"/>
              </w:rPr>
              <w:t>参考项目</w:t>
            </w:r>
          </w:p>
        </w:tc>
        <w:tc>
          <w:tcPr>
            <w:tcW w:type="dxa" w:w="3158"/>
            <w:shd w:val="clear" w:color="auto" w:fill="0D419D"/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20"/>
                <w:shd w:val="clear" w:color="auto" w:fill="0D419D"/>
              </w:rPr>
              <w:t>核心优势</w:t>
            </w:r>
          </w:p>
        </w:tc>
        <w:tc>
          <w:tcPr>
            <w:tcW w:type="dxa" w:w="3717"/>
            <w:shd w:val="clear" w:color="auto" w:fill="0D419D"/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20"/>
                <w:shd w:val="clear" w:color="auto" w:fill="0D419D"/>
              </w:rPr>
              <w:t>已采纳的设计</w:t>
            </w:r>
          </w:p>
        </w:tc>
      </w:tr>
      <w:tr>
        <w:tc>
          <w:tcPr>
            <w:tcW w:type="dxa" w:w="1765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QuantStats</w:t>
            </w:r>
          </w:p>
        </w:tc>
        <w:tc>
          <w:tcPr>
            <w:tcW w:type="dxa" w:w="315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40+ 量化指标、Tear Sheet、Monte Carlo 模拟</w:t>
            </w:r>
          </w:p>
        </w:tc>
        <w:tc>
          <w:tcPr>
            <w:tcW w:type="dxa" w:w="3717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Sortino/Calmar/胜率/盈亏比；滚动夏普和波动率；Monte Carlo 扇形图 + VaR</w:t>
            </w:r>
          </w:p>
        </w:tc>
      </w:tr>
      <w:tr>
        <w:tc>
          <w:tcPr>
            <w:tcW w:type="dxa" w:w="1765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pyfolio</w:t>
            </w:r>
          </w:p>
        </w:tc>
        <w:tc>
          <w:tcPr>
            <w:tcW w:type="dxa" w:w="315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风险归因、交易分析、因子暴露</w:t>
            </w:r>
          </w:p>
        </w:tc>
        <w:tc>
          <w:tcPr>
            <w:tcW w:type="dxa" w:w="3717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月度收益热力图；收益分布直方图</w:t>
            </w:r>
          </w:p>
        </w:tc>
      </w:tr>
      <w:tr>
        <w:tc>
          <w:tcPr>
            <w:tcW w:type="dxa" w:w="1765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IB PortfolioAnalyst</w:t>
            </w:r>
          </w:p>
        </w:tc>
        <w:tc>
          <w:tcPr>
            <w:tcW w:type="dxa" w:w="315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多基准对比、行业暴露、专业报告导出</w:t>
            </w:r>
          </w:p>
        </w:tc>
        <w:tc>
          <w:tcPr>
            <w:tcW w:type="dxa" w:w="3717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多基准指数选择器；行业权重面积图；CSV/PNG/PDF 导出</w:t>
            </w:r>
          </w:p>
        </w:tc>
      </w:tr>
    </w:tbl>
    <w:p>
      <w:pPr>
        <w:pStyle w:val="Heading2"/>
        <w:keepNext w:val="0"/>
        <w:keepLines w:val="0"/>
        <w:pageBreakBefore w:val="0"/>
        <w:spacing w:before="270" w:after="70" w:line="288" w:lineRule="auto"/>
        <w:ind w:left="60" w:firstLine="180"/>
        <w:outlineLvl w:val="1"/>
        <w:pBdr>
          <w:left w:val="single" w:sz="24" w:space="1" w:color="0D419D"/>
        </w:pBdr>
      </w:pPr>
      <w:r>
        <w:rPr>
          <w:rFonts w:ascii="Arial" w:hAnsi="Arial" w:eastAsia="Microsoft YaHei" w:cs="Arial"/>
          <w:b/>
          <w:color w:val="0D419D"/>
          <w:sz w:val="32"/>
        </w:rPr>
        <w:t>十二、改进路线图总结</w:t>
      </w:r>
    </w:p>
    <w:tbl>
      <w:tblPr>
        <w:tblStyle w:val="TableGrid"/>
        <w:tblW w:type="dxa" w:w="864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1126"/>
        <w:gridCol w:w="7514"/>
      </w:tblGrid>
      <w:tr>
        <w:tc>
          <w:tcPr>
            <w:tcW w:type="dxa" w:w="1126"/>
            <w:shd w:val="clear" w:color="auto" w:fill="F8FAFC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center"/>
          </w:tcPr>
          <w:p>
            <w:pPr>
              <w:spacing w:line="288" w:lineRule="auto"/>
            </w:pPr>
            <w:r/>
            <w:r>
              <w:pict>
                <v:roundrect style="width:56.39pt;height:19.20pt;v-text-anchor:middle" o:allowincell="t" filled="t" fillcolor="#DCFCE7" stroked="f" arcsize="39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Arial" w:hAnsi="Arial" w:eastAsia="Microsoft YaHei" w:cs="Arial"/>
                            <w:sz w:val="18"/>
                            <w:szCs w:val="18"/>
                            <w:b/>
                            <w:color w:val="166534"/>
                          </w:rPr>
                          <w:t>P0 已完成</w:t>
                        </w:r>
                      </w:p>
                    </w:txbxContent>
                  </v:textbox>
                </v:roundrect>
              </w:pict>
            </w:r>
          </w:p>
        </w:tc>
        <w:tc>
          <w:tcPr>
            <w:tcW w:type="dxa" w:w="7514"/>
            <w:shd w:val="clear" w:color="auto" w:fill="F8FAFC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  <w:shd w:val="clear" w:color="auto" w:fill="F8FAFC"/>
              </w:rPr>
              <w:t>7 项 — 扩展风险指标、月度收益热力图、滚动夏普/波动率、基准归一化、缓存优化、弃用修复、非交易日防护</w:t>
            </w:r>
          </w:p>
        </w:tc>
      </w:tr>
      <w:tr>
        <w:tc>
          <w:tcPr>
            <w:tcW w:type="dxa" w:w="1126"/>
            <w:shd w:val="clear" w:color="auto" w:fill="F8FAFC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center"/>
          </w:tcPr>
          <w:p>
            <w:pPr>
              <w:spacing w:line="288" w:lineRule="auto"/>
            </w:pPr>
            <w:r/>
            <w:r>
              <w:pict>
                <v:roundrect style="width:56.39pt;height:19.20pt;v-text-anchor:middle" o:allowincell="t" filled="t" fillcolor="#DCFCE7" stroked="f" arcsize="39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Arial" w:hAnsi="Arial" w:eastAsia="Microsoft YaHei" w:cs="Arial"/>
                            <w:sz w:val="18"/>
                            <w:szCs w:val="18"/>
                            <w:b/>
                            <w:color w:val="166534"/>
                          </w:rPr>
                          <w:t>P1 已完成</w:t>
                        </w:r>
                      </w:p>
                    </w:txbxContent>
                  </v:textbox>
                </v:roundrect>
              </w:pict>
            </w:r>
          </w:p>
        </w:tc>
        <w:tc>
          <w:tcPr>
            <w:tcW w:type="dxa" w:w="7514"/>
            <w:shd w:val="clear" w:color="auto" w:fill="F8FAFC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  <w:shd w:val="clear" w:color="auto" w:fill="F8FAFC"/>
              </w:rPr>
              <w:t>10 项 — 相关性矩阵、ETF 详情面板（6 区域）、多基准选择（11 指数）、行业权重面积图、CSV 导出、智能建议、净值归一化</w:t>
            </w:r>
          </w:p>
        </w:tc>
      </w:tr>
      <w:tr>
        <w:tc>
          <w:tcPr>
            <w:tcW w:type="dxa" w:w="1126"/>
            <w:shd w:val="clear" w:color="auto" w:fill="F8FAFC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center"/>
          </w:tcPr>
          <w:p>
            <w:pPr>
              <w:spacing w:line="288" w:lineRule="auto"/>
            </w:pPr>
            <w:r/>
            <w:r>
              <w:pict>
                <v:roundrect style="width:56.39pt;height:19.20pt;v-text-anchor:middle" o:allowincell="t" filled="t" fillcolor="#DCFCE7" stroked="f" arcsize="39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Arial" w:hAnsi="Arial" w:eastAsia="Microsoft YaHei" w:cs="Arial"/>
                            <w:sz w:val="18"/>
                            <w:szCs w:val="18"/>
                            <w:b/>
                            <w:color w:val="166534"/>
                          </w:rPr>
                          <w:t>P2 已完成</w:t>
                        </w:r>
                      </w:p>
                    </w:txbxContent>
                  </v:textbox>
                </v:roundrect>
              </w:pict>
            </w:r>
          </w:p>
        </w:tc>
        <w:tc>
          <w:tcPr>
            <w:tcW w:type="dxa" w:w="7514"/>
            <w:shd w:val="clear" w:color="auto" w:fill="F8FAFC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  <w:shd w:val="clear" w:color="auto" w:fill="F8FAFC"/>
              </w:rPr>
              <w:t>4 项 — Brinson 收益归因瀑布图、Monte Carlo 模拟（扇形图+VaR/CVaR）、再平衡建议（权重对比+调仓明细）、Selenium 截图/PDF 导出</w:t>
            </w:r>
          </w:p>
        </w:tc>
      </w:tr>
    </w:tbl>
    <w:p>
      <w:pPr>
        <w:spacing w:line="288" w:lineRule="auto"/>
      </w:pPr>
      <w:r>
        <w:rPr>
          <w:rFonts w:ascii="Arial" w:hAnsi="Arial" w:eastAsia="Microsoft YaHei" w:cs="Arial"/>
          <w:color w:val="1A1A1A"/>
          <w:sz w:val="22"/>
        </w:rPr>
        <w:t>全部 21 项改进已交付。Dashboard 从初始基线 4 Tab 扩展至 5 Tab / 2568 行，覆盖了从基础风险指标到高级 Monte Carlo 模拟的完整投资组合分析链条。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Microsoft YaHei" w:hAnsi="Microsoft YaHei" w:eastAsia="Microsoft YaHe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Microsoft YaHei" w:hAnsi="Microsoft YaHei" w:eastAsia="Microsoft YaHei" w:cs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Microsoft YaHei" w:hAnsi="Microsoft YaHei" w:eastAsia="Microsoft YaHei" w:cs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Microsoft YaHei" w:hAnsi="Microsoft YaHei" w:eastAsia="Microsoft YaHei" w:cs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Microsoft YaHei" w:hAnsi="Microsoft YaHei" w:eastAsia="Microsoft YaHei" w:cs="Microsoft YaHe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Microsoft YaHei" w:hAnsi="Microsoft YaHei" w:eastAsia="Microsoft YaHei" w:cs="Microsoft YaHe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Microsoft YaHei" w:hAnsi="Microsoft YaHei" w:eastAsia="Microsoft YaHei" w:cs="Microsoft YaHe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