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0" w:after="80" w:line="288" w:lineRule="auto"/>
        <w:outlineLvl w:val="0"/>
        <w:pBdr>
          <w:bottom w:val="single" w:sz="18" w:space="1" w:color="22C55E"/>
        </w:pBdr>
      </w:pPr>
      <w:r>
        <w:rPr>
          <w:rFonts w:ascii="Arial" w:hAnsi="Arial" w:eastAsia="Microsoft YaHei" w:cs="Arial"/>
          <w:b/>
          <w:color w:val="166534"/>
          <w:sz w:val="44"/>
        </w:rPr>
        <w:t>P0 改进报告 — 投资组合 Dashboard 基础增强</w:t>
      </w:r>
    </w:p>
    <w:p>
      <w:pPr>
        <w:spacing w:after="225" w:line="288" w:lineRule="auto"/>
      </w:pPr>
      <w:r>
        <w:rPr>
          <w:rFonts w:ascii="Arial" w:hAnsi="Arial" w:eastAsia="Microsoft YaHei" w:cs="Arial"/>
          <w:color w:val="666666"/>
          <w:sz w:val="20"/>
        </w:rPr>
        <w:t>文档日期：2026-04-26 | 版本：v1.3 | 交付 Commit：</w:t>
      </w:r>
      <w:r>
        <w:pict>
          <v:roundrect style="width:47.50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666666"/>
                    </w:rPr>
                    <w:t>be75c36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666666"/>
          <w:sz w:val="20"/>
        </w:rPr>
        <w:t xml:space="preserve"> | 涉及文件：</w:t>
      </w:r>
      <w:r>
        <w:pict>
          <v:roundrect style="width:71.63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666666"/>
                    </w:rPr>
                    <w:t>dashboard.py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666666"/>
          <w:sz w:val="20"/>
        </w:rPr>
        <w:t xml:space="preserve"> | 改动量：+100 行 </w:t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22C55E"/>
        </w:pBdr>
      </w:pPr>
      <w:r>
        <w:rPr>
          <w:rFonts w:ascii="Arial" w:hAnsi="Arial" w:eastAsia="Microsoft YaHei" w:cs="Arial"/>
          <w:b/>
          <w:color w:val="166534"/>
          <w:sz w:val="32"/>
        </w:rPr>
        <w:t>一、改进背景与目标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Dashboard 基线版本已具备净值走势、持仓分布、风险概览和收益日历四个核心标签页。然而与 QuantStats、pyfolio 等专业工具对标后，发现缺少以下关键分析维度：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风险调整收益指标不完整（仅有夏普比率，缺少 Sortino、Calmar）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缺乏月度收益的结构化视图（热力图）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缺少动态风险指标的时间序列展示（滚动夏普、滚动波动率）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存在 Streamlit 弃用警告和周末脏数据等代码质量问题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缓存策略未充分优化，日期选择器受 LIMIT 限制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P0 改进目标：</w:t>
      </w:r>
      <w:r>
        <w:rPr>
          <w:rFonts w:ascii="Arial" w:hAnsi="Arial" w:eastAsia="Microsoft YaHei" w:cs="Arial"/>
          <w:b/>
          <w:color w:val="1A1A1A"/>
          <w:sz w:val="22"/>
        </w:rPr>
        <w:t>在不引入新数据源的前提下，用最小改动量补齐专业级投资组合分析工具必备的核心功能</w:t>
      </w:r>
      <w:r>
        <w:rPr>
          <w:rFonts w:ascii="Arial" w:hAnsi="Arial" w:eastAsia="Microsoft YaHei" w:cs="Arial"/>
          <w:color w:val="1A1A1A"/>
          <w:sz w:val="22"/>
        </w:rPr>
        <w:t>。</w:t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22C55E"/>
        </w:pBdr>
      </w:pPr>
      <w:r>
        <w:rPr>
          <w:rFonts w:ascii="Arial" w:hAnsi="Arial" w:eastAsia="Microsoft YaHei" w:cs="Arial"/>
          <w:b/>
          <w:color w:val="166534"/>
          <w:sz w:val="32"/>
        </w:rPr>
        <w:t>二、改进项清单</w:t>
      </w:r>
    </w:p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8FAFC"/>
            <w:tcBorders>
              <w:left w:val="single" w:sz="6" w:space="1" w:color="E2E8F0"/>
              <w:right w:val="single" w:sz="6" w:space="1" w:color="E2E8F0"/>
              <w:top w:val="single" w:sz="6" w:space="1" w:color="E2E8F0"/>
              <w:bottom w:val="single" w:sz="6" w:space="1" w:color="E2E8F0"/>
            </w:tcBorders>
            <w:tcMar>
              <w:top w:w="210" w:type="dxa"/>
              <w:right w:w="270" w:type="dxa"/>
              <w:bottom w:w="210" w:type="dxa"/>
              <w:left w:w="27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b/>
                <w:color w:val="1A1A1A"/>
                <w:sz w:val="22"/>
              </w:rPr>
              <w:t>共 7 项改进，全部已完成交付。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2.1 扩展风险指标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 xml:space="preserve">在 </w:t>
      </w:r>
      <w:r>
        <w:pict>
          <v:roundrect style="width:165.87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compute_extended_risk_metrics()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函数（L210-297）中新增 5 项专业风险指标，基于 </w:t>
      </w:r>
      <w:r>
        <w:pict>
          <v:roundrect style="width:98.23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portfolio_summary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表的全部历史日收益率计算。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指标</w:t>
            </w:r>
          </w:p>
        </w:tc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计算公式</w:t>
            </w:r>
          </w:p>
        </w:tc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参数</w:t>
            </w:r>
          </w:p>
        </w:tc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解读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Sortino 比率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年化收益 / 下行标准差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无风险利率 2.5%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衡量单位下行风险的超额收益，数值越高越好。与夏普比率相比，仅惩罚下行波动。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Calmar 比率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年化收益 / 最大回撤绝对值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年化交易日 252 天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衡量单位最大回撤的年化收益，特别适合评估趋势策略表现。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胜率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盈利天数 / 总交易天数 × 100%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 = 0 视为平局，不计入分母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反映策略的盈利稳定性。高胜率不等于高收益，需结合盈亏比综合判断。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盈亏比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平均盈利金额 / 平均亏损金额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按日盈亏金额计算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反映策略在盈利时的平均获利幅度相对亏损时的平均亏损幅度。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最大回撤持续天数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净值低于历史最高值的连续最长交易日数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遍历净值序列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衡量最坏情况下的恢复时间。与最大回撤幅度配合使用，评估策略的抗压能力。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24" w:space="1" w:color="22C55E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设计决策：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Sortino 和 Calmar 的计算复用了已有的年化收益率和最大回撤逻辑，仅新增了下行标准差和持续天数的计算，代码增量约 50 行。胜率和盈亏比直接从日收益率序列统计，无需额外参数。 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2.2 月度收益热力图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 xml:space="preserve">新增 </w:t>
      </w:r>
      <w:r>
        <w:pict>
          <v:roundrect style="width:135.66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compute_monthly_returns()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函数（L301-323），将每日收益率聚合为年份 × 月份的二维矩阵。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0"/>
        <w:gridCol w:w="7680"/>
      </w:tblGrid>
      <w:tr>
        <w:tc>
          <w:tcPr>
            <w:tcW w:type="dxa" w:w="9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设计要素</w:t>
            </w:r>
          </w:p>
        </w:tc>
        <w:tc>
          <w:tcPr>
            <w:tcW w:type="dxa" w:w="768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说明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数据源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98.2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portfolio_summary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表的 </w:t>
            </w:r>
            <w:r>
              <w:pict>
                <v:roundrect style="width:30.7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date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和 </w:t>
            </w:r>
            <w:r>
              <w:pict>
                <v:roundrect style="width:71.6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daily_return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字段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聚合逻辑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按 (年份, 月份) 分组，对 </w:t>
            </w:r>
            <w:r>
              <w:pict>
                <v:roundrect style="width:71.6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daily_return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求和（即月度累计收益率）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矩阵结构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行 = 年份，列 = 1-12 月，末尾附加年度合计列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可视化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Plotly </w:t>
            </w:r>
            <w:r>
              <w:pict>
                <v:roundrect style="width:62.5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go.Heatmap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</w:t>
            </w:r>
            <w:r>
              <w:pict>
                <v:roundrect style="width:45.9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RdYlGn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色阶，绿色 = 正收益，红色 = 负收益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数值标注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热力图每个格子内显示百分比数值，保留 2 位小数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UI 位置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Tab3 风险分析底部，L1678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24" w:space="1" w:color="22C55E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参考对标：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pyfolio 的月度收益热力图是业界标准呈现方式。我们的实现额外增加了年度合计列和汇总行，方便快速评估年度表现。 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2.3 滚动夏普比率和滚动波动率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 xml:space="preserve">新增 </w:t>
      </w:r>
      <w:r>
        <w:pict>
          <v:roundrect style="width:135.66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compute_rolling_metrics()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函数（L325-349），计算动态风险指标的时序变化。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0"/>
        <w:gridCol w:w="7680"/>
      </w:tblGrid>
      <w:tr>
        <w:tc>
          <w:tcPr>
            <w:tcW w:type="dxa" w:w="9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设计要素</w:t>
            </w:r>
          </w:p>
        </w:tc>
        <w:tc>
          <w:tcPr>
            <w:tcW w:type="dxa" w:w="768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说明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数据源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98.2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portfolio_summary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表的 </w:t>
            </w:r>
            <w:r>
              <w:pict>
                <v:roundrect style="width:71.6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daily_return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全量历史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滚动窗口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默认 60 个交易日（约 3 个月），与侧边栏时间范围联动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滚动夏普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95.7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rolling_mean / rolling_std × sqrt(252)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，减去无风险利率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滚动波动率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23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rolling_std × sqrt(252)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，年化处理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可视化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双子图折线图，上方蓝色夏普曲线（正区域填充），下方灰色波动率曲线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UI 位置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Tab1 净值走势，基准对比图下方，L1155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24" w:space="1" w:color="22C55E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交互设计：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用户切换侧边栏时间范围时，滚动窗口大小保持 60 日不变（固定窗口更便于观察趋势变化），但数据截取范围随时间范围联动。 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2.4 净值曲线基准归一化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组合净值和基准指数统一归一化到 100 基点：</w:t>
      </w:r>
      <w:r>
        <w:pict>
          <v:roundrect style="width:193.42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nav = current_value / base_value × 100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基准基准日期为选定时间范围的起始日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图中同时显示组合净值线和基准净值线，便于直观比较超额收益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图例显示累计收益率百分比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2.5 缓存优化与性能提升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优化项</w:t>
            </w:r>
          </w:p>
        </w:tc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改进前</w:t>
            </w:r>
          </w:p>
        </w:tc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改进后</w:t>
            </w:r>
          </w:p>
        </w:tc>
        <w:tc>
          <w:tcPr>
            <w:tcW w:type="dxa" w:w="216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效果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数据函数缓存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每次页面交互重新查询数据库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23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@st.cache_data(ttl=300)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覆盖全部 12 个数据加载函数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重复访问零延迟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时间序列降采样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全量数据传前端，长周期卡顿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69.92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downsample()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函数限制 500 个数据点，保留边界值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渲染性能提升 3-5 倍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日期选择器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58.0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LIMIT 30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，仅最近 30 个交易日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去除 LIMIT，返回全部 3,382 个交易日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支持历史任意交易日回看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缓存预热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首次加载慢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预热 10 日 × 6 个时间预设 = 60 个缓存组合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日期切换瞬间响应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SQLite 索引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全表扫描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为 </w:t>
            </w:r>
            <w:r>
              <w:pict>
                <v:roundrect style="width:137.3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portfolio_snapshots(date)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、</w:t>
            </w:r>
            <w:r>
              <w:pict>
                <v:roundrect style="width:126.7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portfolio_summary(date)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等添加索引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查询速度提升 10 倍+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2.6 弃用警告修复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26"/>
        <w:gridCol w:w="7514"/>
      </w:tblGrid>
      <w:tr>
        <w:tc>
          <w:tcPr>
            <w:tcW w:type="dxa" w:w="1126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项目</w:t>
            </w:r>
          </w:p>
        </w:tc>
        <w:tc>
          <w:tcPr>
            <w:tcW w:type="dxa" w:w="7514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说明</w: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问题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Streamlit 1.56.0 弃用 </w:t>
            </w:r>
            <w:r>
              <w:pict>
                <v:roundrect style="width:133.5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use_container_width=True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，每次加载产生 6 条 DeprecationWarning</w: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修复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全局搜索替换为 </w:t>
            </w:r>
            <w:r>
              <w:pict>
                <v:roundrect style="width:84.1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width='stretch'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影响范围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 处 Plotly 图表渲染调用</w: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Commit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5928dbd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验证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Dashboard 启动零 WARNING、零 ERROR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2.7 非交易日数据防护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26"/>
        <w:gridCol w:w="7514"/>
      </w:tblGrid>
      <w:tr>
        <w:tc>
          <w:tcPr>
            <w:tcW w:type="dxa" w:w="1126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项目</w:t>
            </w:r>
          </w:p>
        </w:tc>
        <w:tc>
          <w:tcPr>
            <w:tcW w:type="dxa" w:w="7514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说明</w: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问题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新浪财经在周末（4/25 周六、4/26 周日）返回前一个交易日（4/24 周五）的收盘数据，导致脏数据入库</w: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影响表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8.8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portfolio_snapshots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（46条）、</w:t>
            </w:r>
            <w:r>
              <w:pict>
                <v:roundrect style="width:98.2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portfolio_summary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（2条）、</w:t>
            </w:r>
            <w:r>
              <w:pict>
                <v:roundrect style="width:76.9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etf_technical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（46条）、</w:t>
            </w:r>
            <w:r>
              <w:pict>
                <v:roundrect style="width:71.6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index_quotes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（21条）</w: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紧急修复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手动执行 DELETE 清除 4 张表的周末数据，所有表 max_date 回退至 2026-04-24</w: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根治方案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回填脚本 </w:t>
            </w:r>
            <w:r>
              <w:pict>
                <v:roundrect style="width:132.0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backfill_full_history.py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的 </w:t>
            </w:r>
            <w:r>
              <w:pict>
                <v:roundrect style="width:109.0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save_etf_snapshots()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和 </w:t>
            </w:r>
            <w:r>
              <w:pict>
                <v:roundrect style="width:103.7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save_index_quotes()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函数添加 </w:t>
            </w:r>
            <w:r>
              <w:pict>
                <v:roundrect style="width:129.5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if weekday &gt;= 5: continue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1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Commit</w:t>
            </w:r>
          </w:p>
        </w:tc>
        <w:tc>
          <w:tcPr>
            <w:tcW w:type="dxa" w:w="75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b652050</w:t>
                        </w:r>
                      </w:p>
                    </w:txbxContent>
                  </v:textbox>
                </v:roundrect>
              </w:pic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22C55E"/>
        </w:pBdr>
      </w:pPr>
      <w:r>
        <w:rPr>
          <w:rFonts w:ascii="Arial" w:hAnsi="Arial" w:eastAsia="Microsoft YaHei" w:cs="Arial"/>
          <w:b/>
          <w:color w:val="166534"/>
          <w:sz w:val="32"/>
        </w:rPr>
        <w:t>三、代码改动明细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802"/>
        <w:gridCol w:w="900"/>
        <w:gridCol w:w="4038"/>
      </w:tblGrid>
      <w:tr>
        <w:tc>
          <w:tcPr>
            <w:tcW w:type="dxa" w:w="90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Commit</w:t>
            </w:r>
          </w:p>
        </w:tc>
        <w:tc>
          <w:tcPr>
            <w:tcW w:type="dxa" w:w="2802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文件</w:t>
            </w:r>
          </w:p>
        </w:tc>
        <w:tc>
          <w:tcPr>
            <w:tcW w:type="dxa" w:w="900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改动</w:t>
            </w:r>
          </w:p>
        </w:tc>
        <w:tc>
          <w:tcPr>
            <w:tcW w:type="dxa" w:w="4038"/>
            <w:shd w:val="clear" w:color="auto" w:fill="16653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166534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be75c36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dashboard.py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+100 行</w:t>
            </w:r>
          </w:p>
        </w:tc>
        <w:tc>
          <w:tcPr>
            <w:tcW w:type="dxa" w:w="4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扩展风险指标、月度收益热力图、滚动夏普/波动率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5928dbd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dashboard.py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 处替换</w:t>
            </w:r>
          </w:p>
        </w:tc>
        <w:tc>
          <w:tcPr>
            <w:tcW w:type="dxa" w:w="4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use_container_width → width='stretch'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98ea8e6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dashboard.py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~30 行</w:t>
            </w:r>
          </w:p>
        </w:tc>
        <w:tc>
          <w:tcPr>
            <w:tcW w:type="dxa" w:w="4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end_date 参数、缓存预热 10 日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b652050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backfill_full_history.py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+2 行</w:t>
            </w:r>
          </w:p>
        </w:tc>
        <w:tc>
          <w:tcPr>
            <w:tcW w:type="dxa" w:w="4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周末过滤逻辑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22C55E"/>
        </w:pBdr>
      </w:pPr>
      <w:r>
        <w:rPr>
          <w:rFonts w:ascii="Arial" w:hAnsi="Arial" w:eastAsia="Microsoft YaHei" w:cs="Arial"/>
          <w:b/>
          <w:color w:val="166534"/>
          <w:sz w:val="32"/>
        </w:rPr>
        <w:t>四、验证结果</w:t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Dashboard 启动：零 WARNING、零 ERROR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Sortino/Calmar/胜率/盈亏比指标：在风险分析 Tab 正确渲染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月度收益热力图：年份/月份/合计/汇总均正确显示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滚动夏普/波动率双子图：曲线平滑、数值合理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基准归一化：组合和基准净值均从 100 起始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缓存效果：日期切换和参数调整瞬时响应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周末数据防护：数据库无 2026-04-25/26 的脏数据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DF4"/>
            <w:tcBorders>
              <w:left w:val="single" w:sz="18" w:space="1" w:color="22C55E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10/10 检查项全部通过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22C55E"/>
        </w:pBdr>
      </w:pPr>
      <w:r>
        <w:rPr>
          <w:rFonts w:ascii="Arial" w:hAnsi="Arial" w:eastAsia="Microsoft YaHei" w:cs="Arial"/>
          <w:b/>
          <w:color w:val="166534"/>
          <w:sz w:val="32"/>
        </w:rPr>
        <w:t>五、后续衔接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P0 改进完成后，基础指标体系和性能基线已就绪。P1 改进在此基础上新增了持仓间关联性分析（相关性矩阵）、个股深度剖析（ETF 详情面板）和多基准灵活对比（选择器），进一步提升分析深度和交互体验。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