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0" w:after="80" w:line="288" w:lineRule="auto"/>
        <w:outlineLvl w:val="0"/>
        <w:pBdr>
          <w:bottom w:val="single" w:sz="18" w:space="1" w:color="F59E0B"/>
        </w:pBdr>
      </w:pPr>
      <w:r>
        <w:rPr>
          <w:rFonts w:ascii="Arial" w:hAnsi="Arial" w:eastAsia="Microsoft YaHei" w:cs="Arial"/>
          <w:b/>
          <w:color w:val="854D0E"/>
          <w:sz w:val="44"/>
        </w:rPr>
        <w:t>P1 改进报告 — 投资组合 Dashboard 功能扩展</w:t>
      </w:r>
    </w:p>
    <w:p>
      <w:pPr>
        <w:spacing w:after="225" w:line="288" w:lineRule="auto"/>
      </w:pPr>
      <w:r>
        <w:rPr>
          <w:rFonts w:ascii="Arial" w:hAnsi="Arial" w:eastAsia="Microsoft YaHei" w:cs="Arial"/>
          <w:color w:val="666666"/>
          <w:sz w:val="20"/>
        </w:rPr>
        <w:t>文档日期：2026-04-26 | 版本：v1.3 | 交付 Commit：</w:t>
      </w:r>
      <w:r>
        <w:pict>
          <v:roundrect style="width:47.88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666666"/>
                    </w:rPr>
                    <w:t>0d66958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666666"/>
          <w:sz w:val="20"/>
        </w:rPr>
        <w:t xml:space="preserve"> | 涉及文件：</w:t>
      </w:r>
      <w:r>
        <w:pict>
          <v:roundrect style="width:71.63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666666"/>
                    </w:rPr>
                    <w:t>dashboard.py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666666"/>
          <w:sz w:val="20"/>
        </w:rPr>
        <w:t xml:space="preserve">, </w:t>
      </w:r>
      <w:r>
        <w:pict>
          <v:roundrect style="width:101.84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666666"/>
                    </w:rPr>
                    <w:t>config/settings.py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666666"/>
          <w:sz w:val="20"/>
        </w:rPr>
        <w:t xml:space="preserve"> | 改动量：+262 行 / -45 行 </w:t>
      </w:r>
    </w:p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F59E0B"/>
        </w:pBdr>
      </w:pPr>
      <w:r>
        <w:rPr>
          <w:rFonts w:ascii="Arial" w:hAnsi="Arial" w:eastAsia="Microsoft YaHei" w:cs="Arial"/>
          <w:b/>
          <w:color w:val="854D0E"/>
          <w:sz w:val="32"/>
        </w:rPr>
        <w:t>一、改进背景与目标</w: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>P0 改进已补齐核心风险指标和性能基线。P1 阶段的目标是</w:t>
      </w:r>
      <w:r>
        <w:rPr>
          <w:rFonts w:ascii="Arial" w:hAnsi="Arial" w:eastAsia="Microsoft YaHei" w:cs="Arial"/>
          <w:b/>
          <w:color w:val="1A1A1A"/>
          <w:sz w:val="22"/>
        </w:rPr>
        <w:t>拓展分析维度</w:t>
      </w:r>
      <w:r>
        <w:rPr>
          <w:rFonts w:ascii="Arial" w:hAnsi="Arial" w:eastAsia="Microsoft YaHei" w:cs="Arial"/>
          <w:color w:val="1A1A1A"/>
          <w:sz w:val="22"/>
        </w:rPr>
        <w:t>，引入以下三类新能力：</w:t>
      </w:r>
    </w:p>
    <w:p>
      <w:pPr>
        <w:pStyle w:val="ListNumber"/>
        <w:numPr>
          <w:ilvl w:val="0"/>
          <w:numId w:val="10"/>
        </w:numPr>
        <w:spacing w:after="30" w:line="288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持仓间关联性分析</w:t>
      </w:r>
      <w:r>
        <w:rPr>
          <w:rFonts w:ascii="Arial" w:hAnsi="Arial" w:eastAsia="Microsoft YaHei" w:cs="Arial"/>
          <w:color w:val="1A1A1A"/>
          <w:sz w:val="22"/>
        </w:rPr>
        <w:t xml:space="preserve"> — 通过相关性矩阵揭示组合内部分散化程度</w:t>
      </w:r>
    </w:p>
    <w:p>
      <w:pPr>
        <w:pStyle w:val="ListNumber"/>
        <w:numPr>
          <w:ilvl w:val="0"/>
          <w:numId w:val="10"/>
        </w:numPr>
        <w:spacing w:after="30" w:line="288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个股深度剖析</w:t>
      </w:r>
      <w:r>
        <w:rPr>
          <w:rFonts w:ascii="Arial" w:hAnsi="Arial" w:eastAsia="Microsoft YaHei" w:cs="Arial"/>
          <w:color w:val="1A1A1A"/>
          <w:sz w:val="22"/>
        </w:rPr>
        <w:t xml:space="preserve"> — 从组合级分析下钻到单只 ETF 的技术面和统计面</w:t>
      </w:r>
    </w:p>
    <w:p>
      <w:pPr>
        <w:pStyle w:val="ListNumber"/>
        <w:numPr>
          <w:ilvl w:val="0"/>
          <w:numId w:val="10"/>
        </w:numPr>
        <w:spacing w:after="30" w:line="288" w:lineRule="auto"/>
        <w:ind w:left="720" w:hanging="360"/>
      </w:pPr>
      <w:r>
        <w:rPr>
          <w:rFonts w:ascii="Arial" w:hAnsi="Arial" w:eastAsia="Microsoft YaHei" w:cs="Arial"/>
          <w:b/>
          <w:color w:val="1A1A1A"/>
          <w:sz w:val="22"/>
        </w:rPr>
        <w:t>多基准灵活对比</w:t>
      </w:r>
      <w:r>
        <w:rPr>
          <w:rFonts w:ascii="Arial" w:hAnsi="Arial" w:eastAsia="Microsoft YaHei" w:cs="Arial"/>
          <w:color w:val="1A1A1A"/>
          <w:sz w:val="22"/>
        </w:rPr>
        <w:t xml:space="preserve"> — 支持用户自由选择对比基准，适应不同投资风格</w: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>同时补齐了行业权重可视化、CSV 数据导出和智能建议集成等辅助功能。</w:t>
      </w:r>
    </w:p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F59E0B"/>
        </w:pBdr>
      </w:pPr>
      <w:r>
        <w:rPr>
          <w:rFonts w:ascii="Arial" w:hAnsi="Arial" w:eastAsia="Microsoft YaHei" w:cs="Arial"/>
          <w:b/>
          <w:color w:val="854D0E"/>
          <w:sz w:val="32"/>
        </w:rPr>
        <w:t>二、改进项清单</w:t>
      </w:r>
    </w:p>
    <w:p>
      <w:pPr>
        <w:spacing w:before="0" w:after="0" w:line="120" w:lineRule="exact"/>
      </w:pPr>
      <w:r>
        <w:rPr>
          <w:sz w:val="12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EFCE8"/>
            <w:tcBorders>
              <w:left w:val="single" w:sz="6" w:space="1" w:color="FDE68A"/>
              <w:right w:val="single" w:sz="6" w:space="1" w:color="FDE68A"/>
              <w:top w:val="single" w:sz="6" w:space="1" w:color="FDE68A"/>
              <w:bottom w:val="single" w:sz="6" w:space="1" w:color="FDE68A"/>
            </w:tcBorders>
            <w:tcMar>
              <w:top w:w="210" w:type="dxa"/>
              <w:right w:w="270" w:type="dxa"/>
              <w:bottom w:w="210" w:type="dxa"/>
              <w:left w:w="27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b/>
                <w:color w:val="1A1A1A"/>
                <w:sz w:val="22"/>
              </w:rPr>
              <w:t>共 6 项改进，全部已完成交付。</w:t>
            </w:r>
            <w:r>
              <w:rPr>
                <w:rFonts w:ascii="Arial" w:hAnsi="Arial" w:eastAsia="Microsoft YaHei" w:cs="Arial"/>
                <w:color w:val="1A1A1A"/>
                <w:sz w:val="22"/>
              </w:rPr>
              <w:t xml:space="preserve"> Dashboard 代码从 928 行增长至 1,782 行。 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2.1 持仓相关性矩阵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FFF"/>
            <w:tcBorders>
              <w:left w:val="single" w:sz="6" w:space="1" w:color="FDE68A"/>
              <w:right w:val="single" w:sz="6" w:space="1" w:color="FDE68A"/>
              <w:top w:val="single" w:sz="6" w:space="1" w:color="FDE68A"/>
              <w:bottom w:val="single" w:sz="6" w:space="1" w:color="FDE68A"/>
            </w:tcBorders>
            <w:tcMar>
              <w:top w:w="240" w:type="dxa"/>
              <w:right w:w="300" w:type="dxa"/>
              <w:bottom w:w="240" w:type="dxa"/>
              <w:left w:w="300" w:type="dxa"/>
            </w:tcMar>
          </w:tcPr>
          <w:p>
            <w:pPr>
              <w:pStyle w:val="Heading4"/>
              <w:keepNext w:val="0"/>
              <w:keepLines w:val="0"/>
              <w:pageBreakBefore w:val="0"/>
              <w:spacing w:before="0" w:line="288" w:lineRule="auto"/>
              <w:outlineLvl w:val="3"/>
            </w:pPr>
            <w:r>
              <w:rPr>
                <w:rFonts w:ascii="Arial" w:hAnsi="Arial" w:eastAsia="Microsoft YaHei" w:cs="Arial"/>
                <w:color w:val="854D0E"/>
                <w:sz w:val="24"/>
              </w:rPr>
              <w:t>功能概述</w:t>
            </w:r>
          </w:p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计算持仓内各 ETF 之间日收益率的 Pearson 相关系数，以热力图形式展示。高相关性（接近 1）表示两只 ETF 走势趋同，组合分散化效果弱；低相关或负相关表示互补性强，分散化效果好。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440"/>
        <w:gridCol w:w="5760"/>
        <w:gridCol w:w="1440"/>
      </w:tblGrid>
      <w:tr>
        <w:tc>
          <w:tcPr>
            <w:tcW w:type="dxa" w:w="144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组件</w:t>
            </w:r>
          </w:p>
        </w:tc>
        <w:tc>
          <w:tcPr>
            <w:tcW w:type="dxa" w:w="576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实现细节</w:t>
            </w:r>
          </w:p>
        </w:tc>
        <w:tc>
          <w:tcPr>
            <w:tcW w:type="dxa" w:w="144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代码位置</w:t>
            </w:r>
          </w:p>
        </w:tc>
      </w:tr>
      <w:tr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数据函数</w:t>
            </w:r>
          </w:p>
        </w:tc>
        <w:tc>
          <w:tcPr>
            <w:tcW w:type="dxa" w:w="57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Consolas" w:hAnsi="Consolas" w:eastAsia="Microsoft YaHei" w:cs="Consolas"/>
                <w:color w:val="1A1A1A"/>
                <w:sz w:val="19"/>
                <w:shd w:val="clear" w:color="auto" w:fill="F0F0F0"/>
              </w:rPr>
              <w:t>load_correlation_matrix(days=250, end_date=None)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— 从 </w:t>
            </w:r>
            <w:r>
              <w:pict>
                <v:roundrect style="width:108.87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portfolio_snapshots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提取各 ETF 市值时间序列，计算日市值变动率（等价于日收益率），构建 Pearson 相关系数矩阵</w:t>
            </w:r>
          </w:p>
        </w:tc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L352-417</w:t>
            </w:r>
          </w:p>
        </w:tc>
      </w:tr>
      <w:tr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短名称映射</w:t>
            </w:r>
          </w:p>
        </w:tc>
        <w:tc>
          <w:tcPr>
            <w:tcW w:type="dxa" w:w="57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自动生成 ETF 简称映射表（如 "sh512010" → "医药ETF"），用于热力图轴标签</w:t>
            </w:r>
          </w:p>
        </w:tc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L390-410</w:t>
            </w:r>
          </w:p>
        </w:tc>
      </w:tr>
      <w:tr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最小持仓要求</w:t>
            </w:r>
          </w:p>
        </w:tc>
        <w:tc>
          <w:tcPr>
            <w:tcW w:type="dxa" w:w="57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至少 2 只 ETF 且数据点 ≥ 30 才渲染热力图，否则显示提示信息</w:t>
            </w:r>
          </w:p>
        </w:tc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L1304</w:t>
            </w:r>
          </w:p>
        </w:tc>
      </w:tr>
      <w:tr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Heatmap 配色</w:t>
            </w:r>
          </w:p>
        </w:tc>
        <w:tc>
          <w:tcPr>
            <w:tcW w:type="dxa" w:w="57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五级渐变：深蓝(-1) → 浅蓝(-0.25) → 深灰(0) → 浅红(0.75) → 深红(+1)，贴合 Dark Theme</w:t>
            </w:r>
          </w:p>
        </w:tc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L1193-1199</w:t>
            </w:r>
          </w:p>
        </w:tc>
      </w:tr>
      <w:tr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数值标注</w:t>
            </w:r>
          </w:p>
        </w:tc>
        <w:tc>
          <w:tcPr>
            <w:tcW w:type="dxa" w:w="57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每个格子内标注相关系数值（保留 2 位小数），字体 9pt</w:t>
            </w:r>
          </w:p>
        </w:tc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L1201-1202</w:t>
            </w:r>
          </w:p>
        </w:tc>
      </w:tr>
      <w:tr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悬停提示</w:t>
            </w:r>
          </w:p>
        </w:tc>
        <w:tc>
          <w:tcPr>
            <w:tcW w:type="dxa" w:w="57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78.6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hovertemplate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显示 "ETF A vs ETF B，相关系数: 0.850"</w:t>
            </w:r>
          </w:p>
        </w:tc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L1204</w:t>
            </w:r>
          </w:p>
        </w:tc>
      </w:tr>
      <w:tr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自适应高度</w:t>
            </w:r>
          </w:p>
        </w:tc>
        <w:tc>
          <w:tcPr>
            <w:tcW w:type="dxa" w:w="57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9.35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max(500, n_etfs × 28)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，确保持仓数量多时不拥挤</w:t>
            </w:r>
          </w:p>
        </w:tc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L1330</w:t>
            </w:r>
          </w:p>
        </w:tc>
      </w:tr>
      <w:tr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UI 位置</w:t>
            </w:r>
          </w:p>
        </w:tc>
        <w:tc>
          <w:tcPr>
            <w:tcW w:type="dxa" w:w="57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Tab2 持仓分布，ETF 详细列表下方</w:t>
            </w:r>
          </w:p>
        </w:tc>
        <w:tc>
          <w:tcPr>
            <w:tcW w:type="dxa" w:w="14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L1300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20" w:after="50" w:line="288" w:lineRule="auto"/>
        <w:outlineLvl w:val="3"/>
      </w:pPr>
      <w:r>
        <w:rPr>
          <w:rFonts w:ascii="Arial" w:hAnsi="Arial" w:eastAsia="Microsoft YaHei" w:cs="Arial"/>
          <w:b/>
          <w:color w:val="444444"/>
          <w:sz w:val="23"/>
        </w:rPr>
        <w:t>配色方案</w:t>
      </w:r>
    </w:p>
    <w:tbl>
      <w:tblPr>
        <w:tblStyle w:val="TableGrid"/>
        <w:tblW w:type="dxa" w:w="794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826"/>
        <w:gridCol w:w="2943"/>
        <w:gridCol w:w="1179"/>
      </w:tblGrid>
      <w:tr>
        <w:tc>
          <w:tcPr>
            <w:tcW w:type="dxa" w:w="3826"/>
            <w:shd w:val="clear" w:color="auto" w:fill="FBBF2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19"/>
                <w:shd w:val="clear" w:color="auto" w:fill="FBBF24"/>
              </w:rPr>
              <w:t>相关系数区间</w:t>
            </w:r>
          </w:p>
        </w:tc>
        <w:tc>
          <w:tcPr>
            <w:tcW w:type="dxa" w:w="2943"/>
            <w:shd w:val="clear" w:color="auto" w:fill="FBBF2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19"/>
                <w:shd w:val="clear" w:color="auto" w:fill="FBBF24"/>
              </w:rPr>
              <w:t>颜色</w:t>
            </w:r>
          </w:p>
        </w:tc>
        <w:tc>
          <w:tcPr>
            <w:tcW w:type="dxa" w:w="1179"/>
            <w:shd w:val="clear" w:color="auto" w:fill="FBBF2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19"/>
                <w:shd w:val="clear" w:color="auto" w:fill="FBBF24"/>
              </w:rPr>
              <w:t>含义</w:t>
            </w:r>
          </w:p>
        </w:tc>
      </w:tr>
      <w:tr>
        <w:tc>
          <w:tcPr>
            <w:tcW w:type="dxa" w:w="38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[-1.0, -0.25]</w:t>
            </w:r>
          </w:p>
        </w:tc>
        <w:tc>
          <w:tcPr>
            <w:tcW w:type="dxa" w:w="29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深蓝 </w:t>
            </w:r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#0d419d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17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强负相关</w:t>
            </w:r>
          </w:p>
        </w:tc>
      </w:tr>
      <w:tr>
        <w:tc>
          <w:tcPr>
            <w:tcW w:type="dxa" w:w="38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[-0.25, 0.0]</w:t>
            </w:r>
          </w:p>
        </w:tc>
        <w:tc>
          <w:tcPr>
            <w:tcW w:type="dxa" w:w="29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浅蓝 </w:t>
            </w:r>
            <w:r>
              <w:pict>
                <v:roundrect style="width:47.3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#1a6bb5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17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弱负相关</w:t>
            </w:r>
          </w:p>
        </w:tc>
      </w:tr>
      <w:tr>
        <w:tc>
          <w:tcPr>
            <w:tcW w:type="dxa" w:w="38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0.0</w:t>
            </w:r>
          </w:p>
        </w:tc>
        <w:tc>
          <w:tcPr>
            <w:tcW w:type="dxa" w:w="29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深灰 </w:t>
            </w:r>
            <w:r>
              <w:pict>
                <v:roundrect style="width:47.69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#21262d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17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无相关</w:t>
            </w:r>
          </w:p>
        </w:tc>
      </w:tr>
      <w:tr>
        <w:tc>
          <w:tcPr>
            <w:tcW w:type="dxa" w:w="38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[0.0, 0.75]</w:t>
            </w:r>
          </w:p>
        </w:tc>
        <w:tc>
          <w:tcPr>
            <w:tcW w:type="dxa" w:w="29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浅红 </w:t>
            </w:r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#b5411a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17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弱正相关</w:t>
            </w:r>
          </w:p>
        </w:tc>
      </w:tr>
      <w:tr>
        <w:tc>
          <w:tcPr>
            <w:tcW w:type="dxa" w:w="38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[0.75, 1.0]</w:t>
            </w:r>
          </w:p>
        </w:tc>
        <w:tc>
          <w:tcPr>
            <w:tcW w:type="dxa" w:w="29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深红 </w:t>
            </w:r>
            <w:r>
              <w:pict>
                <v:roundrect style="width:47.3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#9d0d0d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17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强正相关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2.2 单只 ETF 增强详情面板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FFF"/>
            <w:tcBorders>
              <w:left w:val="single" w:sz="6" w:space="1" w:color="FDE68A"/>
              <w:right w:val="single" w:sz="6" w:space="1" w:color="FDE68A"/>
              <w:top w:val="single" w:sz="6" w:space="1" w:color="FDE68A"/>
              <w:bottom w:val="single" w:sz="6" w:space="1" w:color="FDE68A"/>
            </w:tcBorders>
            <w:tcMar>
              <w:top w:w="240" w:type="dxa"/>
              <w:right w:w="300" w:type="dxa"/>
              <w:bottom w:w="240" w:type="dxa"/>
              <w:left w:w="300" w:type="dxa"/>
            </w:tcMar>
          </w:tcPr>
          <w:p>
            <w:pPr>
              <w:pStyle w:val="Heading4"/>
              <w:keepNext w:val="0"/>
              <w:keepLines w:val="0"/>
              <w:pageBreakBefore w:val="0"/>
              <w:spacing w:before="0" w:line="288" w:lineRule="auto"/>
              <w:outlineLvl w:val="3"/>
            </w:pPr>
            <w:r>
              <w:rPr>
                <w:rFonts w:ascii="Arial" w:hAnsi="Arial" w:eastAsia="Microsoft YaHei" w:cs="Arial"/>
                <w:color w:val="854D0E"/>
                <w:sz w:val="24"/>
              </w:rPr>
              <w:t>功能概述</w:t>
            </w:r>
          </w:p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 xml:space="preserve">在 Tab2 持仓分布中，用户点击任意 ETF 行即可展开完整的详情分析面板。面板由 </w:t>
            </w:r>
            <w:r>
              <w:pict>
                <v:roundrect style="width:137.5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_render_etf_detail_panel()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2"/>
              </w:rPr>
              <w:t xml:space="preserve"> 函数统一渲染（L488-685），包含 6 个独立区域。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4"/>
        <w:keepNext w:val="0"/>
        <w:keepLines w:val="0"/>
        <w:pageBreakBefore w:val="0"/>
        <w:spacing w:before="120" w:after="50" w:line="288" w:lineRule="auto"/>
        <w:outlineLvl w:val="3"/>
      </w:pPr>
      <w:r>
        <w:rPr>
          <w:rFonts w:ascii="Arial" w:hAnsi="Arial" w:eastAsia="Microsoft YaHei" w:cs="Arial"/>
          <w:b/>
          <w:color w:val="444444"/>
          <w:sz w:val="23"/>
        </w:rPr>
        <w:t>区域一：核心指标卡片（6 列）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163"/>
        <w:gridCol w:w="4652"/>
        <w:gridCol w:w="2825"/>
      </w:tblGrid>
      <w:tr>
        <w:tc>
          <w:tcPr>
            <w:tcW w:type="dxa" w:w="1163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指标</w:t>
            </w:r>
          </w:p>
        </w:tc>
        <w:tc>
          <w:tcPr>
            <w:tcW w:type="dxa" w:w="4652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数据来源</w:t>
            </w:r>
          </w:p>
        </w:tc>
        <w:tc>
          <w:tcPr>
            <w:tcW w:type="dxa" w:w="2825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格式</w:t>
            </w:r>
          </w:p>
        </w:tc>
      </w:tr>
      <w:tr>
        <w:tc>
          <w:tcPr>
            <w:tcW w:type="dxa" w:w="116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市值</w:t>
            </w:r>
          </w:p>
        </w:tc>
        <w:tc>
          <w:tcPr>
            <w:tcW w:type="dxa" w:w="465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2.0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row['market_value']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82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¥1,234,567</w:t>
            </w:r>
          </w:p>
        </w:tc>
      </w:tr>
      <w:tr>
        <w:tc>
          <w:tcPr>
            <w:tcW w:type="dxa" w:w="116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累计盈亏</w:t>
            </w:r>
          </w:p>
        </w:tc>
        <w:tc>
          <w:tcPr>
            <w:tcW w:type="dxa" w:w="465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55.8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row['pnl']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+ </w:t>
            </w:r>
            <w:r>
              <w:pict>
                <v:roundrect style="width:80.75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row['pnl_rate']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82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¥+12,345 (+5.67%)</w:t>
            </w:r>
          </w:p>
        </w:tc>
      </w:tr>
      <w:tr>
        <w:tc>
          <w:tcPr>
            <w:tcW w:type="dxa" w:w="116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年内收益</w:t>
            </w:r>
          </w:p>
        </w:tc>
        <w:tc>
          <w:tcPr>
            <w:tcW w:type="dxa" w:w="465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91.39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row['ytd_return']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82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+8.23%</w:t>
            </w:r>
          </w:p>
        </w:tc>
      </w:tr>
      <w:tr>
        <w:tc>
          <w:tcPr>
            <w:tcW w:type="dxa" w:w="116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Beta 系数</w:t>
            </w:r>
          </w:p>
        </w:tc>
        <w:tc>
          <w:tcPr>
            <w:tcW w:type="dxa" w:w="465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61.1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row['beta']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82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1.15</w:t>
            </w:r>
          </w:p>
        </w:tc>
      </w:tr>
      <w:tr>
        <w:tc>
          <w:tcPr>
            <w:tcW w:type="dxa" w:w="116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成本价</w:t>
            </w:r>
          </w:p>
        </w:tc>
        <w:tc>
          <w:tcPr>
            <w:tcW w:type="dxa" w:w="465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91.39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row['cost_price']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82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0.985</w:t>
            </w:r>
          </w:p>
        </w:tc>
      </w:tr>
      <w:tr>
        <w:tc>
          <w:tcPr>
            <w:tcW w:type="dxa" w:w="116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现价</w:t>
            </w:r>
          </w:p>
        </w:tc>
        <w:tc>
          <w:tcPr>
            <w:tcW w:type="dxa" w:w="465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7.35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row['current_price']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82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1.028 (+0.043)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20" w:after="50" w:line="288" w:lineRule="auto"/>
        <w:outlineLvl w:val="3"/>
      </w:pPr>
      <w:r>
        <w:rPr>
          <w:rFonts w:ascii="Arial" w:hAnsi="Arial" w:eastAsia="Microsoft YaHei" w:cs="Arial"/>
          <w:b/>
          <w:color w:val="444444"/>
          <w:sz w:val="23"/>
        </w:rPr>
        <w:t>区域二：价格走势图（左侧 3/4 宽度）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7740"/>
      </w:tblGrid>
      <w:tr>
        <w:tc>
          <w:tcPr>
            <w:tcW w:type="dxa" w:w="90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设计要素</w:t>
            </w:r>
          </w:p>
        </w:tc>
        <w:tc>
          <w:tcPr>
            <w:tcW w:type="dxa" w:w="774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数据源</w:t>
            </w:r>
          </w:p>
        </w:tc>
        <w:tc>
          <w:tcPr>
            <w:tcW w:type="dxa" w:w="77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98.2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load_etf_price_history(code, days=250)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，近 250 个交易日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曲线样式</w:t>
            </w:r>
          </w:p>
        </w:tc>
        <w:tc>
          <w:tcPr>
            <w:tcW w:type="dxa" w:w="77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蓝色折线（</w:t>
            </w:r>
            <w:r>
              <w:pict>
                <v:roundrect style="width:47.3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#58a6ff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），线宽 1.5，下方淡蓝渐变填充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成本线</w:t>
            </w:r>
          </w:p>
        </w:tc>
        <w:tc>
          <w:tcPr>
            <w:tcW w:type="dxa" w:w="77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黄色虚线（</w:t>
            </w:r>
            <w:r>
              <w:pict>
                <v:roundrect style="width:47.3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#f59e0b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），标注"成本 0.985"，左上角定位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降采样</w:t>
            </w:r>
          </w:p>
        </w:tc>
        <w:tc>
          <w:tcPr>
            <w:tcW w:type="dxa" w:w="77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超过 500 个数据点时自动降采样，保留边界值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交互</w:t>
            </w:r>
          </w:p>
        </w:tc>
        <w:tc>
          <w:tcPr>
            <w:tcW w:type="dxa" w:w="77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悬停显示日期和精确价格，x 轴月份刻度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20" w:after="50" w:line="288" w:lineRule="auto"/>
        <w:outlineLvl w:val="3"/>
      </w:pPr>
      <w:r>
        <w:rPr>
          <w:rFonts w:ascii="Arial" w:hAnsi="Arial" w:eastAsia="Microsoft YaHei" w:cs="Arial"/>
          <w:b/>
          <w:color w:val="444444"/>
          <w:sz w:val="23"/>
        </w:rPr>
        <w:t>区域三：技术指标面板（右侧 1/4 宽度）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4398"/>
        <w:gridCol w:w="3342"/>
      </w:tblGrid>
      <w:tr>
        <w:tc>
          <w:tcPr>
            <w:tcW w:type="dxa" w:w="90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指标</w:t>
            </w:r>
          </w:p>
        </w:tc>
        <w:tc>
          <w:tcPr>
            <w:tcW w:type="dxa" w:w="4398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数据源</w:t>
            </w:r>
          </w:p>
        </w:tc>
        <w:tc>
          <w:tcPr>
            <w:tcW w:type="dxa" w:w="3342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显示逻辑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趋势信号</w:t>
            </w:r>
          </w:p>
        </w:tc>
        <w:tc>
          <w:tcPr>
            <w:tcW w:type="dxa" w:w="439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82.4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latest['trend']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34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看多(绿) / 看空(红) / 中性(黄)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RSI</w:t>
            </w:r>
          </w:p>
        </w:tc>
        <w:tc>
          <w:tcPr>
            <w:tcW w:type="dxa" w:w="439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2.0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latest['rsi_value']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34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数值 + 颜色编码（超卖绿/超买红/中性白）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MA 信号</w:t>
            </w:r>
          </w:p>
        </w:tc>
        <w:tc>
          <w:tcPr>
            <w:tcW w:type="dxa" w:w="439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2.0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latest['ma_signal']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34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金叉/死叉/多头/空头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MACD</w:t>
            </w:r>
          </w:p>
        </w:tc>
        <w:tc>
          <w:tcPr>
            <w:tcW w:type="dxa" w:w="439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12.67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latest['macd_signal']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34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金叉/死叉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KDJ</w:t>
            </w:r>
          </w:p>
        </w:tc>
        <w:tc>
          <w:tcPr>
            <w:tcW w:type="dxa" w:w="439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7.35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latest['kdj_signal']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34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金叉/死叉/超买/超卖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布林位置</w:t>
            </w:r>
          </w:p>
        </w:tc>
        <w:tc>
          <w:tcPr>
            <w:tcW w:type="dxa" w:w="439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49.9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latest['bollinger_position']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34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上轨/中轨/下轨附近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ATR%</w:t>
            </w:r>
          </w:p>
        </w:tc>
        <w:tc>
          <w:tcPr>
            <w:tcW w:type="dxa" w:w="439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91.39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latest['atr_pct']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34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百分比格式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20" w:after="50" w:line="288" w:lineRule="auto"/>
        <w:outlineLvl w:val="3"/>
      </w:pPr>
      <w:r>
        <w:rPr>
          <w:rFonts w:ascii="Arial" w:hAnsi="Arial" w:eastAsia="Microsoft YaHei" w:cs="Arial"/>
          <w:b/>
          <w:color w:val="444444"/>
          <w:sz w:val="23"/>
        </w:rPr>
        <w:t>区域四：RSI 仪表条</w:t>
      </w:r>
    </w:p>
    <w:p>
      <w:pPr>
        <w:pStyle w:val="ListBullet"/>
        <w:numPr>
          <w:ilvl w:val="0"/>
          <w:numId w:val="11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水平条形图，0-100 区间，颜色根据 RSI 值动态变化</w:t>
      </w:r>
    </w:p>
    <w:p>
      <w:pPr>
        <w:pStyle w:val="ListBullet"/>
        <w:numPr>
          <w:ilvl w:val="0"/>
          <w:numId w:val="11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30 以下绿色（超卖区）、70 以上红色（超买区）、中间黄色（中性区）</w:t>
      </w:r>
    </w:p>
    <w:p>
      <w:pPr>
        <w:pStyle w:val="ListBullet"/>
        <w:numPr>
          <w:ilvl w:val="0"/>
          <w:numId w:val="11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30 和 70 位置标记半透明竖线，直观显示超买超卖阈值</w:t>
      </w:r>
    </w:p>
    <w:p>
      <w:pPr>
        <w:pStyle w:val="Heading4"/>
        <w:keepNext w:val="0"/>
        <w:keepLines w:val="0"/>
        <w:pageBreakBefore w:val="0"/>
        <w:spacing w:before="120" w:after="50" w:line="288" w:lineRule="auto"/>
        <w:outlineLvl w:val="3"/>
      </w:pPr>
      <w:r>
        <w:rPr>
          <w:rFonts w:ascii="Arial" w:hAnsi="Arial" w:eastAsia="Microsoft YaHei" w:cs="Arial"/>
          <w:b/>
          <w:color w:val="444444"/>
          <w:sz w:val="23"/>
        </w:rPr>
        <w:t>区域五：关键统计（左侧 1/3）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993"/>
        <w:gridCol w:w="6647"/>
      </w:tblGrid>
      <w:tr>
        <w:tc>
          <w:tcPr>
            <w:tcW w:type="dxa" w:w="1993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统计项</w:t>
            </w:r>
          </w:p>
        </w:tc>
        <w:tc>
          <w:tcPr>
            <w:tcW w:type="dxa" w:w="6647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计算方式</w:t>
            </w:r>
          </w:p>
        </w:tc>
      </w:tr>
      <w:tr>
        <w:tc>
          <w:tcPr>
            <w:tcW w:type="dxa" w:w="199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日均收益</w:t>
            </w:r>
          </w:p>
        </w:tc>
        <w:tc>
          <w:tcPr>
            <w:tcW w:type="dxa" w:w="664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9.0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daily_returns.mean()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199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日收益标准差</w:t>
            </w:r>
          </w:p>
        </w:tc>
        <w:tc>
          <w:tcPr>
            <w:tcW w:type="dxa" w:w="664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3.74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daily_returns.std()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199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最大单日涨幅</w:t>
            </w:r>
          </w:p>
        </w:tc>
        <w:tc>
          <w:tcPr>
            <w:tcW w:type="dxa" w:w="664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3.74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daily_returns.max()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199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最大单日跌幅</w:t>
            </w:r>
          </w:p>
        </w:tc>
        <w:tc>
          <w:tcPr>
            <w:tcW w:type="dxa" w:w="664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3.74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daily_returns.min()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199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数据天数</w:t>
            </w:r>
          </w:p>
        </w:tc>
        <w:tc>
          <w:tcPr>
            <w:tcW w:type="dxa" w:w="664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有效交易日数量</w:t>
            </w:r>
          </w:p>
        </w:tc>
      </w:tr>
      <w:tr>
        <w:tc>
          <w:tcPr>
            <w:tcW w:type="dxa" w:w="199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持仓市值占比</w:t>
            </w:r>
          </w:p>
        </w:tc>
        <w:tc>
          <w:tcPr>
            <w:tcW w:type="dxa" w:w="664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当前 ETF 市值 / 组合总市值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20" w:after="50" w:line="288" w:lineRule="auto"/>
        <w:outlineLvl w:val="3"/>
      </w:pPr>
      <w:r>
        <w:rPr>
          <w:rFonts w:ascii="Arial" w:hAnsi="Arial" w:eastAsia="Microsoft YaHei" w:cs="Arial"/>
          <w:b/>
          <w:color w:val="444444"/>
          <w:sz w:val="23"/>
        </w:rPr>
        <w:t>区域六：日收益率分布直方图（右侧 2/3）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0"/>
        <w:gridCol w:w="7680"/>
      </w:tblGrid>
      <w:tr>
        <w:tc>
          <w:tcPr>
            <w:tcW w:type="dxa" w:w="96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设计要素</w:t>
            </w:r>
          </w:p>
        </w:tc>
        <w:tc>
          <w:tcPr>
            <w:tcW w:type="dxa" w:w="768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说明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数据源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62.74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load_etf_detail(code, days=120)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的 </w:t>
            </w:r>
            <w:r>
              <w:pict>
                <v:roundrect style="width:76.95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current_price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序列计算日收益率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最小数据量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要求 ≥ 5 个有效数据点才渲染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直方图配置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30 个分箱，蓝色柱体（</w:t>
            </w:r>
            <w:r>
              <w:pict>
                <v:roundrect style="width:47.3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#58a6ff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），透明度 0.7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零线标注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黄色虚线标记零收益位置，区分涨跌区间</w:t>
            </w:r>
          </w:p>
        </w:tc>
      </w:tr>
      <w:tr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悬停</w:t>
            </w:r>
          </w:p>
        </w:tc>
        <w:tc>
          <w:tcPr>
            <w:tcW w:type="dxa" w:w="76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显示区间范围和出现次数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2.3 多基准指数选择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FFF"/>
            <w:tcBorders>
              <w:left w:val="single" w:sz="6" w:space="1" w:color="FDE68A"/>
              <w:right w:val="single" w:sz="6" w:space="1" w:color="FDE68A"/>
              <w:top w:val="single" w:sz="6" w:space="1" w:color="FDE68A"/>
              <w:bottom w:val="single" w:sz="6" w:space="1" w:color="FDE68A"/>
            </w:tcBorders>
            <w:tcMar>
              <w:top w:w="240" w:type="dxa"/>
              <w:right w:w="300" w:type="dxa"/>
              <w:bottom w:w="240" w:type="dxa"/>
              <w:left w:w="300" w:type="dxa"/>
            </w:tcMar>
          </w:tcPr>
          <w:p>
            <w:pPr>
              <w:pStyle w:val="Heading4"/>
              <w:keepNext w:val="0"/>
              <w:keepLines w:val="0"/>
              <w:pageBreakBefore w:val="0"/>
              <w:spacing w:before="0" w:line="288" w:lineRule="auto"/>
              <w:outlineLvl w:val="3"/>
            </w:pPr>
            <w:r>
              <w:rPr>
                <w:rFonts w:ascii="Arial" w:hAnsi="Arial" w:eastAsia="Microsoft YaHei" w:cs="Arial"/>
                <w:color w:val="854D0E"/>
                <w:sz w:val="24"/>
              </w:rPr>
              <w:t>功能概述</w:t>
            </w:r>
          </w:p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在侧边栏提供下拉选择器，用户可从 11 个主要指数中自由选择对比基准。选择后，净值走势图中的基准曲线实时切换，缓存自动预热。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5008"/>
        <w:gridCol w:w="2732"/>
      </w:tblGrid>
      <w:tr>
        <w:tc>
          <w:tcPr>
            <w:tcW w:type="dxa" w:w="90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组件</w:t>
            </w:r>
          </w:p>
        </w:tc>
        <w:tc>
          <w:tcPr>
            <w:tcW w:type="dxa" w:w="5008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实现细节</w:t>
            </w:r>
          </w:p>
        </w:tc>
        <w:tc>
          <w:tcPr>
            <w:tcW w:type="dxa" w:w="2732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代码位置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侧边栏 UI</w:t>
            </w:r>
          </w:p>
        </w:tc>
        <w:tc>
          <w:tcPr>
            <w:tcW w:type="dxa" w:w="500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Consolas" w:hAnsi="Consolas" w:eastAsia="Microsoft YaHei" w:cs="Consolas"/>
                <w:color w:val="1A1A1A"/>
                <w:sz w:val="19"/>
                <w:shd w:val="clear" w:color="auto" w:fill="F0F0F0"/>
              </w:rPr>
              <w:t>st.selectbox("对比基准", options=benchmark_keys, format_func=...)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，显示中文名称</w:t>
            </w:r>
          </w:p>
        </w:tc>
        <w:tc>
          <w:tcPr>
            <w:tcW w:type="dxa" w:w="273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L866-872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默认基准</w:t>
            </w:r>
          </w:p>
        </w:tc>
        <w:tc>
          <w:tcPr>
            <w:tcW w:type="dxa" w:w="500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沪深 300（</w:t>
            </w:r>
            <w:r>
              <w:pict>
                <v:roundrect style="width:53.2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sh000300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）</w:t>
            </w:r>
          </w:p>
        </w:tc>
        <w:tc>
          <w:tcPr>
            <w:tcW w:type="dxa" w:w="273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L863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可选基准</w:t>
            </w:r>
          </w:p>
        </w:tc>
        <w:tc>
          <w:tcPr>
            <w:tcW w:type="dxa" w:w="500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上证指数、深证成指、沪深 300、中证 500、中证 1000、创业板指、科创 50、创业板 50、中证酒、中证医疗、红利指数</w:t>
            </w:r>
          </w:p>
        </w:tc>
        <w:tc>
          <w:tcPr>
            <w:tcW w:type="dxa" w:w="273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81.5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INDEX_CODES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settings.py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数据函数</w:t>
            </w:r>
          </w:p>
        </w:tc>
        <w:tc>
          <w:tcPr>
            <w:tcW w:type="dxa" w:w="500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Consolas" w:hAnsi="Consolas" w:eastAsia="Microsoft YaHei" w:cs="Consolas"/>
                <w:color w:val="1A1A1A"/>
                <w:sz w:val="19"/>
                <w:shd w:val="clear" w:color="auto" w:fill="F0F0F0"/>
              </w:rPr>
              <w:t>load_benchmark_comparison(code, days, end_date)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— 从 </w:t>
            </w:r>
            <w:r>
              <w:pict>
                <v:roundrect style="width:71.6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index_quotes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表加载指定指数行情</w:t>
            </w:r>
          </w:p>
        </w:tc>
        <w:tc>
          <w:tcPr>
            <w:tcW w:type="dxa" w:w="273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L724-748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缓存预热</w:t>
            </w:r>
          </w:p>
        </w:tc>
        <w:tc>
          <w:tcPr>
            <w:tcW w:type="dxa" w:w="500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预热循环中自动覆盖当前选中的基准（</w:t>
            </w:r>
            <w:r>
              <w:pict>
                <v:roundrect style="width:103.55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selected_benchmark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）</w:t>
            </w:r>
          </w:p>
        </w:tc>
        <w:tc>
          <w:tcPr>
            <w:tcW w:type="dxa" w:w="273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L962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净值图联动</w:t>
            </w:r>
          </w:p>
        </w:tc>
        <w:tc>
          <w:tcPr>
            <w:tcW w:type="dxa" w:w="500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基准指数按相同的 100 基点归一化，与组合净值同框对比</w:t>
            </w:r>
          </w:p>
        </w:tc>
        <w:tc>
          <w:tcPr>
            <w:tcW w:type="dxa" w:w="273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L1049-1060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2.4 行业权重堆叠面积图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FFF"/>
            <w:tcBorders>
              <w:left w:val="single" w:sz="6" w:space="1" w:color="FDE68A"/>
              <w:right w:val="single" w:sz="6" w:space="1" w:color="FDE68A"/>
              <w:top w:val="single" w:sz="6" w:space="1" w:color="FDE68A"/>
              <w:bottom w:val="single" w:sz="6" w:space="1" w:color="FDE68A"/>
            </w:tcBorders>
            <w:tcMar>
              <w:top w:w="240" w:type="dxa"/>
              <w:right w:w="300" w:type="dxa"/>
              <w:bottom w:w="240" w:type="dxa"/>
              <w:left w:w="300" w:type="dxa"/>
            </w:tcMar>
          </w:tcPr>
          <w:p>
            <w:pPr>
              <w:pStyle w:val="Heading4"/>
              <w:keepNext w:val="0"/>
              <w:keepLines w:val="0"/>
              <w:pageBreakBefore w:val="0"/>
              <w:spacing w:before="0" w:line="288" w:lineRule="auto"/>
              <w:outlineLvl w:val="3"/>
            </w:pPr>
            <w:r>
              <w:rPr>
                <w:rFonts w:ascii="Arial" w:hAnsi="Arial" w:eastAsia="Microsoft YaHei" w:cs="Arial"/>
                <w:color w:val="854D0E"/>
                <w:sz w:val="24"/>
              </w:rPr>
              <w:t>功能概述</w:t>
            </w:r>
          </w:p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按行业维度聚合持仓权重历史，展示组合行业配置的时间演变趋势，帮助评估行业集中度风险。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4800"/>
        <w:gridCol w:w="2940"/>
      </w:tblGrid>
      <w:tr>
        <w:tc>
          <w:tcPr>
            <w:tcW w:type="dxa" w:w="90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组件</w:t>
            </w:r>
          </w:p>
        </w:tc>
        <w:tc>
          <w:tcPr>
            <w:tcW w:type="dxa" w:w="480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实现细节</w:t>
            </w:r>
          </w:p>
        </w:tc>
        <w:tc>
          <w:tcPr>
            <w:tcW w:type="dxa" w:w="294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代码位置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数据函数</w:t>
            </w:r>
          </w:p>
        </w:tc>
        <w:tc>
          <w:tcPr>
            <w:tcW w:type="dxa" w:w="48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Consolas" w:hAnsi="Consolas" w:eastAsia="Microsoft YaHei" w:cs="Consolas"/>
                <w:color w:val="1A1A1A"/>
                <w:sz w:val="19"/>
                <w:shd w:val="clear" w:color="auto" w:fill="F0F0F0"/>
              </w:rPr>
              <w:t>load_sector_weights(days=250, end_date=None)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— 从 </w:t>
            </w:r>
            <w:r>
              <w:pict>
                <v:roundrect style="width:108.87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portfolio_snapshots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聚合各行业每日总市值，计算权重百分比</w:t>
            </w:r>
          </w:p>
        </w:tc>
        <w:tc>
          <w:tcPr>
            <w:tcW w:type="dxa" w:w="29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L751-800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行业分类</w:t>
            </w:r>
          </w:p>
        </w:tc>
        <w:tc>
          <w:tcPr>
            <w:tcW w:type="dxa" w:w="48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8 个行业：医药、金融、军工、新能源、科技、宽基、红利、债券</w:t>
            </w:r>
          </w:p>
        </w:tc>
        <w:tc>
          <w:tcPr>
            <w:tcW w:type="dxa" w:w="29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2.0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ETF_CATEGORIES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settings.py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ETF 映射</w:t>
            </w:r>
          </w:p>
        </w:tc>
        <w:tc>
          <w:tcPr>
            <w:tcW w:type="dxa" w:w="48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每个 ETF 配置所属行业和颜色，未配置的归入"其他"行业</w:t>
            </w:r>
          </w:p>
        </w:tc>
        <w:tc>
          <w:tcPr>
            <w:tcW w:type="dxa" w:w="29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23 个 ETF 已分类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可视化</w:t>
            </w:r>
          </w:p>
        </w:tc>
        <w:tc>
          <w:tcPr>
            <w:tcW w:type="dxa" w:w="48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Plotly 堆叠面积图，各行业使用 </w:t>
            </w:r>
            <w:r>
              <w:pict>
                <v:roundrect style="width:95.19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SECTOR_COLORS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独立配色</w:t>
            </w:r>
          </w:p>
        </w:tc>
        <w:tc>
          <w:tcPr>
            <w:tcW w:type="dxa" w:w="29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L1261-1291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底部统计</w:t>
            </w:r>
          </w:p>
        </w:tc>
        <w:tc>
          <w:tcPr>
            <w:tcW w:type="dxa" w:w="48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显示覆盖行业数、最大/最小权重行业及数值、数据截止日期</w:t>
            </w:r>
          </w:p>
        </w:tc>
        <w:tc>
          <w:tcPr>
            <w:tcW w:type="dxa" w:w="29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L1292-1295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UI 位置</w:t>
            </w:r>
          </w:p>
        </w:tc>
        <w:tc>
          <w:tcPr>
            <w:tcW w:type="dxa" w:w="48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Tab2 持仓分布，ETF 详细列表上方</w:t>
            </w:r>
          </w:p>
        </w:tc>
        <w:tc>
          <w:tcPr>
            <w:tcW w:type="dxa" w:w="29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L1257</w:t>
            </w:r>
          </w:p>
        </w:tc>
      </w:tr>
    </w:tbl>
    <w:p>
      <w:pPr>
        <w:pStyle w:val="Heading4"/>
        <w:keepNext w:val="0"/>
        <w:keepLines w:val="0"/>
        <w:pageBreakBefore w:val="0"/>
        <w:spacing w:before="120" w:after="50" w:line="288" w:lineRule="auto"/>
        <w:outlineLvl w:val="3"/>
      </w:pPr>
      <w:r>
        <w:rPr>
          <w:rFonts w:ascii="Arial" w:hAnsi="Arial" w:eastAsia="Microsoft YaHei" w:cs="Arial"/>
          <w:b/>
          <w:color w:val="444444"/>
          <w:sz w:val="23"/>
        </w:rPr>
        <w:t>行业配色方案</w:t>
      </w:r>
    </w:p>
    <w:tbl>
      <w:tblPr>
        <w:tblStyle w:val="TableGrid"/>
        <w:tblW w:type="dxa" w:w="794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1499"/>
        <w:gridCol w:w="5549"/>
      </w:tblGrid>
      <w:tr>
        <w:tc>
          <w:tcPr>
            <w:tcW w:type="dxa" w:w="900"/>
            <w:shd w:val="clear" w:color="auto" w:fill="FBBF2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19"/>
                <w:shd w:val="clear" w:color="auto" w:fill="FBBF24"/>
              </w:rPr>
              <w:t>行业</w:t>
            </w:r>
          </w:p>
        </w:tc>
        <w:tc>
          <w:tcPr>
            <w:tcW w:type="dxa" w:w="1499"/>
            <w:shd w:val="clear" w:color="auto" w:fill="FBBF2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19"/>
                <w:shd w:val="clear" w:color="auto" w:fill="FBBF24"/>
              </w:rPr>
              <w:t>颜色</w:t>
            </w:r>
          </w:p>
        </w:tc>
        <w:tc>
          <w:tcPr>
            <w:tcW w:type="dxa" w:w="5549"/>
            <w:shd w:val="clear" w:color="auto" w:fill="FBBF24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19"/>
                <w:shd w:val="clear" w:color="auto" w:fill="FBBF24"/>
              </w:rPr>
              <w:t>代表 ETF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医药</w:t>
            </w:r>
          </w:p>
        </w:tc>
        <w:tc>
          <w:tcPr>
            <w:tcW w:type="dxa" w:w="149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#22c55e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绿色</w:t>
            </w:r>
          </w:p>
        </w:tc>
        <w:tc>
          <w:tcPr>
            <w:tcW w:type="dxa" w:w="554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医药ETF、创新药ETF银华、创新药ETF广发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金融</w:t>
            </w:r>
          </w:p>
        </w:tc>
        <w:tc>
          <w:tcPr>
            <w:tcW w:type="dxa" w:w="149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3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#58a6ff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蓝色</w:t>
            </w:r>
          </w:p>
        </w:tc>
        <w:tc>
          <w:tcPr>
            <w:tcW w:type="dxa" w:w="554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证券ETF华夏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军工</w:t>
            </w:r>
          </w:p>
        </w:tc>
        <w:tc>
          <w:tcPr>
            <w:tcW w:type="dxa" w:w="149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#ef4444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红色</w:t>
            </w:r>
          </w:p>
        </w:tc>
        <w:tc>
          <w:tcPr>
            <w:tcW w:type="dxa" w:w="554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军工ETF华宝、航天ETF华安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新能源</w:t>
            </w:r>
          </w:p>
        </w:tc>
        <w:tc>
          <w:tcPr>
            <w:tcW w:type="dxa" w:w="149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3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#f59e0b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黄色</w:t>
            </w:r>
          </w:p>
        </w:tc>
        <w:tc>
          <w:tcPr>
            <w:tcW w:type="dxa" w:w="554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新能源ETF南方、电池ETF招商、电池ETF汇添富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科技</w:t>
            </w:r>
          </w:p>
        </w:tc>
        <w:tc>
          <w:tcPr>
            <w:tcW w:type="dxa" w:w="149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#a855f7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紫色</w:t>
            </w:r>
          </w:p>
        </w:tc>
        <w:tc>
          <w:tcPr>
            <w:tcW w:type="dxa" w:w="554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人工智能ETF、机器人ETF、消费电子ETF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宽基</w:t>
            </w:r>
          </w:p>
        </w:tc>
        <w:tc>
          <w:tcPr>
            <w:tcW w:type="dxa" w:w="149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#8b949e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灰色</w:t>
            </w:r>
          </w:p>
        </w:tc>
        <w:tc>
          <w:tcPr>
            <w:tcW w:type="dxa" w:w="554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沪深300ETF、中证500ETF、中证1000ETF、创业板50ETF、科创50ETF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红利</w:t>
            </w:r>
          </w:p>
        </w:tc>
        <w:tc>
          <w:tcPr>
            <w:tcW w:type="dxa" w:w="149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#06b6d4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青色</w:t>
            </w:r>
          </w:p>
        </w:tc>
        <w:tc>
          <w:tcPr>
            <w:tcW w:type="dxa" w:w="554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港股通红利低波ETF、红利低波ETF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债券</w:t>
            </w:r>
          </w:p>
        </w:tc>
        <w:tc>
          <w:tcPr>
            <w:tcW w:type="dxa" w:w="149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5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#ec4899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粉色</w:t>
            </w:r>
          </w:p>
        </w:tc>
        <w:tc>
          <w:tcPr>
            <w:tcW w:type="dxa" w:w="554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政金债ETF、国开债ETF、可转债ETF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2.5 CSV 数据导出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25"/>
        <w:gridCol w:w="6171"/>
        <w:gridCol w:w="1544"/>
      </w:tblGrid>
      <w:tr>
        <w:tc>
          <w:tcPr>
            <w:tcW w:type="dxa" w:w="925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功能</w:t>
            </w:r>
          </w:p>
        </w:tc>
        <w:tc>
          <w:tcPr>
            <w:tcW w:type="dxa" w:w="6171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实现</w:t>
            </w:r>
          </w:p>
        </w:tc>
        <w:tc>
          <w:tcPr>
            <w:tcW w:type="dxa" w:w="1544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代码位置</w:t>
            </w:r>
          </w:p>
        </w:tc>
      </w:tr>
      <w:tr>
        <w:tc>
          <w:tcPr>
            <w:tcW w:type="dxa" w:w="92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持仓数据导出</w:t>
            </w:r>
          </w:p>
        </w:tc>
        <w:tc>
          <w:tcPr>
            <w:tcW w:type="dxa" w:w="61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19.70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export_positions_csv()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— 将持仓 DataFrame 转为 CSV，通过 </w:t>
            </w:r>
            <w:r>
              <w:pict>
                <v:roundrect style="width:101.84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st.download_button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提供下载</w:t>
            </w:r>
          </w:p>
        </w:tc>
        <w:tc>
          <w:tcPr>
            <w:tcW w:type="dxa" w:w="154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L803-812</w:t>
            </w:r>
          </w:p>
        </w:tc>
      </w:tr>
      <w:tr>
        <w:tc>
          <w:tcPr>
            <w:tcW w:type="dxa" w:w="92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收益数据导出</w:t>
            </w:r>
          </w:p>
        </w:tc>
        <w:tc>
          <w:tcPr>
            <w:tcW w:type="dxa" w:w="61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9.0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export_summary_csv()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— 将收益序列 DataFrame 转为 CSV 下载</w:t>
            </w:r>
          </w:p>
        </w:tc>
        <w:tc>
          <w:tcPr>
            <w:tcW w:type="dxa" w:w="154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L814-820</w:t>
            </w:r>
          </w:p>
        </w:tc>
      </w:tr>
      <w:tr>
        <w:tc>
          <w:tcPr>
            <w:tcW w:type="dxa" w:w="92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UI 设计</w:t>
            </w:r>
          </w:p>
        </w:tc>
        <w:tc>
          <w:tcPr>
            <w:tcW w:type="dxa" w:w="61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页脚导出区域，3 列布局，按钮采用深色主题风格</w:t>
            </w:r>
          </w:p>
        </w:tc>
        <w:tc>
          <w:tcPr>
            <w:tcW w:type="dxa" w:w="154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L1741-1765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80" w:after="60" w:line="288" w:lineRule="auto"/>
        <w:outlineLvl w:val="2"/>
      </w:pPr>
      <w:r>
        <w:rPr>
          <w:rFonts w:ascii="Arial" w:hAnsi="Arial" w:eastAsia="Microsoft YaHei" w:cs="Arial"/>
          <w:b/>
          <w:color w:val="21262D"/>
          <w:sz w:val="26"/>
        </w:rPr>
        <w:t>2.6 智能分析建议集成</w:t>
      </w:r>
    </w:p>
    <w:p>
      <w:pPr>
        <w:pStyle w:val="ListBullet"/>
        <w:numPr>
          <w:ilvl w:val="0"/>
          <w:numId w:val="12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 xml:space="preserve">自动扫描 </w:t>
      </w:r>
      <w:r>
        <w:pict>
          <v:roundrect style="width:160.55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data/reports/smart_report_*.md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>，加载最新报告</w:t>
      </w:r>
    </w:p>
    <w:p>
      <w:pPr>
        <w:pStyle w:val="ListBullet"/>
        <w:numPr>
          <w:ilvl w:val="0"/>
          <w:numId w:val="12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在页脚区域以可折叠面板展示，默认收起</w:t>
      </w:r>
    </w:p>
    <w:p>
      <w:pPr>
        <w:pStyle w:val="ListBullet"/>
        <w:numPr>
          <w:ilvl w:val="0"/>
          <w:numId w:val="12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报告内容截断至 3000 字符，避免页面过长</w:t>
      </w:r>
    </w:p>
    <w:p>
      <w:pPr>
        <w:pStyle w:val="ListBullet"/>
        <w:numPr>
          <w:ilvl w:val="0"/>
          <w:numId w:val="12"/>
        </w:numPr>
        <w:spacing w:after="30" w:line="288" w:lineRule="auto"/>
        <w:ind w:left="620" w:hanging="360"/>
      </w:pPr>
      <w:r>
        <w:rPr>
          <w:rFonts w:ascii="Arial" w:hAnsi="Arial" w:eastAsia="Microsoft YaHei" w:cs="Arial"/>
          <w:color w:val="1A1A1A"/>
          <w:sz w:val="22"/>
        </w:rPr>
        <w:t>UI 位置：L1732</w:t>
      </w:r>
    </w:p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F59E0B"/>
        </w:pBdr>
      </w:pPr>
      <w:r>
        <w:rPr>
          <w:rFonts w:ascii="Arial" w:hAnsi="Arial" w:eastAsia="Microsoft YaHei" w:cs="Arial"/>
          <w:b/>
          <w:color w:val="854D0E"/>
          <w:sz w:val="32"/>
        </w:rPr>
        <w:t>三、新增数据函数汇总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26"/>
        <w:gridCol w:w="900"/>
        <w:gridCol w:w="2329"/>
        <w:gridCol w:w="900"/>
        <w:gridCol w:w="2085"/>
      </w:tblGrid>
      <w:tr>
        <w:tc>
          <w:tcPr>
            <w:tcW w:type="dxa" w:w="2426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函数名</w:t>
            </w:r>
          </w:p>
        </w:tc>
        <w:tc>
          <w:tcPr>
            <w:tcW w:type="dxa" w:w="90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行号</w:t>
            </w:r>
          </w:p>
        </w:tc>
        <w:tc>
          <w:tcPr>
            <w:tcW w:type="dxa" w:w="2329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参数</w:t>
            </w:r>
          </w:p>
        </w:tc>
        <w:tc>
          <w:tcPr>
            <w:tcW w:type="dxa" w:w="90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TTL</w:t>
            </w:r>
          </w:p>
        </w:tc>
        <w:tc>
          <w:tcPr>
            <w:tcW w:type="dxa" w:w="2085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返回值</w:t>
            </w:r>
          </w:p>
        </w:tc>
      </w:tr>
      <w:tr>
        <w:tc>
          <w:tcPr>
            <w:tcW w:type="dxa" w:w="24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28.44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load_correlation_matrix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L352</w:t>
            </w:r>
          </w:p>
        </w:tc>
        <w:tc>
          <w:tcPr>
            <w:tcW w:type="dxa" w:w="232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days=250, end_date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300s</w:t>
            </w:r>
          </w:p>
        </w:tc>
        <w:tc>
          <w:tcPr>
            <w:tcW w:type="dxa" w:w="208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(DataFrame, dict) 相关系数矩阵 + 短名称映射</w:t>
            </w:r>
          </w:p>
        </w:tc>
      </w:tr>
      <w:tr>
        <w:tc>
          <w:tcPr>
            <w:tcW w:type="dxa" w:w="24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85.8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load_etf_detail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L419</w:t>
            </w:r>
          </w:p>
        </w:tc>
        <w:tc>
          <w:tcPr>
            <w:tcW w:type="dxa" w:w="232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code, days=120, end_date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300s</w:t>
            </w:r>
          </w:p>
        </w:tc>
        <w:tc>
          <w:tcPr>
            <w:tcW w:type="dxa" w:w="208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(DataFrame, str) ETF快照+技术指标 + 名称</w:t>
            </w:r>
          </w:p>
        </w:tc>
      </w:tr>
      <w:tr>
        <w:tc>
          <w:tcPr>
            <w:tcW w:type="dxa" w:w="24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21.41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load_etf_price_history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L689</w:t>
            </w:r>
          </w:p>
        </w:tc>
        <w:tc>
          <w:tcPr>
            <w:tcW w:type="dxa" w:w="232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code, days=250, end_date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300s</w:t>
            </w:r>
          </w:p>
        </w:tc>
        <w:tc>
          <w:tcPr>
            <w:tcW w:type="dxa" w:w="208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(DataFrame, str) 价格历史 + 名称</w:t>
            </w:r>
          </w:p>
        </w:tc>
      </w:tr>
      <w:tr>
        <w:tc>
          <w:tcPr>
            <w:tcW w:type="dxa" w:w="24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39.0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load_benchmark_comparison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L724</w:t>
            </w:r>
          </w:p>
        </w:tc>
        <w:tc>
          <w:tcPr>
            <w:tcW w:type="dxa" w:w="232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code, days=250, end_date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300s</w:t>
            </w:r>
          </w:p>
        </w:tc>
        <w:tc>
          <w:tcPr>
            <w:tcW w:type="dxa" w:w="208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DataFrame 基准指数行情</w:t>
            </w:r>
          </w:p>
        </w:tc>
      </w:tr>
      <w:tr>
        <w:tc>
          <w:tcPr>
            <w:tcW w:type="dxa" w:w="24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7.16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load_sector_weights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L751</w:t>
            </w:r>
          </w:p>
        </w:tc>
        <w:tc>
          <w:tcPr>
            <w:tcW w:type="dxa" w:w="232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days=250, end_date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300s</w:t>
            </w:r>
          </w:p>
        </w:tc>
        <w:tc>
          <w:tcPr>
            <w:tcW w:type="dxa" w:w="208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(DataFrame, dict) 行业权重时序 + 颜色映射</w:t>
            </w:r>
          </w:p>
        </w:tc>
      </w:tr>
      <w:tr>
        <w:tc>
          <w:tcPr>
            <w:tcW w:type="dxa" w:w="24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12.4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export_positions_csv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L803</w:t>
            </w:r>
          </w:p>
        </w:tc>
        <w:tc>
          <w:tcPr>
            <w:tcW w:type="dxa" w:w="232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positions_df, filename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-</w:t>
            </w:r>
          </w:p>
        </w:tc>
        <w:tc>
          <w:tcPr>
            <w:tcW w:type="dxa" w:w="208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(href, filename) 下载链接</w:t>
            </w:r>
          </w:p>
        </w:tc>
      </w:tr>
      <w:tr>
        <w:tc>
          <w:tcPr>
            <w:tcW w:type="dxa" w:w="24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1.84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export_summary_csv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L814</w:t>
            </w:r>
          </w:p>
        </w:tc>
        <w:tc>
          <w:tcPr>
            <w:tcW w:type="dxa" w:w="232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summary_df, filename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-</w:t>
            </w:r>
          </w:p>
        </w:tc>
        <w:tc>
          <w:tcPr>
            <w:tcW w:type="dxa" w:w="208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(href, filename) 下载链接</w:t>
            </w:r>
          </w:p>
        </w:tc>
      </w:tr>
      <w:tr>
        <w:tc>
          <w:tcPr>
            <w:tcW w:type="dxa" w:w="24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30.34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_render_etf_detail_panel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L488</w:t>
            </w:r>
          </w:p>
        </w:tc>
        <w:tc>
          <w:tcPr>
            <w:tcW w:type="dxa" w:w="232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row, selected_date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-</w:t>
            </w:r>
          </w:p>
        </w:tc>
        <w:tc>
          <w:tcPr>
            <w:tcW w:type="dxa" w:w="208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None（直接渲染 UI）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F59E0B"/>
        </w:pBdr>
      </w:pPr>
      <w:r>
        <w:rPr>
          <w:rFonts w:ascii="Arial" w:hAnsi="Arial" w:eastAsia="Microsoft YaHei" w:cs="Arial"/>
          <w:b/>
          <w:color w:val="854D0E"/>
          <w:sz w:val="32"/>
        </w:rPr>
        <w:t>四、配置文件变更</w:t>
      </w:r>
    </w:p>
    <w:p>
      <w:pPr>
        <w:spacing w:line="288" w:lineRule="auto"/>
      </w:pPr>
      <w:r>
        <w:pict>
          <v:roundrect style="width:101.84pt;height:18.60pt;v-text-anchor:middle" o:allowincell="t" filled="t" fillcolor="#F0F0F0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config/settings.py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新增以下配置：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240"/>
        <w:gridCol w:w="6400"/>
      </w:tblGrid>
      <w:tr>
        <w:tc>
          <w:tcPr>
            <w:tcW w:type="dxa" w:w="224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配置项</w:t>
            </w:r>
          </w:p>
        </w:tc>
        <w:tc>
          <w:tcPr>
            <w:tcW w:type="dxa" w:w="640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说明</w:t>
            </w:r>
          </w:p>
        </w:tc>
      </w:tr>
      <w:tr>
        <w:tc>
          <w:tcPr>
            <w:tcW w:type="dxa" w:w="2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102.03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ETF_CATEGORIES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64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23 个 ETF 的行业分类和颜色配置字典，键为代码（去掉市场前缀），值为 {name, sector, color}</w:t>
            </w:r>
          </w:p>
        </w:tc>
      </w:tr>
      <w:tr>
        <w:tc>
          <w:tcPr>
            <w:tcW w:type="dxa" w:w="2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95.19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SECTOR_COLORS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64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8 个行业的统一颜色映射，用于图表渲染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F59E0B"/>
        </w:pBdr>
      </w:pPr>
      <w:r>
        <w:rPr>
          <w:rFonts w:ascii="Arial" w:hAnsi="Arial" w:eastAsia="Microsoft YaHei" w:cs="Arial"/>
          <w:b/>
          <w:color w:val="854D0E"/>
          <w:sz w:val="32"/>
        </w:rPr>
        <w:t>五、代码改动明细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1420"/>
        <w:gridCol w:w="1656"/>
        <w:gridCol w:w="4664"/>
      </w:tblGrid>
      <w:tr>
        <w:tc>
          <w:tcPr>
            <w:tcW w:type="dxa" w:w="90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Commit</w:t>
            </w:r>
          </w:p>
        </w:tc>
        <w:tc>
          <w:tcPr>
            <w:tcW w:type="dxa" w:w="1420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文件</w:t>
            </w:r>
          </w:p>
        </w:tc>
        <w:tc>
          <w:tcPr>
            <w:tcW w:type="dxa" w:w="1656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改动量</w:t>
            </w:r>
          </w:p>
        </w:tc>
        <w:tc>
          <w:tcPr>
            <w:tcW w:type="dxa" w:w="4664"/>
            <w:shd w:val="clear" w:color="auto" w:fill="854D0E"/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20"/>
                <w:shd w:val="clear" w:color="auto" w:fill="854D0E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8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398c138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42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dashboard.py</w:t>
            </w:r>
          </w:p>
        </w:tc>
        <w:tc>
          <w:tcPr>
            <w:tcW w:type="dxa" w:w="16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+200 行</w:t>
            </w:r>
          </w:p>
        </w:tc>
        <w:tc>
          <w:tcPr>
            <w:tcW w:type="dxa" w:w="46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初始 P1 实现：相关性矩阵、ETF 详情抽屉、多基准选择器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pict>
                <v:roundrect style="width:47.88pt;height:18.60pt;v-text-anchor:middle" o:allowincell="t" filled="t" fillcolor="#F0F0F0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0d66958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42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dashboard.py</w:t>
            </w:r>
          </w:p>
        </w:tc>
        <w:tc>
          <w:tcPr>
            <w:tcW w:type="dxa" w:w="16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+262 行 / -45 行</w:t>
            </w:r>
          </w:p>
        </w:tc>
        <w:tc>
          <w:tcPr>
            <w:tcW w:type="dxa" w:w="46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5" w:type="dxa"/>
              <w:right w:w="97" w:type="dxa"/>
              <w:bottom w:w="15" w:type="dxa"/>
              <w:left w:w="97" w:type="dxa"/>
            </w:tcMar>
            <w:vAlign w:val="top"/>
          </w:tcPr>
          <w:p>
            <w:pPr>
              <w:spacing w:line="288" w:lineRule="auto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完善 P1：ETF 详情增强（6 区域）、行业权重图、CSV 导出、智能建议集成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F59E0B"/>
        </w:pBdr>
      </w:pPr>
      <w:r>
        <w:rPr>
          <w:rFonts w:ascii="Arial" w:hAnsi="Arial" w:eastAsia="Microsoft YaHei" w:cs="Arial"/>
          <w:b/>
          <w:color w:val="854D0E"/>
          <w:sz w:val="32"/>
        </w:rPr>
        <w:t>六、验证结果</w:t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BEB"/>
            <w:tcBorders>
              <w:left w:val="single" w:sz="18" w:space="1" w:color="F59E0B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Dashboard 启动：健康检查 200 OK，零 WARNING、零 ERROR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BEB"/>
            <w:tcBorders>
              <w:left w:val="single" w:sz="18" w:space="1" w:color="F59E0B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相关性矩阵热力图：正确计算 Pearson 系数，颜色映射和数值标注准确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BEB"/>
            <w:tcBorders>
              <w:left w:val="single" w:sz="18" w:space="1" w:color="F59E0B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ETF 详情面板：6 个区域完整渲染，价格走势含成本线，技术指标和 RSI 仪表条正确显示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BEB"/>
            <w:tcBorders>
              <w:left w:val="single" w:sz="18" w:space="1" w:color="F59E0B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多基准选择器：11 个指数均可选择，切换后净值图基准曲线实时更新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BEB"/>
            <w:tcBorders>
              <w:left w:val="single" w:sz="18" w:space="1" w:color="F59E0B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行业权重面积图：8 个行业正确聚合，颜色与配置一致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BEB"/>
            <w:tcBorders>
              <w:left w:val="single" w:sz="18" w:space="1" w:color="F59E0B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CSV 导出：持仓和收益数据均可正常下载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BEB"/>
            <w:tcBorders>
              <w:left w:val="single" w:sz="18" w:space="1" w:color="F59E0B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缓存预热：包含基准指数的缓存预热覆盖完整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spacing w:before="0" w:after="0" w:line="100" w:lineRule="exact"/>
      </w:pPr>
      <w:r>
        <w:rPr>
          <w:sz w:val="10"/>
        </w:rPr>
      </w:r>
    </w:p>
    <w:p>
      <w:pPr>
        <w:spacing w:before="0" w:after="0" w:line="30" w:lineRule="exact"/>
      </w:pPr>
      <w:r>
        <w:rPr>
          <w:sz w:val="3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BEB"/>
            <w:tcBorders>
              <w:left w:val="single" w:sz="18" w:space="1" w:color="F59E0B"/>
            </w:tcBorders>
            <w:tcMar>
              <w:top w:w="90" w:type="dxa"/>
              <w:right w:w="180" w:type="dxa"/>
              <w:bottom w:w="9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1A1A1A"/>
                <w:sz w:val="21"/>
              </w:rPr>
              <w:t>Git 提交：工作区干净，无未提交变更</w:t>
            </w:r>
          </w:p>
        </w:tc>
      </w:tr>
    </w:tbl>
    <w:p>
      <w:pPr>
        <w:spacing w:before="0" w:after="0" w:line="30" w:lineRule="exact"/>
      </w:pPr>
      <w:r>
        <w:rPr>
          <w:sz w:val="3"/>
        </w:rPr>
      </w:r>
    </w:p>
    <w:p>
      <w:pPr>
        <w:pStyle w:val="Heading2"/>
        <w:keepNext w:val="0"/>
        <w:keepLines w:val="0"/>
        <w:pageBreakBefore w:val="0"/>
        <w:spacing w:before="270" w:after="70" w:line="288" w:lineRule="auto"/>
        <w:ind w:left="60" w:firstLine="180"/>
        <w:outlineLvl w:val="1"/>
        <w:pBdr>
          <w:left w:val="single" w:sz="24" w:space="1" w:color="F59E0B"/>
        </w:pBdr>
      </w:pPr>
      <w:r>
        <w:rPr>
          <w:rFonts w:ascii="Arial" w:hAnsi="Arial" w:eastAsia="Microsoft YaHei" w:cs="Arial"/>
          <w:b/>
          <w:color w:val="854D0E"/>
          <w:sz w:val="32"/>
        </w:rPr>
        <w:t>七、后续衔接</w:t>
      </w:r>
    </w:p>
    <w:p>
      <w:pPr>
        <w:spacing w:line="288" w:lineRule="auto"/>
      </w:pPr>
      <w:r>
        <w:rPr>
          <w:rFonts w:ascii="Arial" w:hAnsi="Arial" w:eastAsia="Microsoft YaHei" w:cs="Arial"/>
          <w:color w:val="1A1A1A"/>
          <w:sz w:val="22"/>
        </w:rPr>
        <w:t>P1 改进完成后，Dashboard 已具备持仓级分析、多基准对比和行业维度视图。P2 阶段将聚焦于收益归因（Brinson 模型）、再平衡建议、报告导出和 Monte Carlo 模拟等高级分析能力。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9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