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12A557" w14:textId="77777777" w:rsidR="00A442E5" w:rsidRPr="000B4436" w:rsidRDefault="000B4436">
      <w:pPr>
        <w:jc w:val="center"/>
        <w:rPr>
          <w:rFonts w:hint="eastAsia"/>
          <w:sz w:val="24"/>
          <w:szCs w:val="24"/>
        </w:rPr>
      </w:pPr>
      <w:r w:rsidRPr="000B4436">
        <w:rPr>
          <w:b/>
          <w:sz w:val="24"/>
          <w:szCs w:val="24"/>
        </w:rPr>
        <w:t>HRMS — High-Level Test Automation Coverage Summary</w:t>
      </w:r>
    </w:p>
    <w:p w14:paraId="065DBF3E" w14:textId="77777777" w:rsidR="00A442E5" w:rsidRPr="000B4436" w:rsidRDefault="000B4436">
      <w:pPr>
        <w:jc w:val="center"/>
        <w:rPr>
          <w:rFonts w:hint="eastAsia"/>
          <w:sz w:val="24"/>
          <w:szCs w:val="24"/>
        </w:rPr>
      </w:pPr>
      <w:r w:rsidRPr="000B4436">
        <w:rPr>
          <w:i/>
          <w:sz w:val="24"/>
          <w:szCs w:val="24"/>
        </w:rPr>
        <w:t>Overall automation coverage and testing-layer summary</w:t>
      </w:r>
    </w:p>
    <w:p w14:paraId="557E6FAF" w14:textId="77777777" w:rsidR="00A442E5" w:rsidRPr="000B4436" w:rsidRDefault="000B4436">
      <w:pPr>
        <w:spacing w:before="160" w:after="80"/>
        <w:rPr>
          <w:rFonts w:hint="eastAsia"/>
          <w:sz w:val="24"/>
          <w:szCs w:val="24"/>
        </w:rPr>
      </w:pPr>
      <w:r w:rsidRPr="000B4436">
        <w:rPr>
          <w:b/>
          <w:sz w:val="24"/>
          <w:szCs w:val="24"/>
        </w:rPr>
        <w:t>1. Overall Test Case Coverage</w:t>
      </w:r>
    </w:p>
    <w:p w14:paraId="6E8F7552" w14:textId="77777777" w:rsidR="00A442E5" w:rsidRPr="000B4436" w:rsidRDefault="000B4436">
      <w:pPr>
        <w:rPr>
          <w:rFonts w:hint="eastAsia"/>
          <w:sz w:val="24"/>
          <w:szCs w:val="24"/>
        </w:rPr>
      </w:pPr>
      <w:r w:rsidRPr="000B4436">
        <w:rPr>
          <w:sz w:val="24"/>
          <w:szCs w:val="24"/>
        </w:rPr>
        <w:t xml:space="preserve">The HRMS requirements inventory contains 1,244 CSV test cases. The current Playwright automation provides substantial </w:t>
      </w:r>
      <w:r w:rsidRPr="000B4436">
        <w:rPr>
          <w:sz w:val="24"/>
          <w:szCs w:val="24"/>
        </w:rPr>
        <w:t>functional coverage, while the remaining cases are primarily constrained by database access, performance/load tooling, browser/device capabilities, security-secret requirements, or traceability limitations.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442E5" w:rsidRPr="000B4436" w14:paraId="1D29658F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1094C872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b/>
                <w:sz w:val="24"/>
                <w:szCs w:val="24"/>
              </w:rPr>
              <w:t>Coverage Status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6DA886B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b/>
                <w:sz w:val="24"/>
                <w:szCs w:val="24"/>
              </w:rPr>
              <w:t>Test Cases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78B043E3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b/>
                <w:sz w:val="24"/>
                <w:szCs w:val="24"/>
              </w:rPr>
              <w:t>Percentage</w:t>
            </w:r>
          </w:p>
        </w:tc>
      </w:tr>
      <w:tr w:rsidR="00A442E5" w:rsidRPr="000B4436" w14:paraId="54154F36" w14:textId="77777777" w:rsidTr="000B4436">
        <w:trPr>
          <w:trHeight w:val="442"/>
          <w:jc w:val="center"/>
        </w:trPr>
        <w:tc>
          <w:tcPr>
            <w:tcW w:w="3408" w:type="dxa"/>
            <w:vAlign w:val="center"/>
          </w:tcPr>
          <w:p w14:paraId="5829EFCC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Total iden</w:t>
            </w:r>
            <w:r w:rsidRPr="000B4436">
              <w:rPr>
                <w:sz w:val="24"/>
                <w:szCs w:val="24"/>
              </w:rPr>
              <w:t>tified test cases</w:t>
            </w:r>
          </w:p>
        </w:tc>
        <w:tc>
          <w:tcPr>
            <w:tcW w:w="3408" w:type="dxa"/>
            <w:vAlign w:val="center"/>
          </w:tcPr>
          <w:p w14:paraId="5BE13E93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1,244</w:t>
            </w:r>
          </w:p>
        </w:tc>
        <w:tc>
          <w:tcPr>
            <w:tcW w:w="3408" w:type="dxa"/>
            <w:vAlign w:val="center"/>
          </w:tcPr>
          <w:p w14:paraId="6B2A6298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100.0%</w:t>
            </w:r>
          </w:p>
        </w:tc>
      </w:tr>
      <w:tr w:rsidR="00A442E5" w:rsidRPr="000B4436" w14:paraId="18CEDD35" w14:textId="77777777" w:rsidTr="000B4436">
        <w:trPr>
          <w:trHeight w:val="548"/>
          <w:jc w:val="center"/>
        </w:trPr>
        <w:tc>
          <w:tcPr>
            <w:tcW w:w="3408" w:type="dxa"/>
            <w:vAlign w:val="center"/>
          </w:tcPr>
          <w:p w14:paraId="508CBD55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Automated / executing Playwright coverage</w:t>
            </w:r>
          </w:p>
        </w:tc>
        <w:tc>
          <w:tcPr>
            <w:tcW w:w="3408" w:type="dxa"/>
            <w:vAlign w:val="center"/>
          </w:tcPr>
          <w:p w14:paraId="4248433D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993</w:t>
            </w:r>
          </w:p>
        </w:tc>
        <w:tc>
          <w:tcPr>
            <w:tcW w:w="3408" w:type="dxa"/>
            <w:vAlign w:val="center"/>
          </w:tcPr>
          <w:p w14:paraId="6948616F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79.8%</w:t>
            </w:r>
          </w:p>
        </w:tc>
      </w:tr>
      <w:tr w:rsidR="00A442E5" w:rsidRPr="000B4436" w14:paraId="2C0E087A" w14:textId="77777777" w:rsidTr="000B4436">
        <w:trPr>
          <w:trHeight w:val="556"/>
          <w:jc w:val="center"/>
        </w:trPr>
        <w:tc>
          <w:tcPr>
            <w:tcW w:w="3408" w:type="dxa"/>
            <w:vAlign w:val="center"/>
          </w:tcPr>
          <w:p w14:paraId="5308F3B9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Documented not-automatable</w:t>
            </w:r>
          </w:p>
        </w:tc>
        <w:tc>
          <w:tcPr>
            <w:tcW w:w="3408" w:type="dxa"/>
            <w:vAlign w:val="center"/>
          </w:tcPr>
          <w:p w14:paraId="197AE643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106</w:t>
            </w:r>
          </w:p>
        </w:tc>
        <w:tc>
          <w:tcPr>
            <w:tcW w:w="3408" w:type="dxa"/>
            <w:vAlign w:val="center"/>
          </w:tcPr>
          <w:p w14:paraId="1AE05AF4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8.5%</w:t>
            </w:r>
          </w:p>
        </w:tc>
      </w:tr>
      <w:tr w:rsidR="00A442E5" w:rsidRPr="000B4436" w14:paraId="306E6CAC" w14:textId="77777777">
        <w:trPr>
          <w:jc w:val="center"/>
        </w:trPr>
        <w:tc>
          <w:tcPr>
            <w:tcW w:w="3408" w:type="dxa"/>
            <w:vAlign w:val="center"/>
          </w:tcPr>
          <w:p w14:paraId="3167EEE3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Not determinable from current ID traceability</w:t>
            </w:r>
          </w:p>
        </w:tc>
        <w:tc>
          <w:tcPr>
            <w:tcW w:w="3408" w:type="dxa"/>
            <w:vAlign w:val="center"/>
          </w:tcPr>
          <w:p w14:paraId="7B4447A3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145</w:t>
            </w:r>
          </w:p>
        </w:tc>
        <w:tc>
          <w:tcPr>
            <w:tcW w:w="3408" w:type="dxa"/>
            <w:vAlign w:val="center"/>
          </w:tcPr>
          <w:p w14:paraId="057D3BDE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11.7%</w:t>
            </w:r>
          </w:p>
        </w:tc>
      </w:tr>
    </w:tbl>
    <w:p w14:paraId="174BBEBB" w14:textId="401B2B46" w:rsidR="00A442E5" w:rsidRDefault="000B4436">
      <w:pPr>
        <w:rPr>
          <w:sz w:val="24"/>
          <w:szCs w:val="24"/>
        </w:rPr>
      </w:pPr>
      <w:r w:rsidRPr="000B4436">
        <w:rPr>
          <w:b/>
          <w:sz w:val="24"/>
          <w:szCs w:val="24"/>
        </w:rPr>
        <w:t xml:space="preserve">Implementation-level suite: </w:t>
      </w:r>
      <w:r w:rsidRPr="000B4436">
        <w:rPr>
          <w:sz w:val="24"/>
          <w:szCs w:val="24"/>
        </w:rPr>
        <w:t xml:space="preserve">778 active Playwright tests are executing, with </w:t>
      </w:r>
      <w:r w:rsidRPr="000B4436">
        <w:rPr>
          <w:sz w:val="24"/>
          <w:szCs w:val="24"/>
        </w:rPr>
        <w:t>146 documented not-automatable stubs. These implementation-level figures are separate from the 1,244 requirements-level CSV rows.</w:t>
      </w:r>
    </w:p>
    <w:p w14:paraId="6D57F6F1" w14:textId="77777777" w:rsidR="000B4436" w:rsidRPr="000B4436" w:rsidRDefault="000B4436">
      <w:pPr>
        <w:rPr>
          <w:rFonts w:hint="eastAsia"/>
          <w:sz w:val="24"/>
          <w:szCs w:val="24"/>
        </w:rPr>
      </w:pPr>
      <w:bookmarkStart w:id="0" w:name="_GoBack"/>
      <w:bookmarkEnd w:id="0"/>
    </w:p>
    <w:p w14:paraId="4FE0C0E8" w14:textId="77777777" w:rsidR="00A442E5" w:rsidRPr="000B4436" w:rsidRDefault="000B4436">
      <w:pPr>
        <w:spacing w:before="160" w:after="80"/>
        <w:rPr>
          <w:rFonts w:hint="eastAsia"/>
          <w:sz w:val="24"/>
          <w:szCs w:val="24"/>
        </w:rPr>
      </w:pPr>
      <w:r w:rsidRPr="000B4436">
        <w:rPr>
          <w:b/>
          <w:sz w:val="24"/>
          <w:szCs w:val="24"/>
        </w:rPr>
        <w:t>2. Automation Coverage by Testing Layer</w:t>
      </w:r>
    </w:p>
    <w:p w14:paraId="7C556E3A" w14:textId="77777777" w:rsidR="00A442E5" w:rsidRPr="000B4436" w:rsidRDefault="000B4436">
      <w:pPr>
        <w:rPr>
          <w:rFonts w:hint="eastAsia"/>
          <w:sz w:val="24"/>
          <w:szCs w:val="24"/>
        </w:rPr>
      </w:pPr>
      <w:r w:rsidRPr="000B4436">
        <w:rPr>
          <w:sz w:val="24"/>
          <w:szCs w:val="24"/>
        </w:rPr>
        <w:t>The following figures are based on the 778 active Playwright tests. Testing layers are</w:t>
      </w:r>
      <w:r w:rsidRPr="000B4436">
        <w:rPr>
          <w:sz w:val="24"/>
          <w:szCs w:val="24"/>
        </w:rPr>
        <w:t xml:space="preserve"> not all mutually exclusive; a single test may exercise both UI and API.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442E5" w:rsidRPr="000B4436" w14:paraId="35A2C92D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7472A120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b/>
                <w:sz w:val="24"/>
                <w:szCs w:val="24"/>
              </w:rPr>
              <w:t>Testing Layer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C9C44C7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b/>
                <w:sz w:val="24"/>
                <w:szCs w:val="24"/>
              </w:rPr>
              <w:t>Automated Tests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20785BF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b/>
                <w:sz w:val="24"/>
                <w:szCs w:val="24"/>
              </w:rPr>
              <w:t>% of Active Tests</w:t>
            </w:r>
          </w:p>
        </w:tc>
      </w:tr>
      <w:tr w:rsidR="00A442E5" w:rsidRPr="000B4436" w14:paraId="610CF6E2" w14:textId="77777777">
        <w:trPr>
          <w:jc w:val="center"/>
        </w:trPr>
        <w:tc>
          <w:tcPr>
            <w:tcW w:w="3408" w:type="dxa"/>
            <w:vAlign w:val="center"/>
          </w:tcPr>
          <w:p w14:paraId="410CA68E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UI / End-to-End</w:t>
            </w:r>
          </w:p>
        </w:tc>
        <w:tc>
          <w:tcPr>
            <w:tcW w:w="3408" w:type="dxa"/>
            <w:vAlign w:val="center"/>
          </w:tcPr>
          <w:p w14:paraId="1D5E5BF2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647</w:t>
            </w:r>
          </w:p>
        </w:tc>
        <w:tc>
          <w:tcPr>
            <w:tcW w:w="3408" w:type="dxa"/>
            <w:vAlign w:val="center"/>
          </w:tcPr>
          <w:p w14:paraId="47FA1BE5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83.2%</w:t>
            </w:r>
          </w:p>
        </w:tc>
      </w:tr>
      <w:tr w:rsidR="00A442E5" w:rsidRPr="000B4436" w14:paraId="032251BC" w14:textId="77777777">
        <w:trPr>
          <w:jc w:val="center"/>
        </w:trPr>
        <w:tc>
          <w:tcPr>
            <w:tcW w:w="3408" w:type="dxa"/>
            <w:vAlign w:val="center"/>
          </w:tcPr>
          <w:p w14:paraId="49681C02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API / HTTP</w:t>
            </w:r>
          </w:p>
        </w:tc>
        <w:tc>
          <w:tcPr>
            <w:tcW w:w="3408" w:type="dxa"/>
            <w:vAlign w:val="center"/>
          </w:tcPr>
          <w:p w14:paraId="3A0765BF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698</w:t>
            </w:r>
          </w:p>
        </w:tc>
        <w:tc>
          <w:tcPr>
            <w:tcW w:w="3408" w:type="dxa"/>
            <w:vAlign w:val="center"/>
          </w:tcPr>
          <w:p w14:paraId="48D7353D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89.7%</w:t>
            </w:r>
          </w:p>
        </w:tc>
      </w:tr>
      <w:tr w:rsidR="00A442E5" w:rsidRPr="000B4436" w14:paraId="5327883E" w14:textId="77777777">
        <w:trPr>
          <w:jc w:val="center"/>
        </w:trPr>
        <w:tc>
          <w:tcPr>
            <w:tcW w:w="3408" w:type="dxa"/>
            <w:vAlign w:val="center"/>
          </w:tcPr>
          <w:p w14:paraId="56A65457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Pure API</w:t>
            </w:r>
          </w:p>
        </w:tc>
        <w:tc>
          <w:tcPr>
            <w:tcW w:w="3408" w:type="dxa"/>
            <w:vAlign w:val="center"/>
          </w:tcPr>
          <w:p w14:paraId="45FE6C8B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131</w:t>
            </w:r>
          </w:p>
        </w:tc>
        <w:tc>
          <w:tcPr>
            <w:tcW w:w="3408" w:type="dxa"/>
            <w:vAlign w:val="center"/>
          </w:tcPr>
          <w:p w14:paraId="4C96E04B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16.8%</w:t>
            </w:r>
          </w:p>
        </w:tc>
      </w:tr>
      <w:tr w:rsidR="00A442E5" w:rsidRPr="000B4436" w14:paraId="50170928" w14:textId="77777777">
        <w:trPr>
          <w:jc w:val="center"/>
        </w:trPr>
        <w:tc>
          <w:tcPr>
            <w:tcW w:w="3408" w:type="dxa"/>
            <w:vAlign w:val="center"/>
          </w:tcPr>
          <w:p w14:paraId="2EA29B0D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UI + API in same test</w:t>
            </w:r>
          </w:p>
        </w:tc>
        <w:tc>
          <w:tcPr>
            <w:tcW w:w="3408" w:type="dxa"/>
            <w:vAlign w:val="center"/>
          </w:tcPr>
          <w:p w14:paraId="2F23041C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567</w:t>
            </w:r>
          </w:p>
        </w:tc>
        <w:tc>
          <w:tcPr>
            <w:tcW w:w="3408" w:type="dxa"/>
            <w:vAlign w:val="center"/>
          </w:tcPr>
          <w:p w14:paraId="6D617D76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72.9%</w:t>
            </w:r>
          </w:p>
        </w:tc>
      </w:tr>
      <w:tr w:rsidR="00A442E5" w:rsidRPr="000B4436" w14:paraId="6216C8F6" w14:textId="77777777">
        <w:trPr>
          <w:jc w:val="center"/>
        </w:trPr>
        <w:tc>
          <w:tcPr>
            <w:tcW w:w="3408" w:type="dxa"/>
            <w:vAlign w:val="center"/>
          </w:tcPr>
          <w:p w14:paraId="1EC735F3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Database — direct connection</w:t>
            </w:r>
          </w:p>
        </w:tc>
        <w:tc>
          <w:tcPr>
            <w:tcW w:w="3408" w:type="dxa"/>
            <w:vAlign w:val="center"/>
          </w:tcPr>
          <w:p w14:paraId="5B6D6CC3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0</w:t>
            </w:r>
          </w:p>
        </w:tc>
        <w:tc>
          <w:tcPr>
            <w:tcW w:w="3408" w:type="dxa"/>
            <w:vAlign w:val="center"/>
          </w:tcPr>
          <w:p w14:paraId="0FF26B9B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0.0%</w:t>
            </w:r>
          </w:p>
        </w:tc>
      </w:tr>
      <w:tr w:rsidR="00A442E5" w:rsidRPr="000B4436" w14:paraId="64EB760D" w14:textId="77777777">
        <w:trPr>
          <w:jc w:val="center"/>
        </w:trPr>
        <w:tc>
          <w:tcPr>
            <w:tcW w:w="3408" w:type="dxa"/>
            <w:vAlign w:val="center"/>
          </w:tcPr>
          <w:p w14:paraId="1F28734A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Authentication / Authorization / RBAC</w:t>
            </w:r>
          </w:p>
        </w:tc>
        <w:tc>
          <w:tcPr>
            <w:tcW w:w="3408" w:type="dxa"/>
            <w:vAlign w:val="center"/>
          </w:tcPr>
          <w:p w14:paraId="6DDBA344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179</w:t>
            </w:r>
          </w:p>
        </w:tc>
        <w:tc>
          <w:tcPr>
            <w:tcW w:w="3408" w:type="dxa"/>
            <w:vAlign w:val="center"/>
          </w:tcPr>
          <w:p w14:paraId="1E134930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23.0%</w:t>
            </w:r>
          </w:p>
        </w:tc>
      </w:tr>
      <w:tr w:rsidR="00A442E5" w:rsidRPr="000B4436" w14:paraId="102B3684" w14:textId="77777777">
        <w:trPr>
          <w:jc w:val="center"/>
        </w:trPr>
        <w:tc>
          <w:tcPr>
            <w:tcW w:w="3408" w:type="dxa"/>
            <w:vAlign w:val="center"/>
          </w:tcPr>
          <w:p w14:paraId="381CB2BB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Validation / Boundary</w:t>
            </w:r>
          </w:p>
        </w:tc>
        <w:tc>
          <w:tcPr>
            <w:tcW w:w="3408" w:type="dxa"/>
            <w:vAlign w:val="center"/>
          </w:tcPr>
          <w:p w14:paraId="400179E3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85</w:t>
            </w:r>
          </w:p>
        </w:tc>
        <w:tc>
          <w:tcPr>
            <w:tcW w:w="3408" w:type="dxa"/>
            <w:vAlign w:val="center"/>
          </w:tcPr>
          <w:p w14:paraId="13ADDE06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10.9%</w:t>
            </w:r>
          </w:p>
        </w:tc>
      </w:tr>
      <w:tr w:rsidR="00A442E5" w:rsidRPr="000B4436" w14:paraId="1A993BD7" w14:textId="77777777">
        <w:trPr>
          <w:jc w:val="center"/>
        </w:trPr>
        <w:tc>
          <w:tcPr>
            <w:tcW w:w="3408" w:type="dxa"/>
            <w:vAlign w:val="center"/>
          </w:tcPr>
          <w:p w14:paraId="64D7317B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Cross-Portal / Integration</w:t>
            </w:r>
          </w:p>
        </w:tc>
        <w:tc>
          <w:tcPr>
            <w:tcW w:w="3408" w:type="dxa"/>
            <w:vAlign w:val="center"/>
          </w:tcPr>
          <w:p w14:paraId="2E92191F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8</w:t>
            </w:r>
          </w:p>
        </w:tc>
        <w:tc>
          <w:tcPr>
            <w:tcW w:w="3408" w:type="dxa"/>
            <w:vAlign w:val="center"/>
          </w:tcPr>
          <w:p w14:paraId="35DA8125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1.0%</w:t>
            </w:r>
          </w:p>
        </w:tc>
      </w:tr>
      <w:tr w:rsidR="00A442E5" w:rsidRPr="000B4436" w14:paraId="741609BE" w14:textId="77777777">
        <w:trPr>
          <w:jc w:val="center"/>
        </w:trPr>
        <w:tc>
          <w:tcPr>
            <w:tcW w:w="3408" w:type="dxa"/>
            <w:vAlign w:val="center"/>
          </w:tcPr>
          <w:p w14:paraId="039960F4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Performance / Load</w:t>
            </w:r>
          </w:p>
        </w:tc>
        <w:tc>
          <w:tcPr>
            <w:tcW w:w="3408" w:type="dxa"/>
            <w:vAlign w:val="center"/>
          </w:tcPr>
          <w:p w14:paraId="2E292CCF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0</w:t>
            </w:r>
          </w:p>
        </w:tc>
        <w:tc>
          <w:tcPr>
            <w:tcW w:w="3408" w:type="dxa"/>
            <w:vAlign w:val="center"/>
          </w:tcPr>
          <w:p w14:paraId="7CA8D591" w14:textId="77777777" w:rsidR="00A442E5" w:rsidRPr="000B4436" w:rsidRDefault="000B4436">
            <w:pPr>
              <w:rPr>
                <w:rFonts w:hint="eastAsia"/>
                <w:sz w:val="24"/>
                <w:szCs w:val="24"/>
              </w:rPr>
            </w:pPr>
            <w:r w:rsidRPr="000B4436">
              <w:rPr>
                <w:sz w:val="24"/>
                <w:szCs w:val="24"/>
              </w:rPr>
              <w:t>0.0%</w:t>
            </w:r>
          </w:p>
        </w:tc>
      </w:tr>
    </w:tbl>
    <w:p w14:paraId="17E4D063" w14:textId="77777777" w:rsidR="000B4436" w:rsidRDefault="000B4436">
      <w:pPr>
        <w:rPr>
          <w:b/>
          <w:sz w:val="24"/>
          <w:szCs w:val="24"/>
        </w:rPr>
      </w:pPr>
    </w:p>
    <w:p w14:paraId="0C80B7C9" w14:textId="558985F4" w:rsidR="00A442E5" w:rsidRPr="000B4436" w:rsidRDefault="000B4436">
      <w:pPr>
        <w:rPr>
          <w:rFonts w:hint="eastAsia"/>
          <w:sz w:val="24"/>
          <w:szCs w:val="24"/>
        </w:rPr>
      </w:pPr>
      <w:r w:rsidRPr="000B4436">
        <w:rPr>
          <w:b/>
          <w:sz w:val="24"/>
          <w:szCs w:val="24"/>
        </w:rPr>
        <w:t xml:space="preserve">Note: </w:t>
      </w:r>
      <w:r w:rsidRPr="000B4436">
        <w:rPr>
          <w:sz w:val="24"/>
          <w:szCs w:val="24"/>
        </w:rPr>
        <w:t>Authentication/authorization and validation figures are conservative pattern-based counts. Additional</w:t>
      </w:r>
      <w:r w:rsidRPr="000B4436">
        <w:rPr>
          <w:sz w:val="24"/>
          <w:szCs w:val="24"/>
        </w:rPr>
        <w:t xml:space="preserve"> assertions exist inside functional and lifecycle tests.</w:t>
      </w:r>
    </w:p>
    <w:p w14:paraId="411753F0" w14:textId="77777777" w:rsidR="00A442E5" w:rsidRPr="000B4436" w:rsidRDefault="000B4436">
      <w:pPr>
        <w:spacing w:before="160" w:after="80"/>
        <w:rPr>
          <w:rFonts w:hint="eastAsia"/>
          <w:sz w:val="24"/>
          <w:szCs w:val="24"/>
        </w:rPr>
      </w:pPr>
      <w:r w:rsidRPr="000B4436">
        <w:rPr>
          <w:b/>
          <w:sz w:val="24"/>
          <w:szCs w:val="24"/>
        </w:rPr>
        <w:t>3. High-Level Assessment</w:t>
      </w:r>
    </w:p>
    <w:p w14:paraId="36FC07B0" w14:textId="77777777" w:rsidR="00A442E5" w:rsidRPr="000B4436" w:rsidRDefault="000B4436">
      <w:pPr>
        <w:ind w:left="259" w:hanging="216"/>
        <w:rPr>
          <w:rFonts w:hint="eastAsia"/>
          <w:sz w:val="24"/>
          <w:szCs w:val="24"/>
        </w:rPr>
      </w:pPr>
      <w:r w:rsidRPr="000B4436">
        <w:rPr>
          <w:b/>
          <w:sz w:val="24"/>
          <w:szCs w:val="24"/>
        </w:rPr>
        <w:t xml:space="preserve">• Functional automation: </w:t>
      </w:r>
      <w:r w:rsidRPr="000B4436">
        <w:rPr>
          <w:sz w:val="24"/>
          <w:szCs w:val="24"/>
        </w:rPr>
        <w:t>Strong — most of the identified requirements are automated and the full in-scope HRMS surface, including Platform Admin, is represented.</w:t>
      </w:r>
    </w:p>
    <w:p w14:paraId="7DBFBB2F" w14:textId="77777777" w:rsidR="00A442E5" w:rsidRPr="000B4436" w:rsidRDefault="000B4436">
      <w:pPr>
        <w:ind w:left="259" w:hanging="216"/>
        <w:rPr>
          <w:rFonts w:hint="eastAsia"/>
          <w:sz w:val="24"/>
          <w:szCs w:val="24"/>
        </w:rPr>
      </w:pPr>
      <w:r w:rsidRPr="000B4436">
        <w:rPr>
          <w:b/>
          <w:sz w:val="24"/>
          <w:szCs w:val="24"/>
        </w:rPr>
        <w:lastRenderedPageBreak/>
        <w:t>• API covera</w:t>
      </w:r>
      <w:r w:rsidRPr="000B4436">
        <w:rPr>
          <w:b/>
          <w:sz w:val="24"/>
          <w:szCs w:val="24"/>
        </w:rPr>
        <w:t xml:space="preserve">ge: </w:t>
      </w:r>
      <w:r w:rsidRPr="000B4436">
        <w:rPr>
          <w:sz w:val="24"/>
          <w:szCs w:val="24"/>
        </w:rPr>
        <w:t>Very strong — 698 active tests exercise the API layer directly, including contract, negative, security and persistence-related validation.</w:t>
      </w:r>
    </w:p>
    <w:p w14:paraId="3F7CE885" w14:textId="77777777" w:rsidR="00A442E5" w:rsidRPr="000B4436" w:rsidRDefault="000B4436">
      <w:pPr>
        <w:ind w:left="259" w:hanging="216"/>
        <w:rPr>
          <w:rFonts w:hint="eastAsia"/>
          <w:sz w:val="24"/>
          <w:szCs w:val="24"/>
        </w:rPr>
      </w:pPr>
      <w:r w:rsidRPr="000B4436">
        <w:rPr>
          <w:b/>
          <w:sz w:val="24"/>
          <w:szCs w:val="24"/>
        </w:rPr>
        <w:t xml:space="preserve">• UI / E2E coverage: </w:t>
      </w:r>
      <w:r w:rsidRPr="000B4436">
        <w:rPr>
          <w:sz w:val="24"/>
          <w:szCs w:val="24"/>
        </w:rPr>
        <w:t>Strong — 647 active tests use browser-driven flows as their primary execution layer.</w:t>
      </w:r>
    </w:p>
    <w:p w14:paraId="35F10644" w14:textId="77777777" w:rsidR="00A442E5" w:rsidRPr="000B4436" w:rsidRDefault="000B4436">
      <w:pPr>
        <w:ind w:left="259" w:hanging="216"/>
        <w:rPr>
          <w:rFonts w:hint="eastAsia"/>
          <w:sz w:val="24"/>
          <w:szCs w:val="24"/>
        </w:rPr>
      </w:pPr>
      <w:r w:rsidRPr="000B4436">
        <w:rPr>
          <w:b/>
          <w:sz w:val="24"/>
          <w:szCs w:val="24"/>
        </w:rPr>
        <w:t>• Datab</w:t>
      </w:r>
      <w:r w:rsidRPr="000B4436">
        <w:rPr>
          <w:b/>
          <w:sz w:val="24"/>
          <w:szCs w:val="24"/>
        </w:rPr>
        <w:t xml:space="preserve">ase-level automation: </w:t>
      </w:r>
      <w:r w:rsidRPr="000B4436">
        <w:rPr>
          <w:sz w:val="24"/>
          <w:szCs w:val="24"/>
        </w:rPr>
        <w:t>Not directly automated — the framework has no DB driver. DB-backed behavior is extensively checked indirectly through API/UI, while raw schema and constraint validation remains outside Playwright.</w:t>
      </w:r>
    </w:p>
    <w:p w14:paraId="7A8A3145" w14:textId="77777777" w:rsidR="00A442E5" w:rsidRPr="000B4436" w:rsidRDefault="000B4436">
      <w:pPr>
        <w:ind w:left="259" w:hanging="216"/>
        <w:rPr>
          <w:rFonts w:hint="eastAsia"/>
          <w:sz w:val="24"/>
          <w:szCs w:val="24"/>
        </w:rPr>
      </w:pPr>
      <w:r w:rsidRPr="000B4436">
        <w:rPr>
          <w:b/>
          <w:sz w:val="24"/>
          <w:szCs w:val="24"/>
        </w:rPr>
        <w:t xml:space="preserve">• Performance/load: </w:t>
      </w:r>
      <w:r w:rsidRPr="000B4436">
        <w:rPr>
          <w:sz w:val="24"/>
          <w:szCs w:val="24"/>
        </w:rPr>
        <w:t>Not covered by Pl</w:t>
      </w:r>
      <w:r w:rsidRPr="000B4436">
        <w:rPr>
          <w:sz w:val="24"/>
          <w:szCs w:val="24"/>
        </w:rPr>
        <w:t>aywright — dedicated load/performance tooling is required for meaningful performance validation.</w:t>
      </w:r>
    </w:p>
    <w:p w14:paraId="22912AB7" w14:textId="77777777" w:rsidR="00A442E5" w:rsidRPr="000B4436" w:rsidRDefault="000B4436">
      <w:pPr>
        <w:ind w:left="259" w:hanging="216"/>
        <w:rPr>
          <w:rFonts w:hint="eastAsia"/>
          <w:sz w:val="24"/>
          <w:szCs w:val="24"/>
        </w:rPr>
      </w:pPr>
      <w:r w:rsidRPr="000B4436">
        <w:rPr>
          <w:b/>
          <w:sz w:val="24"/>
          <w:szCs w:val="24"/>
        </w:rPr>
        <w:t xml:space="preserve">• Security: </w:t>
      </w:r>
      <w:r w:rsidRPr="000B4436">
        <w:rPr>
          <w:sz w:val="24"/>
          <w:szCs w:val="24"/>
        </w:rPr>
        <w:t>Strong at the application-behavior level — authentication, RBAC, token handling, injection-shaped inputs, XSS, mass-assignment and cross-portal iso</w:t>
      </w:r>
      <w:r w:rsidRPr="000B4436">
        <w:rPr>
          <w:sz w:val="24"/>
          <w:szCs w:val="24"/>
        </w:rPr>
        <w:t>lation are covered. Secret-dependent cryptographic checks remain outside scope.</w:t>
      </w:r>
    </w:p>
    <w:sectPr w:rsidR="00A442E5" w:rsidRPr="000B443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436"/>
    <w:rsid w:val="0015074B"/>
    <w:rsid w:val="0029639D"/>
    <w:rsid w:val="00326F90"/>
    <w:rsid w:val="00A442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B1AD21"/>
  <w14:defaultImageDpi w14:val="300"/>
  <w15:docId w15:val="{9E293FD5-E749-4BE6-BD74-2A2A55895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0405C8-AE1C-43E2-A09D-003341D1E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vishnupriya</cp:lastModifiedBy>
  <cp:revision>2</cp:revision>
  <dcterms:created xsi:type="dcterms:W3CDTF">2013-12-23T23:15:00Z</dcterms:created>
  <dcterms:modified xsi:type="dcterms:W3CDTF">2026-08-20T09:53:00Z</dcterms:modified>
  <cp:category/>
</cp:coreProperties>
</file>