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名词解释5个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DNS（第七章唯一） 汇集树（汇集树生成树交替考） 协议 带宽 计算机网络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计算题6个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划分子网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最大传输速率（尼奎斯特）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子网掩码（AND）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回退N重传哪些帧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位填充分析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曼彻斯特编码、差分曼彻斯特、调频、调幅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简答题+解释题10个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令牌桶、漏桶原理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ARP应用在同网和不同网转发的过程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网络层和传输层的拥塞控制（RED和慢启动）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1位滑动窗口协议原理描述（照书上的图描述）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网桥工作原理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以太网和无线局域网的介质访问控制协议（CSMA/CD,CA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链路状态路由的过程如何提供可靠少代价的信息扩散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电路交换和分组交换各自的原理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TCP连接释放、如何流控制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51036"/>
    <w:rsid w:val="121A4968"/>
    <w:rsid w:val="29B87CEA"/>
    <w:rsid w:val="448A0F1D"/>
    <w:rsid w:val="4D231E2C"/>
    <w:rsid w:val="5DA51036"/>
    <w:rsid w:val="61C718AE"/>
    <w:rsid w:val="7E3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2018-01-17T01:28:00Z</dcterms:created>
  <dc:creator>幽沢Severus</dc:creator>
  <cp:lastModifiedBy>幽沢Severus</cp:lastModifiedBy>
  <dcterms:modified xsi:type="dcterms:W3CDTF">2018-01-17T02:00:18Z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