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264" w:rsidRDefault="00A37F88">
      <w:pPr>
        <w:widowControl w:val="0"/>
        <w:adjustRightInd/>
        <w:snapToGrid/>
        <w:spacing w:after="0"/>
        <w:jc w:val="center"/>
        <w:rPr>
          <w:rFonts w:ascii="仿宋" w:eastAsia="仿宋" w:hAnsi="仿宋"/>
          <w:b/>
          <w:kern w:val="2"/>
          <w:sz w:val="28"/>
          <w:szCs w:val="24"/>
        </w:rPr>
      </w:pPr>
      <w:r>
        <w:rPr>
          <w:rFonts w:ascii="仿宋" w:eastAsia="仿宋" w:hAnsi="仿宋" w:hint="eastAsia"/>
          <w:b/>
          <w:kern w:val="2"/>
          <w:sz w:val="28"/>
          <w:szCs w:val="24"/>
        </w:rPr>
        <w:t>2</w:t>
      </w:r>
      <w:r>
        <w:rPr>
          <w:rFonts w:ascii="仿宋" w:eastAsia="仿宋" w:hAnsi="仿宋"/>
          <w:b/>
          <w:kern w:val="2"/>
          <w:sz w:val="28"/>
          <w:szCs w:val="24"/>
        </w:rPr>
        <w:t>02</w:t>
      </w:r>
      <w:r w:rsidR="005D69BA">
        <w:rPr>
          <w:rFonts w:ascii="仿宋" w:eastAsia="仿宋" w:hAnsi="仿宋"/>
          <w:b/>
          <w:kern w:val="2"/>
          <w:sz w:val="28"/>
          <w:szCs w:val="24"/>
        </w:rPr>
        <w:t>3</w:t>
      </w:r>
      <w:r w:rsidR="005D69BA">
        <w:rPr>
          <w:rFonts w:ascii="仿宋" w:eastAsia="仿宋" w:hAnsi="仿宋" w:hint="eastAsia"/>
          <w:b/>
          <w:kern w:val="2"/>
          <w:sz w:val="28"/>
          <w:szCs w:val="24"/>
        </w:rPr>
        <w:t>春</w:t>
      </w:r>
      <w:r>
        <w:rPr>
          <w:rFonts w:ascii="仿宋" w:eastAsia="仿宋" w:hAnsi="仿宋" w:hint="eastAsia"/>
          <w:b/>
          <w:kern w:val="2"/>
          <w:sz w:val="28"/>
          <w:szCs w:val="24"/>
        </w:rPr>
        <w:t>季学期《习近平新时代中国特色社会主义思想概论》</w:t>
      </w:r>
    </w:p>
    <w:p w:rsidR="00012264" w:rsidRDefault="00A37F88">
      <w:pPr>
        <w:widowControl w:val="0"/>
        <w:adjustRightInd/>
        <w:snapToGrid/>
        <w:spacing w:after="0"/>
        <w:jc w:val="center"/>
        <w:rPr>
          <w:rFonts w:ascii="仿宋" w:eastAsia="仿宋" w:hAnsi="仿宋"/>
          <w:b/>
          <w:kern w:val="2"/>
          <w:sz w:val="28"/>
          <w:szCs w:val="24"/>
        </w:rPr>
      </w:pPr>
      <w:r>
        <w:rPr>
          <w:rFonts w:ascii="仿宋" w:eastAsia="仿宋" w:hAnsi="仿宋" w:hint="eastAsia"/>
          <w:b/>
          <w:kern w:val="2"/>
          <w:sz w:val="28"/>
          <w:szCs w:val="24"/>
        </w:rPr>
        <w:t>课程考核方案（</w:t>
      </w:r>
      <w:r w:rsidR="00F148A1">
        <w:rPr>
          <w:rFonts w:ascii="仿宋" w:eastAsia="仿宋" w:hAnsi="仿宋" w:hint="eastAsia"/>
          <w:b/>
          <w:kern w:val="2"/>
          <w:sz w:val="28"/>
          <w:szCs w:val="24"/>
        </w:rPr>
        <w:t>暂</w:t>
      </w:r>
      <w:r>
        <w:rPr>
          <w:rFonts w:ascii="仿宋" w:eastAsia="仿宋" w:hAnsi="仿宋" w:hint="eastAsia"/>
          <w:b/>
          <w:kern w:val="2"/>
          <w:sz w:val="28"/>
          <w:szCs w:val="24"/>
        </w:rPr>
        <w:t>行版）</w:t>
      </w:r>
    </w:p>
    <w:p w:rsidR="00012264" w:rsidRPr="00F148A1" w:rsidRDefault="00012264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仿宋" w:eastAsia="仿宋" w:hAnsi="仿宋"/>
          <w:kern w:val="2"/>
          <w:sz w:val="24"/>
          <w:szCs w:val="24"/>
        </w:rPr>
      </w:pPr>
      <w:bookmarkStart w:id="0" w:name="_GoBack"/>
      <w:bookmarkEnd w:id="0"/>
    </w:p>
    <w:p w:rsidR="00012264" w:rsidRDefault="00A37F88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仿宋" w:eastAsia="仿宋" w:hAnsi="仿宋"/>
          <w:kern w:val="2"/>
          <w:sz w:val="24"/>
          <w:szCs w:val="24"/>
        </w:rPr>
      </w:pPr>
      <w:r>
        <w:rPr>
          <w:rFonts w:ascii="仿宋" w:eastAsia="仿宋" w:hAnsi="仿宋" w:hint="eastAsia"/>
          <w:kern w:val="2"/>
          <w:sz w:val="24"/>
          <w:szCs w:val="24"/>
        </w:rPr>
        <w:t>为更好发挥考核评价对学生学习的导向作用，根据教育部、山东大学相关文件精神，基于学生学段特点，制定本课程考核办法。</w:t>
      </w:r>
    </w:p>
    <w:p w:rsidR="00012264" w:rsidRDefault="00A37F88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仿宋" w:eastAsia="仿宋" w:hAnsi="仿宋"/>
          <w:kern w:val="2"/>
          <w:sz w:val="24"/>
          <w:szCs w:val="24"/>
        </w:rPr>
      </w:pPr>
      <w:r>
        <w:rPr>
          <w:rFonts w:ascii="仿宋" w:eastAsia="仿宋" w:hAnsi="仿宋" w:hint="eastAsia"/>
          <w:kern w:val="2"/>
          <w:sz w:val="24"/>
          <w:szCs w:val="24"/>
        </w:rPr>
        <w:t>一、课程考核坚持过程性考核和总结性考核相结合原则，平时成绩占比为4</w:t>
      </w:r>
      <w:r>
        <w:rPr>
          <w:rFonts w:ascii="仿宋" w:eastAsia="仿宋" w:hAnsi="仿宋"/>
          <w:kern w:val="2"/>
          <w:sz w:val="24"/>
          <w:szCs w:val="24"/>
        </w:rPr>
        <w:t>0</w:t>
      </w:r>
      <w:r>
        <w:rPr>
          <w:rFonts w:ascii="仿宋" w:eastAsia="仿宋" w:hAnsi="仿宋" w:hint="eastAsia"/>
          <w:kern w:val="2"/>
          <w:sz w:val="24"/>
          <w:szCs w:val="24"/>
        </w:rPr>
        <w:t>%，期末</w:t>
      </w:r>
      <w:proofErr w:type="gramStart"/>
      <w:r>
        <w:rPr>
          <w:rFonts w:ascii="仿宋" w:eastAsia="仿宋" w:hAnsi="仿宋" w:hint="eastAsia"/>
          <w:kern w:val="2"/>
          <w:sz w:val="24"/>
          <w:szCs w:val="24"/>
        </w:rPr>
        <w:t>考核占</w:t>
      </w:r>
      <w:proofErr w:type="gramEnd"/>
      <w:r>
        <w:rPr>
          <w:rFonts w:ascii="仿宋" w:eastAsia="仿宋" w:hAnsi="仿宋" w:hint="eastAsia"/>
          <w:kern w:val="2"/>
          <w:sz w:val="24"/>
          <w:szCs w:val="24"/>
        </w:rPr>
        <w:t>比为6</w:t>
      </w:r>
      <w:r>
        <w:rPr>
          <w:rFonts w:ascii="仿宋" w:eastAsia="仿宋" w:hAnsi="仿宋"/>
          <w:kern w:val="2"/>
          <w:sz w:val="24"/>
          <w:szCs w:val="24"/>
        </w:rPr>
        <w:t>0</w:t>
      </w:r>
      <w:r>
        <w:rPr>
          <w:rFonts w:ascii="仿宋" w:eastAsia="仿宋" w:hAnsi="仿宋" w:hint="eastAsia"/>
          <w:kern w:val="2"/>
          <w:sz w:val="24"/>
          <w:szCs w:val="24"/>
        </w:rPr>
        <w:t>%。</w:t>
      </w:r>
    </w:p>
    <w:p w:rsidR="00012264" w:rsidRDefault="00A37F88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仿宋" w:eastAsia="仿宋" w:hAnsi="仿宋"/>
          <w:kern w:val="2"/>
          <w:sz w:val="24"/>
          <w:szCs w:val="24"/>
        </w:rPr>
      </w:pPr>
      <w:r>
        <w:rPr>
          <w:rFonts w:ascii="仿宋" w:eastAsia="仿宋" w:hAnsi="仿宋" w:hint="eastAsia"/>
          <w:kern w:val="2"/>
          <w:sz w:val="24"/>
          <w:szCs w:val="24"/>
        </w:rPr>
        <w:t>二、平时成绩按百分计，其中课堂出勤3</w:t>
      </w:r>
      <w:r>
        <w:rPr>
          <w:rFonts w:ascii="仿宋" w:eastAsia="仿宋" w:hAnsi="仿宋"/>
          <w:kern w:val="2"/>
          <w:sz w:val="24"/>
          <w:szCs w:val="24"/>
        </w:rPr>
        <w:t>0</w:t>
      </w:r>
      <w:r>
        <w:rPr>
          <w:rFonts w:ascii="仿宋" w:eastAsia="仿宋" w:hAnsi="仿宋" w:hint="eastAsia"/>
          <w:kern w:val="2"/>
          <w:sz w:val="24"/>
          <w:szCs w:val="24"/>
        </w:rPr>
        <w:t>分、课堂参与3</w:t>
      </w:r>
      <w:r>
        <w:rPr>
          <w:rFonts w:ascii="仿宋" w:eastAsia="仿宋" w:hAnsi="仿宋"/>
          <w:kern w:val="2"/>
          <w:sz w:val="24"/>
          <w:szCs w:val="24"/>
        </w:rPr>
        <w:t>5</w:t>
      </w:r>
      <w:r>
        <w:rPr>
          <w:rFonts w:ascii="仿宋" w:eastAsia="仿宋" w:hAnsi="仿宋" w:hint="eastAsia"/>
          <w:kern w:val="2"/>
          <w:sz w:val="24"/>
          <w:szCs w:val="24"/>
        </w:rPr>
        <w:t>分、线上学习3</w:t>
      </w:r>
      <w:r>
        <w:rPr>
          <w:rFonts w:ascii="仿宋" w:eastAsia="仿宋" w:hAnsi="仿宋"/>
          <w:kern w:val="2"/>
          <w:sz w:val="24"/>
          <w:szCs w:val="24"/>
        </w:rPr>
        <w:t>5</w:t>
      </w:r>
      <w:r>
        <w:rPr>
          <w:rFonts w:ascii="仿宋" w:eastAsia="仿宋" w:hAnsi="仿宋" w:hint="eastAsia"/>
          <w:kern w:val="2"/>
          <w:sz w:val="24"/>
          <w:szCs w:val="24"/>
        </w:rPr>
        <w:t>分。</w:t>
      </w:r>
      <w:r>
        <w:rPr>
          <w:rFonts w:ascii="仿宋" w:eastAsia="仿宋" w:hAnsi="仿宋" w:hint="eastAsia"/>
          <w:b/>
          <w:bCs/>
          <w:kern w:val="2"/>
          <w:sz w:val="24"/>
          <w:szCs w:val="24"/>
        </w:rPr>
        <w:t>课堂出勤</w:t>
      </w:r>
      <w:r>
        <w:rPr>
          <w:rFonts w:ascii="仿宋" w:eastAsia="仿宋" w:hAnsi="仿宋" w:hint="eastAsia"/>
          <w:kern w:val="2"/>
          <w:sz w:val="24"/>
          <w:szCs w:val="24"/>
        </w:rPr>
        <w:t>采用加减分的方式赋分，无故旷课一次扣5分，迟到或早退一次扣3分。</w:t>
      </w:r>
      <w:r>
        <w:rPr>
          <w:rFonts w:ascii="仿宋" w:eastAsia="仿宋" w:hAnsi="仿宋" w:hint="eastAsia"/>
          <w:b/>
          <w:bCs/>
          <w:kern w:val="2"/>
          <w:sz w:val="24"/>
          <w:szCs w:val="24"/>
        </w:rPr>
        <w:t>课堂参与</w:t>
      </w:r>
      <w:r>
        <w:rPr>
          <w:rFonts w:ascii="仿宋" w:eastAsia="仿宋" w:hAnsi="仿宋" w:hint="eastAsia"/>
          <w:kern w:val="2"/>
          <w:sz w:val="24"/>
          <w:szCs w:val="24"/>
        </w:rPr>
        <w:t>由任课教师根据课堂学习记录进行评价，学生课堂表现积极良好可酌情加分，最高不超过3</w:t>
      </w:r>
      <w:r>
        <w:rPr>
          <w:rFonts w:ascii="仿宋" w:eastAsia="仿宋" w:hAnsi="仿宋"/>
          <w:kern w:val="2"/>
          <w:sz w:val="24"/>
          <w:szCs w:val="24"/>
        </w:rPr>
        <w:t>5</w:t>
      </w:r>
      <w:r>
        <w:rPr>
          <w:rFonts w:ascii="仿宋" w:eastAsia="仿宋" w:hAnsi="仿宋" w:hint="eastAsia"/>
          <w:kern w:val="2"/>
          <w:sz w:val="24"/>
          <w:szCs w:val="24"/>
        </w:rPr>
        <w:t>分。</w:t>
      </w:r>
      <w:r>
        <w:rPr>
          <w:rFonts w:ascii="仿宋" w:eastAsia="仿宋" w:hAnsi="仿宋" w:hint="eastAsia"/>
          <w:b/>
          <w:bCs/>
          <w:kern w:val="2"/>
          <w:sz w:val="24"/>
          <w:szCs w:val="24"/>
        </w:rPr>
        <w:t>线上学习</w:t>
      </w:r>
      <w:r>
        <w:rPr>
          <w:rFonts w:ascii="仿宋" w:eastAsia="仿宋" w:hAnsi="仿宋" w:hint="eastAsia"/>
          <w:kern w:val="2"/>
          <w:sz w:val="24"/>
          <w:szCs w:val="24"/>
        </w:rPr>
        <w:t>需要观看学习</w:t>
      </w:r>
      <w:proofErr w:type="spellStart"/>
      <w:r>
        <w:rPr>
          <w:rFonts w:ascii="仿宋" w:eastAsia="仿宋" w:hAnsi="仿宋" w:hint="eastAsia"/>
          <w:kern w:val="2"/>
          <w:sz w:val="24"/>
          <w:szCs w:val="24"/>
        </w:rPr>
        <w:t>spoc</w:t>
      </w:r>
      <w:proofErr w:type="spellEnd"/>
      <w:r>
        <w:rPr>
          <w:rFonts w:ascii="仿宋" w:eastAsia="仿宋" w:hAnsi="仿宋" w:hint="eastAsia"/>
          <w:kern w:val="2"/>
          <w:sz w:val="24"/>
          <w:szCs w:val="24"/>
        </w:rPr>
        <w:t>课程。其中，</w:t>
      </w:r>
      <w:r w:rsidRP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观看学习完</w:t>
      </w:r>
      <w:proofErr w:type="spellStart"/>
      <w:r w:rsidRP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spoc</w:t>
      </w:r>
      <w:proofErr w:type="spellEnd"/>
      <w:r w:rsidRP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课程即可得满分，未观看学习完</w:t>
      </w:r>
      <w:proofErr w:type="spellStart"/>
      <w:r w:rsidRP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spoc</w:t>
      </w:r>
      <w:proofErr w:type="spellEnd"/>
      <w:r w:rsidRP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课程由任课教师根据学生实际完成情况赋分。</w:t>
      </w:r>
    </w:p>
    <w:p w:rsidR="00012264" w:rsidRDefault="00A37F88">
      <w:pPr>
        <w:widowControl w:val="0"/>
        <w:adjustRightInd/>
        <w:snapToGrid/>
        <w:spacing w:after="0" w:line="360" w:lineRule="auto"/>
        <w:ind w:firstLineChars="200" w:firstLine="480"/>
        <w:jc w:val="both"/>
        <w:rPr>
          <w:rFonts w:ascii="仿宋" w:eastAsia="仿宋" w:hAnsi="仿宋"/>
          <w:kern w:val="2"/>
          <w:sz w:val="24"/>
          <w:szCs w:val="24"/>
        </w:rPr>
      </w:pPr>
      <w:r>
        <w:rPr>
          <w:rFonts w:ascii="仿宋" w:eastAsia="仿宋" w:hAnsi="仿宋" w:hint="eastAsia"/>
          <w:kern w:val="2"/>
          <w:sz w:val="24"/>
          <w:szCs w:val="24"/>
        </w:rPr>
        <w:t>四、期末考核按百分计，采取全校统一限制性开卷考试（</w:t>
      </w:r>
      <w:r w:rsidRP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只能带</w:t>
      </w:r>
      <w:r w:rsidR="008E55FD" w:rsidRP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打印版</w:t>
      </w:r>
      <w:r w:rsidRP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课件</w:t>
      </w:r>
      <w:r w:rsidR="000B7F8E">
        <w:rPr>
          <w:rFonts w:ascii="仿宋" w:eastAsia="仿宋" w:hAnsi="仿宋" w:hint="eastAsia"/>
          <w:color w:val="FF0000"/>
          <w:kern w:val="2"/>
          <w:sz w:val="24"/>
          <w:szCs w:val="24"/>
        </w:rPr>
        <w:t>（P</w:t>
      </w:r>
      <w:r w:rsidR="000B7F8E">
        <w:rPr>
          <w:rFonts w:ascii="仿宋" w:eastAsia="仿宋" w:hAnsi="仿宋"/>
          <w:color w:val="FF0000"/>
          <w:kern w:val="2"/>
          <w:sz w:val="24"/>
          <w:szCs w:val="24"/>
        </w:rPr>
        <w:t>PT</w:t>
      </w:r>
      <w:r w:rsidR="000B7F8E">
        <w:rPr>
          <w:rFonts w:ascii="仿宋" w:eastAsia="仿宋" w:hAnsi="仿宋" w:hint="eastAsia"/>
          <w:color w:val="FF0000"/>
          <w:kern w:val="2"/>
          <w:sz w:val="24"/>
          <w:szCs w:val="24"/>
        </w:rPr>
        <w:t>版）</w:t>
      </w:r>
      <w:r w:rsidRP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、手写</w:t>
      </w:r>
      <w:r w:rsidR="000B7F8E">
        <w:rPr>
          <w:rFonts w:ascii="仿宋" w:eastAsia="仿宋" w:hAnsi="仿宋" w:hint="eastAsia"/>
          <w:color w:val="FF0000"/>
          <w:kern w:val="2"/>
          <w:sz w:val="24"/>
          <w:szCs w:val="24"/>
        </w:rPr>
        <w:t>课程</w:t>
      </w:r>
      <w:r w:rsidRP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笔记</w:t>
      </w:r>
      <w:r w:rsidR="000B7F8E">
        <w:rPr>
          <w:rFonts w:ascii="仿宋" w:eastAsia="仿宋" w:hAnsi="仿宋" w:hint="eastAsia"/>
          <w:color w:val="FF0000"/>
          <w:kern w:val="2"/>
          <w:sz w:val="24"/>
          <w:szCs w:val="24"/>
        </w:rPr>
        <w:t>、打印版二十大报告原文</w:t>
      </w:r>
      <w:r>
        <w:rPr>
          <w:rFonts w:ascii="仿宋" w:eastAsia="仿宋" w:hAnsi="仿宋" w:hint="eastAsia"/>
          <w:kern w:val="2"/>
          <w:sz w:val="24"/>
          <w:szCs w:val="24"/>
        </w:rPr>
        <w:t>）。期末考核题型为客观题与主观题，客观题包括单项选择题和多项选择题，总分为4</w:t>
      </w:r>
      <w:r>
        <w:rPr>
          <w:rFonts w:ascii="仿宋" w:eastAsia="仿宋" w:hAnsi="仿宋"/>
          <w:kern w:val="2"/>
          <w:sz w:val="24"/>
          <w:szCs w:val="24"/>
        </w:rPr>
        <w:t>0</w:t>
      </w:r>
      <w:r>
        <w:rPr>
          <w:rFonts w:ascii="仿宋" w:eastAsia="仿宋" w:hAnsi="仿宋" w:hint="eastAsia"/>
          <w:kern w:val="2"/>
          <w:sz w:val="24"/>
          <w:szCs w:val="24"/>
        </w:rPr>
        <w:t>分，考试形式为闭卷；主观题为</w:t>
      </w:r>
      <w:r>
        <w:rPr>
          <w:rFonts w:ascii="仿宋" w:eastAsia="仿宋" w:hAnsi="仿宋"/>
          <w:kern w:val="2"/>
          <w:sz w:val="24"/>
          <w:szCs w:val="24"/>
        </w:rPr>
        <w:t>2</w:t>
      </w:r>
      <w:r>
        <w:rPr>
          <w:rFonts w:ascii="仿宋" w:eastAsia="仿宋" w:hAnsi="仿宋" w:hint="eastAsia"/>
          <w:kern w:val="2"/>
          <w:sz w:val="24"/>
          <w:szCs w:val="24"/>
        </w:rPr>
        <w:t>-</w:t>
      </w:r>
      <w:r>
        <w:rPr>
          <w:rFonts w:ascii="仿宋" w:eastAsia="仿宋" w:hAnsi="仿宋"/>
          <w:kern w:val="2"/>
          <w:sz w:val="24"/>
          <w:szCs w:val="24"/>
        </w:rPr>
        <w:t>3</w:t>
      </w:r>
      <w:r>
        <w:rPr>
          <w:rFonts w:ascii="仿宋" w:eastAsia="仿宋" w:hAnsi="仿宋" w:hint="eastAsia"/>
          <w:kern w:val="2"/>
          <w:sz w:val="24"/>
          <w:szCs w:val="24"/>
        </w:rPr>
        <w:t>道论述题或材料分析题，总分为6</w:t>
      </w:r>
      <w:r>
        <w:rPr>
          <w:rFonts w:ascii="仿宋" w:eastAsia="仿宋" w:hAnsi="仿宋"/>
          <w:kern w:val="2"/>
          <w:sz w:val="24"/>
          <w:szCs w:val="24"/>
        </w:rPr>
        <w:t>0</w:t>
      </w:r>
      <w:r>
        <w:rPr>
          <w:rFonts w:ascii="仿宋" w:eastAsia="仿宋" w:hAnsi="仿宋" w:hint="eastAsia"/>
          <w:kern w:val="2"/>
          <w:sz w:val="24"/>
          <w:szCs w:val="24"/>
        </w:rPr>
        <w:t>分，考试形式为限制性开卷考试。学生需在学校统一安排的考场和规定时间内独立完成期末考核试卷。</w:t>
      </w:r>
      <w:r w:rsidRP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期末考核参考资料主要为本课程</w:t>
      </w:r>
      <w:r w:rsid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教育部</w:t>
      </w:r>
      <w:r w:rsidRP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教学课件</w:t>
      </w:r>
      <w:r w:rsid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、党的二十大报告</w:t>
      </w:r>
      <w:r w:rsidRPr="008E55FD">
        <w:rPr>
          <w:rFonts w:ascii="仿宋" w:eastAsia="仿宋" w:hAnsi="仿宋" w:hint="eastAsia"/>
          <w:color w:val="FF0000"/>
          <w:kern w:val="2"/>
          <w:sz w:val="24"/>
          <w:szCs w:val="24"/>
        </w:rPr>
        <w:t>。</w:t>
      </w:r>
    </w:p>
    <w:p w:rsidR="00012264" w:rsidRDefault="00A37F88">
      <w:pPr>
        <w:widowControl w:val="0"/>
        <w:adjustRightInd/>
        <w:snapToGrid/>
        <w:spacing w:after="0" w:line="360" w:lineRule="auto"/>
        <w:ind w:firstLineChars="200" w:firstLine="480"/>
        <w:rPr>
          <w:rFonts w:ascii="仿宋" w:eastAsia="仿宋" w:hAnsi="仿宋"/>
          <w:kern w:val="2"/>
          <w:sz w:val="24"/>
          <w:szCs w:val="24"/>
        </w:rPr>
      </w:pPr>
      <w:r>
        <w:rPr>
          <w:rFonts w:ascii="仿宋" w:eastAsia="仿宋" w:hAnsi="仿宋" w:hint="eastAsia"/>
          <w:kern w:val="2"/>
          <w:sz w:val="24"/>
          <w:szCs w:val="30"/>
        </w:rPr>
        <w:t>本方案最终解释权归马克思主义学院。</w:t>
      </w:r>
    </w:p>
    <w:p w:rsidR="00012264" w:rsidRDefault="00012264">
      <w:pPr>
        <w:widowControl w:val="0"/>
        <w:adjustRightInd/>
        <w:snapToGrid/>
        <w:spacing w:after="0" w:line="360" w:lineRule="auto"/>
        <w:ind w:leftChars="200" w:left="440" w:firstLineChars="1100" w:firstLine="2640"/>
        <w:rPr>
          <w:rFonts w:ascii="仿宋" w:eastAsia="仿宋" w:hAnsi="仿宋"/>
          <w:kern w:val="2"/>
          <w:sz w:val="24"/>
          <w:szCs w:val="24"/>
        </w:rPr>
      </w:pPr>
    </w:p>
    <w:p w:rsidR="00012264" w:rsidRDefault="00A37F88">
      <w:pPr>
        <w:widowControl w:val="0"/>
        <w:adjustRightInd/>
        <w:snapToGrid/>
        <w:spacing w:after="0" w:line="360" w:lineRule="auto"/>
        <w:ind w:leftChars="200" w:left="440" w:firstLineChars="1100" w:firstLine="2640"/>
        <w:rPr>
          <w:rFonts w:ascii="仿宋" w:eastAsia="仿宋" w:hAnsi="仿宋"/>
          <w:kern w:val="2"/>
          <w:sz w:val="24"/>
          <w:szCs w:val="24"/>
        </w:rPr>
      </w:pPr>
      <w:r>
        <w:rPr>
          <w:rFonts w:ascii="仿宋" w:eastAsia="仿宋" w:hAnsi="仿宋" w:hint="eastAsia"/>
          <w:kern w:val="2"/>
          <w:sz w:val="24"/>
          <w:szCs w:val="24"/>
        </w:rPr>
        <w:t>习近平新时代中国特色社会主义思想概论教研室</w:t>
      </w:r>
    </w:p>
    <w:p w:rsidR="00012264" w:rsidRDefault="00A37F88">
      <w:pPr>
        <w:widowControl w:val="0"/>
        <w:adjustRightInd/>
        <w:snapToGrid/>
        <w:spacing w:after="0" w:line="360" w:lineRule="auto"/>
        <w:ind w:right="600" w:firstLineChars="200" w:firstLine="480"/>
        <w:jc w:val="right"/>
        <w:rPr>
          <w:rFonts w:ascii="仿宋" w:eastAsia="仿宋" w:hAnsi="仿宋"/>
          <w:kern w:val="2"/>
          <w:sz w:val="24"/>
          <w:szCs w:val="24"/>
        </w:rPr>
      </w:pPr>
      <w:r>
        <w:rPr>
          <w:rFonts w:ascii="仿宋" w:eastAsia="仿宋" w:hAnsi="仿宋" w:hint="eastAsia"/>
          <w:kern w:val="2"/>
          <w:sz w:val="24"/>
          <w:szCs w:val="24"/>
        </w:rPr>
        <w:t>202</w:t>
      </w:r>
      <w:r w:rsidR="008E55FD">
        <w:rPr>
          <w:rFonts w:ascii="仿宋" w:eastAsia="仿宋" w:hAnsi="仿宋"/>
          <w:kern w:val="2"/>
          <w:sz w:val="24"/>
          <w:szCs w:val="24"/>
        </w:rPr>
        <w:t>3</w:t>
      </w:r>
      <w:r>
        <w:rPr>
          <w:rFonts w:ascii="仿宋" w:eastAsia="仿宋" w:hAnsi="仿宋" w:hint="eastAsia"/>
          <w:kern w:val="2"/>
          <w:sz w:val="24"/>
          <w:szCs w:val="24"/>
        </w:rPr>
        <w:t>年</w:t>
      </w:r>
      <w:r w:rsidR="000B7F8E">
        <w:rPr>
          <w:rFonts w:ascii="仿宋" w:eastAsia="仿宋" w:hAnsi="仿宋"/>
          <w:kern w:val="2"/>
          <w:sz w:val="24"/>
          <w:szCs w:val="24"/>
        </w:rPr>
        <w:t>6</w:t>
      </w:r>
      <w:r>
        <w:rPr>
          <w:rFonts w:ascii="仿宋" w:eastAsia="仿宋" w:hAnsi="仿宋" w:hint="eastAsia"/>
          <w:kern w:val="2"/>
          <w:sz w:val="24"/>
          <w:szCs w:val="24"/>
        </w:rPr>
        <w:t>月</w:t>
      </w:r>
      <w:r w:rsidR="000B7F8E">
        <w:rPr>
          <w:rFonts w:ascii="仿宋" w:eastAsia="仿宋" w:hAnsi="仿宋"/>
          <w:kern w:val="2"/>
          <w:sz w:val="24"/>
          <w:szCs w:val="24"/>
        </w:rPr>
        <w:t>2</w:t>
      </w:r>
      <w:r>
        <w:rPr>
          <w:rFonts w:ascii="仿宋" w:eastAsia="仿宋" w:hAnsi="仿宋" w:hint="eastAsia"/>
          <w:kern w:val="2"/>
          <w:sz w:val="24"/>
          <w:szCs w:val="24"/>
        </w:rPr>
        <w:t>日</w:t>
      </w:r>
    </w:p>
    <w:sectPr w:rsidR="00012264">
      <w:footerReference w:type="default" r:id="rId6"/>
      <w:pgSz w:w="11906" w:h="16838"/>
      <w:pgMar w:top="1440" w:right="1800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B24" w:rsidRDefault="002F5B24">
      <w:pPr>
        <w:spacing w:after="0"/>
      </w:pPr>
      <w:r>
        <w:separator/>
      </w:r>
    </w:p>
  </w:endnote>
  <w:endnote w:type="continuationSeparator" w:id="0">
    <w:p w:rsidR="002F5B24" w:rsidRDefault="002F5B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7757649"/>
    </w:sdtPr>
    <w:sdtEndPr/>
    <w:sdtContent>
      <w:p w:rsidR="00012264" w:rsidRDefault="00A37F88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012264" w:rsidRDefault="000122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B24" w:rsidRDefault="002F5B24">
      <w:pPr>
        <w:spacing w:after="0"/>
      </w:pPr>
      <w:r>
        <w:separator/>
      </w:r>
    </w:p>
  </w:footnote>
  <w:footnote w:type="continuationSeparator" w:id="0">
    <w:p w:rsidR="002F5B24" w:rsidRDefault="002F5B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lhZTc5NGJjNzI3YjEzNjUwZjIwYjMyZjEwZjg3NTgifQ=="/>
  </w:docVars>
  <w:rsids>
    <w:rsidRoot w:val="00DA7901"/>
    <w:rsid w:val="00012264"/>
    <w:rsid w:val="000A4EAA"/>
    <w:rsid w:val="000B7F8E"/>
    <w:rsid w:val="00140E9B"/>
    <w:rsid w:val="0018218B"/>
    <w:rsid w:val="001D2D6C"/>
    <w:rsid w:val="001F56F4"/>
    <w:rsid w:val="002071D1"/>
    <w:rsid w:val="00280269"/>
    <w:rsid w:val="00284CDE"/>
    <w:rsid w:val="00287448"/>
    <w:rsid w:val="002C176C"/>
    <w:rsid w:val="002C3976"/>
    <w:rsid w:val="002F5B24"/>
    <w:rsid w:val="00382623"/>
    <w:rsid w:val="0039220C"/>
    <w:rsid w:val="003C74A8"/>
    <w:rsid w:val="00460946"/>
    <w:rsid w:val="00483183"/>
    <w:rsid w:val="004F15FD"/>
    <w:rsid w:val="004F51AD"/>
    <w:rsid w:val="00501866"/>
    <w:rsid w:val="005168B3"/>
    <w:rsid w:val="00583872"/>
    <w:rsid w:val="00585F9A"/>
    <w:rsid w:val="005C6A44"/>
    <w:rsid w:val="005D69BA"/>
    <w:rsid w:val="005F2EFC"/>
    <w:rsid w:val="005F5DC1"/>
    <w:rsid w:val="0061441A"/>
    <w:rsid w:val="00625FFC"/>
    <w:rsid w:val="006808F8"/>
    <w:rsid w:val="006B312F"/>
    <w:rsid w:val="00700E2A"/>
    <w:rsid w:val="007161BB"/>
    <w:rsid w:val="0075015A"/>
    <w:rsid w:val="00796E89"/>
    <w:rsid w:val="007B7C08"/>
    <w:rsid w:val="007E04E8"/>
    <w:rsid w:val="007E2DAF"/>
    <w:rsid w:val="007F3C64"/>
    <w:rsid w:val="007F6DF5"/>
    <w:rsid w:val="00807BD7"/>
    <w:rsid w:val="008106BC"/>
    <w:rsid w:val="00824605"/>
    <w:rsid w:val="00833F2D"/>
    <w:rsid w:val="008A5F88"/>
    <w:rsid w:val="008D7F26"/>
    <w:rsid w:val="008E55FD"/>
    <w:rsid w:val="009F61C6"/>
    <w:rsid w:val="00A07E35"/>
    <w:rsid w:val="00A1752E"/>
    <w:rsid w:val="00A37F88"/>
    <w:rsid w:val="00A50038"/>
    <w:rsid w:val="00A90D46"/>
    <w:rsid w:val="00A93C7E"/>
    <w:rsid w:val="00AE7C57"/>
    <w:rsid w:val="00AF4660"/>
    <w:rsid w:val="00B60566"/>
    <w:rsid w:val="00C10844"/>
    <w:rsid w:val="00C55A6E"/>
    <w:rsid w:val="00C607A5"/>
    <w:rsid w:val="00C70CC1"/>
    <w:rsid w:val="00C77FF9"/>
    <w:rsid w:val="00D26B13"/>
    <w:rsid w:val="00DA4361"/>
    <w:rsid w:val="00DA7901"/>
    <w:rsid w:val="00E27807"/>
    <w:rsid w:val="00EF486A"/>
    <w:rsid w:val="00EF7777"/>
    <w:rsid w:val="00F06A07"/>
    <w:rsid w:val="00F148A1"/>
    <w:rsid w:val="00F54AE7"/>
    <w:rsid w:val="00F748D6"/>
    <w:rsid w:val="00FC20F8"/>
    <w:rsid w:val="04D31337"/>
    <w:rsid w:val="1DC86630"/>
    <w:rsid w:val="26244669"/>
    <w:rsid w:val="3A72247D"/>
    <w:rsid w:val="3FCE45FA"/>
    <w:rsid w:val="4E1C7BC6"/>
    <w:rsid w:val="61500EBB"/>
    <w:rsid w:val="634560D1"/>
    <w:rsid w:val="69613D33"/>
    <w:rsid w:val="7233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982E"/>
  <w15:docId w15:val="{5205987F-8F0A-4B9C-BD09-B5C407EC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45</cp:revision>
  <dcterms:created xsi:type="dcterms:W3CDTF">2021-09-01T06:12:00Z</dcterms:created>
  <dcterms:modified xsi:type="dcterms:W3CDTF">2023-06-02T09:29:00Z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84E46D5EB48A4CF7827ADF16BF90AB52</vt:lpwstr>
  </property>
</Properties>
</file>