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Baglib — Library Domain Data Dictionary</w:t>
      </w:r>
    </w:p>
    <w:p>
      <w:pPr>
        <w:spacing w:after="120"/>
        <w:jc w:val="left"/>
      </w:pPr>
      <w:r>
        <w:t xml:space="preserve">Companion to </w:t>
      </w:r>
      <w:r>
        <w:rPr>
          <w:rFonts w:ascii="Courier New" w:cs="Courier New" w:eastAsia="Courier New" w:hAnsi="Courier New"/>
          <w:shd w:fill="F1F5F9" w:color="auto" w:val="clear"/>
        </w:rPr>
        <w:t xml:space="preserve">baglib-library-domain-schema.dbml</w:t>
      </w:r>
      <w:r>
        <w:t xml:space="preserve">, ADR-001, and ADR-002. Covers every table and column currently defined for the Library bounded context.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Work Family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work_type</w:t>
      </w:r>
    </w:p>
    <w:p>
      <w:pPr>
        <w:spacing w:after="120"/>
        <w:jc w:val="left"/>
      </w:pPr>
      <w:r>
        <w:t xml:space="preserve">Lookup table for what kind of thing a Work is (book, research paper, video, podcast, lecture...). A table rather than a hardcoded enum so new types are a row insert, not a migration.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00"/>
        <w:gridCol w:w="1680"/>
        <w:gridCol w:w="840"/>
        <w:gridCol w:w="1440"/>
        <w:gridCol w:w="42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Nullable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PK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Surrogate primary key.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varchar(255)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The type's label, shown in the UI and used to drive type-specific behavior.</w:t>
            </w:r>
          </w:p>
        </w:tc>
      </w:tr>
      <w:tr>
        <w:tc>
          <w:p>
            <w:pPr>
              <w:jc w:val="left"/>
            </w:pPr>
            <w:r>
              <w:t xml:space="preserve">icon</w:t>
            </w:r>
          </w:p>
        </w:tc>
        <w:tc>
          <w:p>
            <w:pPr>
              <w:jc w:val="left"/>
            </w:pPr>
            <w:r>
              <w:t xml:space="preserve">varchar(255)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Icon identifier/path used in list and card views.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Relations:</w:t>
      </w:r>
      <w:r>
        <w:t xml:space="preserve"> one </w:t>
      </w:r>
      <w:r>
        <w:rPr>
          <w:rFonts w:ascii="Courier New" w:cs="Courier New" w:eastAsia="Courier New" w:hAnsi="Courier New"/>
          <w:shd w:fill="F1F5F9" w:color="auto" w:val="clear"/>
        </w:rPr>
        <w:t xml:space="preserve">work_type</w:t>
      </w:r>
      <w:r>
        <w:t xml:space="preserve"> categorizes many </w:t>
      </w:r>
      <w:r>
        <w:rPr>
          <w:rFonts w:ascii="Courier New" w:cs="Courier New" w:eastAsia="Courier New" w:hAnsi="Courier New"/>
          <w:shd w:fill="F1F5F9" w:color="auto" w:val="clear"/>
        </w:rPr>
        <w:t xml:space="preserve">work</w:t>
      </w:r>
      <w:r>
        <w:t xml:space="preserve"> rows.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work</w:t>
      </w:r>
    </w:p>
    <w:p>
      <w:pPr>
        <w:spacing w:after="120"/>
        <w:jc w:val="left"/>
      </w:pPr>
      <w:r>
        <w:t xml:space="preserve">The intellectual creation itself — a book, paper, lecture series, etc. — independent of any specific printing, translation, or copy. The root of the Work → Edition → Source hierarchy from ADR-001.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60"/>
        <w:gridCol w:w="1285"/>
        <w:gridCol w:w="1560"/>
        <w:gridCol w:w="1101"/>
        <w:gridCol w:w="385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Nullable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PK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Surrogate primary key.</w:t>
            </w:r>
          </w:p>
        </w:tc>
      </w:tr>
      <w:tr>
        <w:tc>
          <w:p>
            <w:pPr>
              <w:jc w:val="left"/>
            </w:pPr>
            <w:r>
              <w:t xml:space="preserve">work_type_id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FK → work_type.id</w:t>
            </w:r>
          </w:p>
        </w:tc>
        <w:tc>
          <w:p>
            <w:pPr>
              <w:jc w:val="left"/>
            </w:pPr>
            <w:r>
              <w:t xml:space="preserve">Yes*</w:t>
            </w:r>
          </w:p>
        </w:tc>
        <w:tc>
          <w:p>
            <w:pPr>
              <w:jc w:val="left"/>
            </w:pPr>
            <w:r>
              <w:t xml:space="preserve">Which kind of Work this is. *Should be treated as required in practice; not yet enforced at the schema level.</w:t>
            </w:r>
          </w:p>
        </w:tc>
      </w:tr>
      <w:tr>
        <w:tc>
          <w:p>
            <w:pPr>
              <w:jc w:val="left"/>
            </w:pPr>
            <w:r>
              <w:t xml:space="preserve">title</w:t>
            </w:r>
          </w:p>
        </w:tc>
        <w:tc>
          <w:p>
            <w:pPr>
              <w:jc w:val="left"/>
            </w:pPr>
            <w:r>
              <w:t xml:space="preserve">varchar(255)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The Work's title, in its original or primary form.</w:t>
            </w:r>
          </w:p>
        </w:tc>
      </w:tr>
      <w:tr>
        <w:tc>
          <w:p>
            <w:pPr>
              <w:jc w:val="left"/>
            </w:pPr>
            <w:r>
              <w:t xml:space="preserve">original_language</w:t>
            </w:r>
          </w:p>
        </w:tc>
        <w:tc>
          <w:p>
            <w:pPr>
              <w:jc w:val="left"/>
            </w:pPr>
            <w:r>
              <w:t xml:space="preserve">varchar(100)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Language the Work was originally created in — independent of any Edition's translation language.</w:t>
            </w:r>
          </w:p>
        </w:tc>
      </w:tr>
      <w:tr>
        <w:tc>
          <w:p>
            <w:pPr>
              <w:jc w:val="left"/>
            </w:pPr>
            <w:r>
              <w:t xml:space="preserve">description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Free-text synopsis or summary.</w:t>
            </w:r>
          </w:p>
        </w:tc>
      </w:tr>
      <w:tr>
        <w:tc>
          <w:p>
            <w:pPr>
              <w:jc w:val="left"/>
            </w:pPr>
            <w:r>
              <w:t xml:space="preserve">external_ref</w:t>
            </w:r>
          </w:p>
        </w:tc>
        <w:tc>
          <w:p>
            <w:pPr>
              <w:jc w:val="left"/>
            </w:pPr>
            <w:r>
              <w:t xml:space="preserve">varchar(255)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External identifier for cross-referencing (OpenLibrary ID, DOI, etc.). Not every Work has one.</w:t>
            </w:r>
          </w:p>
        </w:tc>
      </w:tr>
      <w:tr>
        <w:tc>
          <w:p>
            <w:pPr>
              <w:jc w:val="left"/>
            </w:pPr>
            <w:r>
              <w:t xml:space="preserve">created_at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When this record was created in Baglib — not when the Work itself was authored.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Relations: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work_type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work</w:t>
      </w:r>
      <w:r>
        <w:t xml:space="preserve"> (many-to-one). </w:t>
      </w:r>
      <w:r>
        <w:rPr>
          <w:rFonts w:ascii="Courier New" w:cs="Courier New" w:eastAsia="Courier New" w:hAnsi="Courier New"/>
          <w:shd w:fill="F1F5F9" w:color="auto" w:val="clear"/>
        </w:rPr>
        <w:t xml:space="preserve">work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edition</w:t>
      </w:r>
      <w:r>
        <w:t xml:space="preserve"> (one-to-many). </w:t>
      </w:r>
      <w:r>
        <w:rPr>
          <w:rFonts w:ascii="Courier New" w:cs="Courier New" w:eastAsia="Courier New" w:hAnsi="Courier New"/>
          <w:shd w:fill="F1F5F9" w:color="auto" w:val="clear"/>
        </w:rPr>
        <w:t xml:space="preserve">work</w:t>
      </w:r>
      <w:r>
        <w:t xml:space="preserve"> ↔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</w:t>
      </w:r>
      <w:r>
        <w:t xml:space="preserve"> via </w:t>
      </w:r>
      <w:r>
        <w:rPr>
          <w:rFonts w:ascii="Courier New" w:cs="Courier New" w:eastAsia="Courier New" w:hAnsi="Courier New"/>
          <w:shd w:fill="F1F5F9" w:color="auto" w:val="clear"/>
        </w:rPr>
        <w:t xml:space="preserve">work_author</w:t>
      </w:r>
      <w:r>
        <w:t xml:space="preserve">. </w:t>
      </w:r>
      <w:r>
        <w:rPr>
          <w:rFonts w:ascii="Courier New" w:cs="Courier New" w:eastAsia="Courier New" w:hAnsi="Courier New"/>
          <w:shd w:fill="F1F5F9" w:color="auto" w:val="clear"/>
        </w:rPr>
        <w:t xml:space="preserve">work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knowledge</w:t>
      </w:r>
      <w:r>
        <w:t xml:space="preserve"> (one-to-many). </w:t>
      </w:r>
      <w:r>
        <w:rPr>
          <w:rFonts w:ascii="Courier New" w:cs="Courier New" w:eastAsia="Courier New" w:hAnsi="Courier New"/>
          <w:shd w:fill="F1F5F9" w:color="auto" w:val="clear"/>
        </w:rPr>
        <w:t xml:space="preserve">work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reading_session</w:t>
      </w:r>
      <w:r>
        <w:t xml:space="preserve"> (one-to-many). </w:t>
      </w:r>
      <w:r>
        <w:rPr>
          <w:rFonts w:ascii="Courier New" w:cs="Courier New" w:eastAsia="Courier New" w:hAnsi="Courier New"/>
          <w:shd w:fill="F1F5F9" w:color="auto" w:val="clear"/>
        </w:rPr>
        <w:t xml:space="preserve">work</w:t>
      </w:r>
      <w:r>
        <w:t xml:space="preserve"> ↔ </w:t>
      </w:r>
      <w:r>
        <w:rPr>
          <w:rFonts w:ascii="Courier New" w:cs="Courier New" w:eastAsia="Courier New" w:hAnsi="Courier New"/>
          <w:shd w:fill="F1F5F9" w:color="auto" w:val="clear"/>
        </w:rPr>
        <w:t xml:space="preserve">tag</w:t>
      </w:r>
      <w:r>
        <w:t xml:space="preserve"> via </w:t>
      </w:r>
      <w:r>
        <w:rPr>
          <w:rFonts w:ascii="Courier New" w:cs="Courier New" w:eastAsia="Courier New" w:hAnsi="Courier New"/>
          <w:shd w:fill="F1F5F9" w:color="auto" w:val="clear"/>
        </w:rPr>
        <w:t xml:space="preserve">work_tag</w:t>
      </w:r>
      <w:r>
        <w:t xml:space="preserve">. </w:t>
      </w:r>
      <w:r>
        <w:rPr>
          <w:rFonts w:ascii="Courier New" w:cs="Courier New" w:eastAsia="Courier New" w:hAnsi="Courier New"/>
          <w:shd w:fill="F1F5F9" w:color="auto" w:val="clear"/>
        </w:rPr>
        <w:t xml:space="preserve">work</w:t>
      </w:r>
      <w:r>
        <w:t xml:space="preserve"> ↔ </w:t>
      </w:r>
      <w:r>
        <w:rPr>
          <w:rFonts w:ascii="Courier New" w:cs="Courier New" w:eastAsia="Courier New" w:hAnsi="Courier New"/>
          <w:shd w:fill="F1F5F9" w:color="auto" w:val="clear"/>
        </w:rPr>
        <w:t xml:space="preserve">collection</w:t>
      </w:r>
      <w:r>
        <w:t xml:space="preserve"> via </w:t>
      </w:r>
      <w:r>
        <w:rPr>
          <w:rFonts w:ascii="Courier New" w:cs="Courier New" w:eastAsia="Courier New" w:hAnsi="Courier New"/>
          <w:shd w:fill="F1F5F9" w:color="auto" w:val="clear"/>
        </w:rPr>
        <w:t xml:space="preserve">work_collection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author</w:t>
      </w:r>
    </w:p>
    <w:p>
      <w:pPr>
        <w:spacing w:after="120"/>
        <w:jc w:val="left"/>
      </w:pPr>
      <w:r>
        <w:t xml:space="preserve">A person credited on one or more Works — author, translator, editor, or narrator.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94"/>
        <w:gridCol w:w="1394"/>
        <w:gridCol w:w="697"/>
        <w:gridCol w:w="1195"/>
        <w:gridCol w:w="47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Nullable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PK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Surrogate primary key.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varchar(255)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The person's name.</w:t>
            </w:r>
          </w:p>
        </w:tc>
      </w:tr>
      <w:tr>
        <w:tc>
          <w:p>
            <w:pPr>
              <w:jc w:val="left"/>
            </w:pPr>
            <w:r>
              <w:t xml:space="preserve">birth_year</w:t>
            </w:r>
          </w:p>
        </w:tc>
        <w:tc>
          <w:p>
            <w:pPr>
              <w:jc w:val="left"/>
            </w:pPr>
            <w:r>
              <w:t xml:space="preserve">varchar(10)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Stored as text, not int/date, to accommodate approximate or era-based dates (e.g. "c. 850 CE") common for historical and classical authors.</w:t>
            </w:r>
          </w:p>
        </w:tc>
      </w:tr>
      <w:tr>
        <w:tc>
          <w:p>
            <w:pPr>
              <w:jc w:val="left"/>
            </w:pPr>
            <w:r>
              <w:t xml:space="preserve">death_year</w:t>
            </w:r>
          </w:p>
        </w:tc>
        <w:tc>
          <w:p>
            <w:pPr>
              <w:jc w:val="left"/>
            </w:pPr>
            <w:r>
              <w:t xml:space="preserve">varchar(10)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Same rationale as birth_year. Null for living authors.</w:t>
            </w:r>
          </w:p>
        </w:tc>
      </w:tr>
      <w:tr>
        <w:tc>
          <w:p>
            <w:pPr>
              <w:jc w:val="left"/>
            </w:pPr>
            <w:r>
              <w:t xml:space="preserve">bio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Free-text biography.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Relations: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</w:t>
      </w:r>
      <w:r>
        <w:t xml:space="preserve"> ↔ </w:t>
      </w:r>
      <w:r>
        <w:rPr>
          <w:rFonts w:ascii="Courier New" w:cs="Courier New" w:eastAsia="Courier New" w:hAnsi="Courier New"/>
          <w:shd w:fill="F1F5F9" w:color="auto" w:val="clear"/>
        </w:rPr>
        <w:t xml:space="preserve">work</w:t>
      </w:r>
      <w:r>
        <w:t xml:space="preserve"> via </w:t>
      </w:r>
      <w:r>
        <w:rPr>
          <w:rFonts w:ascii="Courier New" w:cs="Courier New" w:eastAsia="Courier New" w:hAnsi="Courier New"/>
          <w:shd w:fill="F1F5F9" w:color="auto" w:val="clear"/>
        </w:rPr>
        <w:t xml:space="preserve">work_author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work_author</w:t>
      </w:r>
    </w:p>
    <w:p>
      <w:pPr>
        <w:spacing w:after="120"/>
        <w:jc w:val="left"/>
      </w:pPr>
      <w:r>
        <w:t xml:space="preserve">Join table crediting a person on a Work, with a role.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44"/>
        <w:gridCol w:w="1101"/>
        <w:gridCol w:w="1809"/>
        <w:gridCol w:w="944"/>
        <w:gridCol w:w="456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Nullable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work_id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PK (composite), FK → work.id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The Work being credited.</w:t>
            </w:r>
          </w:p>
        </w:tc>
      </w:tr>
      <w:tr>
        <w:tc>
          <w:p>
            <w:pPr>
              <w:jc w:val="left"/>
            </w:pPr>
            <w:r>
              <w:t xml:space="preserve">author_id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PK (composite), FK → author.id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The person being credited.</w:t>
            </w:r>
          </w:p>
        </w:tc>
      </w:tr>
      <w:tr>
        <w:tc>
          <w:p>
            <w:pPr>
              <w:jc w:val="left"/>
            </w:pPr>
            <w:r>
              <w:t xml:space="preserve">role</w:t>
            </w:r>
          </w:p>
        </w:tc>
        <w:tc>
          <w:p>
            <w:pPr>
              <w:jc w:val="left"/>
            </w:pPr>
            <w:r>
              <w:t xml:space="preserve">varchar(50)</w:t>
            </w:r>
          </w:p>
        </w:tc>
        <w:tc>
          <w:p>
            <w:pPr>
              <w:jc w:val="left"/>
            </w:pPr>
            <w:r>
              <w:t xml:space="preserve">PK (composite)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Nature of the contribution — author, translator, editor, narrator, etc. Part of the composite key so the same person can be credited in more than one role on the same Work (e.g. translator </w:t>
            </w:r>
            <w:r>
              <w:rPr>
                <w:i/>
                <w:iCs/>
              </w:rPr>
              <w:t xml:space="preserve">and</w:t>
            </w:r>
            <w:r>
              <w:t xml:space="preserve"> commentator).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Relations:</w:t>
      </w:r>
      <w:r>
        <w:t xml:space="preserve"> joins </w:t>
      </w:r>
      <w:r>
        <w:rPr>
          <w:rFonts w:ascii="Courier New" w:cs="Courier New" w:eastAsia="Courier New" w:hAnsi="Courier New"/>
          <w:shd w:fill="F1F5F9" w:color="auto" w:val="clear"/>
        </w:rPr>
        <w:t xml:space="preserve">work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edition</w:t>
      </w:r>
    </w:p>
    <w:p>
      <w:pPr>
        <w:spacing w:after="120"/>
        <w:jc w:val="left"/>
      </w:pPr>
      <w:r>
        <w:t xml:space="preserve">A specific printing, translation, or version of a Work — the "Expression/Manifestation" layer between the abstract Work and a physical or digital copy of it.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54"/>
        <w:gridCol w:w="1272"/>
        <w:gridCol w:w="1363"/>
        <w:gridCol w:w="1090"/>
        <w:gridCol w:w="418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Nullable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PK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Surrogate primary key.</w:t>
            </w:r>
          </w:p>
        </w:tc>
      </w:tr>
      <w:tr>
        <w:tc>
          <w:p>
            <w:pPr>
              <w:jc w:val="left"/>
            </w:pPr>
            <w:r>
              <w:t xml:space="preserve">work_id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FK → work.id</w:t>
            </w:r>
          </w:p>
        </w:tc>
        <w:tc>
          <w:p>
            <w:pPr>
              <w:jc w:val="left"/>
            </w:pPr>
            <w:r>
              <w:t xml:space="preserve">Yes*</w:t>
            </w:r>
          </w:p>
        </w:tc>
        <w:tc>
          <w:p>
            <w:pPr>
              <w:jc w:val="left"/>
            </w:pPr>
            <w:r>
              <w:t xml:space="preserve">The Work this is an edition of. *Should be required in practice; every Edition belongs to exactly one Work.</w:t>
            </w:r>
          </w:p>
        </w:tc>
      </w:tr>
      <w:tr>
        <w:tc>
          <w:p>
            <w:pPr>
              <w:jc w:val="left"/>
            </w:pPr>
            <w:r>
              <w:t xml:space="preserve">label</w:t>
            </w:r>
          </w:p>
        </w:tc>
        <w:tc>
          <w:p>
            <w:pPr>
              <w:jc w:val="left"/>
            </w:pPr>
            <w:r>
              <w:t xml:space="preserve">varchar(255)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Human-readable identifier, e.g. "Dar Tawq al-Najah, 2nd ed." Free text, since editions are described inconsistently across sources.</w:t>
            </w:r>
          </w:p>
        </w:tc>
      </w:tr>
      <w:tr>
        <w:tc>
          <w:p>
            <w:pPr>
              <w:jc w:val="left"/>
            </w:pPr>
            <w:r>
              <w:t xml:space="preserve">publisher</w:t>
            </w:r>
          </w:p>
        </w:tc>
        <w:tc>
          <w:p>
            <w:pPr>
              <w:jc w:val="left"/>
            </w:pPr>
            <w:r>
              <w:t xml:space="preserve">varchar(255)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Publisher name, currently free text rather than normalized (see Open Questions below).</w:t>
            </w:r>
          </w:p>
        </w:tc>
      </w:tr>
      <w:tr>
        <w:tc>
          <w:p>
            <w:pPr>
              <w:jc w:val="left"/>
            </w:pPr>
            <w:r>
              <w:t xml:space="preserve">publication_year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Year this edition was published.</w:t>
            </w:r>
          </w:p>
        </w:tc>
      </w:tr>
      <w:tr>
        <w:tc>
          <w:p>
            <w:pPr>
              <w:jc w:val="left"/>
            </w:pPr>
            <w:r>
              <w:t xml:space="preserve">language</w:t>
            </w:r>
          </w:p>
        </w:tc>
        <w:tc>
          <w:p>
            <w:pPr>
              <w:jc w:val="left"/>
            </w:pPr>
            <w:r>
              <w:t xml:space="preserve">varchar(100)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This edition's language — may differ from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work.original_language</w:t>
            </w:r>
            <w:r>
              <w:t xml:space="preserve"> when it's a translation.</w:t>
            </w:r>
          </w:p>
        </w:tc>
      </w:tr>
      <w:tr>
        <w:tc>
          <w:p>
            <w:pPr>
              <w:jc w:val="left"/>
            </w:pPr>
            <w:r>
              <w:t xml:space="preserve">isbn</w:t>
            </w:r>
          </w:p>
        </w:tc>
        <w:tc>
          <w:p>
            <w:pPr>
              <w:jc w:val="left"/>
            </w:pPr>
            <w:r>
              <w:t xml:space="preserve">varchar(20)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ISBN, where one exists. Many editions (older, physical, non-Western prints) won't have one.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Relations: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work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edition</w:t>
      </w:r>
      <w:r>
        <w:t xml:space="preserve"> (one-to-many). </w:t>
      </w:r>
      <w:r>
        <w:rPr>
          <w:rFonts w:ascii="Courier New" w:cs="Courier New" w:eastAsia="Courier New" w:hAnsi="Courier New"/>
          <w:shd w:fill="F1F5F9" w:color="auto" w:val="clear"/>
        </w:rPr>
        <w:t xml:space="preserve">edition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source</w:t>
      </w:r>
      <w:r>
        <w:t xml:space="preserve"> (one-to-many). </w:t>
      </w:r>
      <w:r>
        <w:rPr>
          <w:rFonts w:ascii="Courier New" w:cs="Courier New" w:eastAsia="Courier New" w:hAnsi="Courier New"/>
          <w:shd w:fill="F1F5F9" w:color="auto" w:val="clear"/>
        </w:rPr>
        <w:t xml:space="preserve">edition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knowledge</w:t>
      </w:r>
      <w:r>
        <w:t xml:space="preserve"> (one-to-many, optional scoping). </w:t>
      </w:r>
      <w:r>
        <w:rPr>
          <w:rFonts w:ascii="Courier New" w:cs="Courier New" w:eastAsia="Courier New" w:hAnsi="Courier New"/>
          <w:shd w:fill="F1F5F9" w:color="auto" w:val="clear"/>
        </w:rPr>
        <w:t xml:space="preserve">edition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reading_session</w:t>
      </w:r>
      <w:r>
        <w:t xml:space="preserve"> (one-to-many).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Source Family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source</w:t>
      </w:r>
    </w:p>
    <w:p>
      <w:pPr>
        <w:spacing w:after="120"/>
        <w:jc w:val="left"/>
      </w:pPr>
      <w:r>
        <w:t xml:space="preserve">How Baglib actually accesses a given Edition — a linked file, a managed (copied-in) file, a physical copy, or a wishlist entry. Base table in a base-plus-detail pattern; exactly one of the three </w:t>
      </w:r>
      <w:r>
        <w:rPr>
          <w:rFonts w:ascii="Courier New" w:cs="Courier New" w:eastAsia="Courier New" w:hAnsi="Courier New"/>
          <w:shd w:fill="F1F5F9" w:color="auto" w:val="clear"/>
        </w:rPr>
        <w:t xml:space="preserve">_detail</w:t>
      </w:r>
      <w:r>
        <w:t xml:space="preserve"> tables below holds a matching row, depending on </w:t>
      </w:r>
      <w:r>
        <w:rPr>
          <w:rFonts w:ascii="Courier New" w:cs="Courier New" w:eastAsia="Courier New" w:hAnsi="Courier New"/>
          <w:shd w:fill="F1F5F9" w:color="auto" w:val="clear"/>
        </w:rPr>
        <w:t xml:space="preserve">source_type</w:t>
      </w:r>
      <w:r>
        <w:t xml:space="preserve">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37"/>
        <w:gridCol w:w="1337"/>
        <w:gridCol w:w="1528"/>
        <w:gridCol w:w="1146"/>
        <w:gridCol w:w="401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Nullable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PK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Surrogate primary key.</w:t>
            </w:r>
          </w:p>
        </w:tc>
      </w:tr>
      <w:tr>
        <w:tc>
          <w:p>
            <w:pPr>
              <w:jc w:val="left"/>
            </w:pPr>
            <w:r>
              <w:t xml:space="preserve">edition_id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FK → edition.id</w:t>
            </w:r>
          </w:p>
        </w:tc>
        <w:tc>
          <w:p>
            <w:pPr>
              <w:jc w:val="left"/>
            </w:pPr>
            <w:r>
              <w:t xml:space="preserve">Yes*</w:t>
            </w:r>
          </w:p>
        </w:tc>
        <w:tc>
          <w:p>
            <w:pPr>
              <w:jc w:val="left"/>
            </w:pPr>
            <w:r>
              <w:t xml:space="preserve">Which Edition this Source provides access to. *Should be required in practice.</w:t>
            </w:r>
          </w:p>
        </w:tc>
      </w:tr>
      <w:tr>
        <w:tc>
          <w:p>
            <w:pPr>
              <w:jc w:val="left"/>
            </w:pPr>
            <w:r>
              <w:t xml:space="preserve">source_type</w:t>
            </w:r>
          </w:p>
        </w:tc>
        <w:tc>
          <w:p>
            <w:pPr>
              <w:jc w:val="left"/>
            </w:pPr>
            <w:r>
              <w:t xml:space="preserve">varchar(50)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linked_file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managed_file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physical</w:t>
            </w:r>
            <w:r>
              <w:t xml:space="preserve">,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wishlist</w:t>
            </w:r>
            <w:r>
              <w:t xml:space="preserve">. Determines which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_detail</w:t>
            </w:r>
            <w:r>
              <w:t xml:space="preserve"> table applies.</w:t>
            </w:r>
          </w:p>
        </w:tc>
      </w:tr>
      <w:tr>
        <w:tc>
          <w:p>
            <w:pPr>
              <w:jc w:val="left"/>
            </w:pPr>
            <w:r>
              <w:t xml:space="preserve">status</w:t>
            </w:r>
          </w:p>
        </w:tc>
        <w:tc>
          <w:p>
            <w:pPr>
              <w:jc w:val="left"/>
            </w:pPr>
            <w:r>
              <w:t xml:space="preserve">varchar(50)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active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missing</w:t>
            </w:r>
            <w:r>
              <w:t xml:space="preserve">,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wishlist</w:t>
            </w:r>
            <w:r>
              <w:t xml:space="preserve">. Whether this copy is currently available, independent of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source_type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t xml:space="preserve">added_at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When this Source was added to the library.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Relations: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edition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source</w:t>
      </w:r>
      <w:r>
        <w:t xml:space="preserve"> (one-to-many). </w:t>
      </w:r>
      <w:r>
        <w:rPr>
          <w:rFonts w:ascii="Courier New" w:cs="Courier New" w:eastAsia="Courier New" w:hAnsi="Courier New"/>
          <w:shd w:fill="F1F5F9" w:color="auto" w:val="clear"/>
        </w:rPr>
        <w:t xml:space="preserve">source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file_source_detail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physical_source_detail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wishlist_source_detail</w:t>
      </w:r>
      <w:r>
        <w:t xml:space="preserve"> (one-to-zero-or-one, mutually exclusive by </w:t>
      </w:r>
      <w:r>
        <w:rPr>
          <w:rFonts w:ascii="Courier New" w:cs="Courier New" w:eastAsia="Courier New" w:hAnsi="Courier New"/>
          <w:shd w:fill="F1F5F9" w:color="auto" w:val="clear"/>
        </w:rPr>
        <w:t xml:space="preserve">source_type</w:t>
      </w:r>
      <w:r>
        <w:t xml:space="preserve">). </w:t>
      </w:r>
      <w:r>
        <w:rPr>
          <w:rFonts w:ascii="Courier New" w:cs="Courier New" w:eastAsia="Courier New" w:hAnsi="Courier New"/>
          <w:shd w:fill="F1F5F9" w:color="auto" w:val="clear"/>
        </w:rPr>
        <w:t xml:space="preserve">source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knowledge</w:t>
      </w:r>
      <w:r>
        <w:t xml:space="preserve"> (one-to-many, optional scoping).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file_source_detail</w:t>
      </w:r>
    </w:p>
    <w:p>
      <w:pPr>
        <w:spacing w:after="120"/>
        <w:jc w:val="left"/>
      </w:pPr>
      <w:r>
        <w:t xml:space="preserve">Type-specific fields for a Source where </w:t>
      </w:r>
      <w:r>
        <w:rPr>
          <w:rFonts w:ascii="Courier New" w:cs="Courier New" w:eastAsia="Courier New" w:hAnsi="Courier New"/>
          <w:shd w:fill="F1F5F9" w:color="auto" w:val="clear"/>
        </w:rPr>
        <w:t xml:space="preserve">source_type</w:t>
      </w:r>
      <w:r>
        <w:t xml:space="preserve"> is </w:t>
      </w:r>
      <w:r>
        <w:rPr>
          <w:rFonts w:ascii="Courier New" w:cs="Courier New" w:eastAsia="Courier New" w:hAnsi="Courier New"/>
          <w:shd w:fill="F1F5F9" w:color="auto" w:val="clear"/>
        </w:rPr>
        <w:t xml:space="preserve">linked_file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managed_file</w:t>
      </w:r>
      <w:r>
        <w:t xml:space="preserve">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25"/>
        <w:gridCol w:w="1225"/>
        <w:gridCol w:w="1575"/>
        <w:gridCol w:w="1050"/>
        <w:gridCol w:w="428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Nullable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source_id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PK, FK → source.id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Shared primary key with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source</w:t>
            </w:r>
            <w:r>
              <w:t xml:space="preserve"> — one row per digital-file Source.</w:t>
            </w:r>
          </w:p>
        </w:tc>
      </w:tr>
      <w:tr>
        <w:tc>
          <w:p>
            <w:pPr>
              <w:jc w:val="left"/>
            </w:pPr>
            <w:r>
              <w:t xml:space="preserve">file_path</w:t>
            </w:r>
          </w:p>
        </w:tc>
        <w:tc>
          <w:p>
            <w:pPr>
              <w:jc w:val="left"/>
            </w:pPr>
            <w:r>
              <w:t xml:space="preserve">varchar(255)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Filesystem path, local to the device — local-first, so no cloud path is assumed.</w:t>
            </w:r>
          </w:p>
        </w:tc>
      </w:tr>
      <w:tr>
        <w:tc>
          <w:p>
            <w:pPr>
              <w:jc w:val="left"/>
            </w:pPr>
            <w:r>
              <w:t xml:space="preserve">file_hash</w:t>
            </w:r>
          </w:p>
        </w:tc>
        <w:tc>
          <w:p>
            <w:pPr>
              <w:jc w:val="left"/>
            </w:pPr>
            <w:r>
              <w:t xml:space="preserve">varchar(255)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Content hash, used to detect duplicate imports and verify the file hasn't moved or changed unexpectedly.</w:t>
            </w:r>
          </w:p>
        </w:tc>
      </w:tr>
      <w:tr>
        <w:tc>
          <w:p>
            <w:pPr>
              <w:jc w:val="left"/>
            </w:pPr>
            <w:r>
              <w:t xml:space="preserve">file_format</w:t>
            </w:r>
          </w:p>
        </w:tc>
        <w:tc>
          <w:p>
            <w:pPr>
              <w:jc w:val="left"/>
            </w:pPr>
            <w:r>
              <w:t xml:space="preserve">varchar(20)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pdf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epub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mobi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azw3</w:t>
            </w:r>
            <w:r>
              <w:t xml:space="preserve">, etc.</w:t>
            </w:r>
          </w:p>
        </w:tc>
      </w:tr>
      <w:tr>
        <w:tc>
          <w:p>
            <w:pPr>
              <w:jc w:val="left"/>
            </w:pPr>
            <w:r>
              <w:t xml:space="preserve">is_managed</w:t>
            </w:r>
          </w:p>
        </w:tc>
        <w:tc>
          <w:p>
            <w:pPr>
              <w:jc w:val="left"/>
            </w:pPr>
            <w:r>
              <w:t xml:space="preserve">boolean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Whether Baglib copied the file into its own managed storage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true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managed_file</w:t>
            </w:r>
            <w:r>
              <w:t xml:space="preserve">) or only links to a file kept elsewhere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false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linked_file</w:t>
            </w:r>
            <w:r>
              <w:t xml:space="preserve">).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Relations:</w:t>
      </w:r>
      <w:r>
        <w:t xml:space="preserve"> one-to-one with </w:t>
      </w:r>
      <w:r>
        <w:rPr>
          <w:rFonts w:ascii="Courier New" w:cs="Courier New" w:eastAsia="Courier New" w:hAnsi="Courier New"/>
          <w:shd w:fill="F1F5F9" w:color="auto" w:val="clear"/>
        </w:rPr>
        <w:t xml:space="preserve">source</w:t>
      </w:r>
      <w:r>
        <w:t xml:space="preserve"> (shared PK).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physical_source_detail</w:t>
      </w:r>
    </w:p>
    <w:p>
      <w:pPr>
        <w:spacing w:after="120"/>
        <w:jc w:val="left"/>
      </w:pPr>
      <w:r>
        <w:t xml:space="preserve">Type-specific fields for a Source where </w:t>
      </w:r>
      <w:r>
        <w:rPr>
          <w:rFonts w:ascii="Courier New" w:cs="Courier New" w:eastAsia="Courier New" w:hAnsi="Courier New"/>
          <w:shd w:fill="F1F5F9" w:color="auto" w:val="clear"/>
        </w:rPr>
        <w:t xml:space="preserve">source_type</w:t>
      </w:r>
      <w:r>
        <w:t xml:space="preserve"> is </w:t>
      </w:r>
      <w:r>
        <w:rPr>
          <w:rFonts w:ascii="Courier New" w:cs="Courier New" w:eastAsia="Courier New" w:hAnsi="Courier New"/>
          <w:shd w:fill="F1F5F9" w:color="auto" w:val="clear"/>
        </w:rPr>
        <w:t xml:space="preserve">physical</w:t>
      </w:r>
      <w:r>
        <w:t xml:space="preserve">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63"/>
        <w:gridCol w:w="1363"/>
        <w:gridCol w:w="1636"/>
        <w:gridCol w:w="1090"/>
        <w:gridCol w:w="390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Nullable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source_id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PK, FK → source.id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Shared primary key with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source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t xml:space="preserve">shelf</w:t>
            </w:r>
          </w:p>
        </w:tc>
        <w:tc>
          <w:p>
            <w:pPr>
              <w:jc w:val="left"/>
            </w:pPr>
            <w:r>
              <w:t xml:space="preserve">varchar(100)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Shelf label/identifier.</w:t>
            </w:r>
          </w:p>
        </w:tc>
      </w:tr>
      <w:tr>
        <w:tc>
          <w:p>
            <w:pPr>
              <w:jc w:val="left"/>
            </w:pPr>
            <w:r>
              <w:t xml:space="preserve">room</w:t>
            </w:r>
          </w:p>
        </w:tc>
        <w:tc>
          <w:p>
            <w:pPr>
              <w:jc w:val="left"/>
            </w:pPr>
            <w:r>
              <w:t xml:space="preserve">varchar(100)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Room, for personal libraries spanning more than one.</w:t>
            </w:r>
          </w:p>
        </w:tc>
      </w:tr>
      <w:tr>
        <w:tc>
          <w:p>
            <w:pPr>
              <w:jc w:val="left"/>
            </w:pPr>
            <w:r>
              <w:t xml:space="preserve">condition</w:t>
            </w:r>
          </w:p>
        </w:tc>
        <w:tc>
          <w:p>
            <w:pPr>
              <w:jc w:val="left"/>
            </w:pPr>
            <w:r>
              <w:t xml:space="preserve">varchar(100)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Free-text condition note (e.g. "worn spine", "like new").</w:t>
            </w:r>
          </w:p>
        </w:tc>
      </w:tr>
      <w:tr>
        <w:tc>
          <w:p>
            <w:pPr>
              <w:jc w:val="left"/>
            </w:pPr>
            <w:r>
              <w:t xml:space="preserve">lending_status</w:t>
            </w:r>
          </w:p>
        </w:tc>
        <w:tc>
          <w:p>
            <w:pPr>
              <w:jc w:val="left"/>
            </w:pPr>
            <w:r>
              <w:t xml:space="preserve">varchar(50)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Whether this copy is currently lent out, currently a single free-text field rather than a structured loan record.</w:t>
            </w:r>
          </w:p>
        </w:tc>
      </w:tr>
      <w:tr>
        <w:tc>
          <w:p>
            <w:pPr>
              <w:jc w:val="left"/>
            </w:pPr>
            <w:r>
              <w:t xml:space="preserve">purchase_date</w:t>
            </w:r>
          </w:p>
        </w:tc>
        <w:tc>
          <w:p>
            <w:pPr>
              <w:jc w:val="left"/>
            </w:pPr>
            <w:r>
              <w:t xml:space="preserve">date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When this copy was acquired.</w:t>
            </w:r>
          </w:p>
        </w:tc>
      </w:tr>
      <w:tr>
        <w:tc>
          <w:p>
            <w:pPr>
              <w:jc w:val="left"/>
            </w:pPr>
            <w:r>
              <w:t xml:space="preserve">price</w:t>
            </w:r>
          </w:p>
        </w:tc>
        <w:tc>
          <w:p>
            <w:pPr>
              <w:jc w:val="left"/>
            </w:pPr>
            <w:r>
              <w:t xml:space="preserve">decimal(10,2)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What was paid for it.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Relations:</w:t>
      </w:r>
      <w:r>
        <w:t xml:space="preserve"> one-to-one with </w:t>
      </w:r>
      <w:r>
        <w:rPr>
          <w:rFonts w:ascii="Courier New" w:cs="Courier New" w:eastAsia="Courier New" w:hAnsi="Courier New"/>
          <w:shd w:fill="F1F5F9" w:color="auto" w:val="clear"/>
        </w:rPr>
        <w:t xml:space="preserve">source</w:t>
      </w:r>
      <w:r>
        <w:t xml:space="preserve"> (shared PK).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wishlist_source_detail</w:t>
      </w:r>
    </w:p>
    <w:p>
      <w:pPr>
        <w:spacing w:after="120"/>
        <w:jc w:val="left"/>
      </w:pPr>
      <w:r>
        <w:t xml:space="preserve">Type-specific fields for a Source where </w:t>
      </w:r>
      <w:r>
        <w:rPr>
          <w:rFonts w:ascii="Courier New" w:cs="Courier New" w:eastAsia="Courier New" w:hAnsi="Courier New"/>
          <w:shd w:fill="F1F5F9" w:color="auto" w:val="clear"/>
        </w:rPr>
        <w:t xml:space="preserve">source_type</w:t>
      </w:r>
      <w:r>
        <w:t xml:space="preserve"> is </w:t>
      </w:r>
      <w:r>
        <w:rPr>
          <w:rFonts w:ascii="Courier New" w:cs="Courier New" w:eastAsia="Courier New" w:hAnsi="Courier New"/>
          <w:shd w:fill="F1F5F9" w:color="auto" w:val="clear"/>
        </w:rPr>
        <w:t xml:space="preserve">wishlist</w:t>
      </w:r>
      <w:r>
        <w:t xml:space="preserve">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60"/>
        <w:gridCol w:w="1456"/>
        <w:gridCol w:w="1872"/>
        <w:gridCol w:w="1248"/>
        <w:gridCol w:w="322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Nullable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source_id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PK, FK → source.id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Shared primary key with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source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t xml:space="preserve">priority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How badly this is wanted, for sorting a wishlist view.</w:t>
            </w:r>
          </w:p>
        </w:tc>
      </w:tr>
      <w:tr>
        <w:tc>
          <w:p>
            <w:pPr>
              <w:jc w:val="left"/>
            </w:pPr>
            <w:r>
              <w:t xml:space="preserve">target_format</w:t>
            </w:r>
          </w:p>
        </w:tc>
        <w:tc>
          <w:p>
            <w:pPr>
              <w:jc w:val="left"/>
            </w:pPr>
            <w:r>
              <w:t xml:space="preserve">varchar(50)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The format/edition the reader hopes to eventually acquire.</w:t>
            </w:r>
          </w:p>
        </w:tc>
      </w:tr>
      <w:tr>
        <w:tc>
          <w:p>
            <w:pPr>
              <w:jc w:val="left"/>
            </w:pPr>
            <w:r>
              <w:t xml:space="preserve">notes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Free-text notes — where to find it, why it's wanted, etc.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Relations:</w:t>
      </w:r>
      <w:r>
        <w:t xml:space="preserve"> one-to-one with </w:t>
      </w:r>
      <w:r>
        <w:rPr>
          <w:rFonts w:ascii="Courier New" w:cs="Courier New" w:eastAsia="Courier New" w:hAnsi="Courier New"/>
          <w:shd w:fill="F1F5F9" w:color="auto" w:val="clear"/>
        </w:rPr>
        <w:t xml:space="preserve">source</w:t>
      </w:r>
      <w:r>
        <w:t xml:space="preserve"> (shared PK).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Knowledge Family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knowledge</w:t>
      </w:r>
    </w:p>
    <w:p>
      <w:pPr>
        <w:spacing w:after="120"/>
        <w:jc w:val="left"/>
      </w:pPr>
      <w:r>
        <w:t xml:space="preserve">Anything the reader creates while engaging with a Work — a note, highlight, quote, bookmark, or question. Base table in a base-plus-detail pattern; exactly one </w:t>
      </w:r>
      <w:r>
        <w:rPr>
          <w:rFonts w:ascii="Courier New" w:cs="Courier New" w:eastAsia="Courier New" w:hAnsi="Courier New"/>
          <w:shd w:fill="F1F5F9" w:color="auto" w:val="clear"/>
        </w:rPr>
        <w:t xml:space="preserve">_detail</w:t>
      </w:r>
      <w:r>
        <w:t xml:space="preserve"> table below holds a matching row, depending on </w:t>
      </w:r>
      <w:r>
        <w:rPr>
          <w:rFonts w:ascii="Courier New" w:cs="Courier New" w:eastAsia="Courier New" w:hAnsi="Courier New"/>
          <w:shd w:fill="F1F5F9" w:color="auto" w:val="clear"/>
        </w:rPr>
        <w:t xml:space="preserve">knowledge_type</w:t>
      </w:r>
      <w:r>
        <w:t xml:space="preserve">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00"/>
        <w:gridCol w:w="1213"/>
        <w:gridCol w:w="1387"/>
        <w:gridCol w:w="1040"/>
        <w:gridCol w:w="44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Nullable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PK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Surrogate primary key.</w:t>
            </w:r>
          </w:p>
        </w:tc>
      </w:tr>
      <w:tr>
        <w:tc>
          <w:p>
            <w:pPr>
              <w:jc w:val="left"/>
            </w:pPr>
            <w:r>
              <w:t xml:space="preserve">work_id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FK → work.id</w:t>
            </w:r>
          </w:p>
        </w:tc>
        <w:tc>
          <w:p>
            <w:pPr>
              <w:jc w:val="left"/>
            </w:pPr>
            <w:r>
              <w:t xml:space="preserve">Yes*</w:t>
            </w:r>
          </w:p>
        </w:tc>
        <w:tc>
          <w:p>
            <w:pPr>
              <w:jc w:val="left"/>
            </w:pPr>
            <w:r>
              <w:t xml:space="preserve">The Work this item is about. *Should be required in practice — every Knowledge item belongs to exactly one Work, even when also scoped to an Edition or Source.</w:t>
            </w:r>
          </w:p>
        </w:tc>
      </w:tr>
      <w:tr>
        <w:tc>
          <w:p>
            <w:pPr>
              <w:jc w:val="left"/>
            </w:pPr>
            <w:r>
              <w:t xml:space="preserve">edition_id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FK → edition.id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Optionally, the specific Edition this refers to — relevant when page numbers or translation-specific wording matter.</w:t>
            </w:r>
          </w:p>
        </w:tc>
      </w:tr>
      <w:tr>
        <w:tc>
          <w:p>
            <w:pPr>
              <w:jc w:val="left"/>
            </w:pPr>
            <w:r>
              <w:t xml:space="preserve">source_id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FK → source.id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Optionally, the specific Source (file or physical copy) this was captured from.</w:t>
            </w:r>
          </w:p>
        </w:tc>
      </w:tr>
      <w:tr>
        <w:tc>
          <w:p>
            <w:pPr>
              <w:jc w:val="left"/>
            </w:pPr>
            <w:r>
              <w:t xml:space="preserve">knowledge_type</w:t>
            </w:r>
          </w:p>
        </w:tc>
        <w:tc>
          <w:p>
            <w:pPr>
              <w:jc w:val="left"/>
            </w:pPr>
            <w:r>
              <w:t xml:space="preserve">varchar(50)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note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highlight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quote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bookmark</w:t>
            </w:r>
            <w:r>
              <w:t xml:space="preserve">,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question</w:t>
            </w:r>
            <w:r>
              <w:t xml:space="preserve">. Determines which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_detail</w:t>
            </w:r>
            <w:r>
              <w:t xml:space="preserve"> table applies.</w:t>
            </w:r>
          </w:p>
        </w:tc>
      </w:tr>
      <w:tr>
        <w:tc>
          <w:p>
            <w:pPr>
              <w:jc w:val="left"/>
            </w:pPr>
            <w:r>
              <w:t xml:space="preserve">location</w:t>
            </w:r>
          </w:p>
        </w:tc>
        <w:tc>
          <w:p>
            <w:pPr>
              <w:jc w:val="left"/>
            </w:pPr>
            <w:r>
              <w:t xml:space="preserve">varchar(255)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Where in the Work this is anchored — page, chapter, or reader position. Free text, since "position" differs across PDF, EPUB, and physical books.</w:t>
            </w:r>
          </w:p>
        </w:tc>
      </w:tr>
      <w:tr>
        <w:tc>
          <w:p>
            <w:pPr>
              <w:jc w:val="left"/>
            </w:pPr>
            <w:r>
              <w:t xml:space="preserve">created_at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updated_at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Last-modified time. Full version history, if built, lives in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event_log</w:t>
            </w:r>
            <w:r>
              <w:t xml:space="preserve"> rather than as extra columns here (ADR-001, Event-Driven History).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Relations: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work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knowledge</w:t>
      </w:r>
      <w:r>
        <w:t xml:space="preserve"> (one-to-many). </w:t>
      </w:r>
      <w:r>
        <w:rPr>
          <w:rFonts w:ascii="Courier New" w:cs="Courier New" w:eastAsia="Courier New" w:hAnsi="Courier New"/>
          <w:shd w:fill="F1F5F9" w:color="auto" w:val="clear"/>
        </w:rPr>
        <w:t xml:space="preserve">edition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source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knowledge</w:t>
      </w:r>
      <w:r>
        <w:t xml:space="preserve"> (optional one-to-many). </w:t>
      </w:r>
      <w:r>
        <w:rPr>
          <w:rFonts w:ascii="Courier New" w:cs="Courier New" w:eastAsia="Courier New" w:hAnsi="Courier New"/>
          <w:shd w:fill="F1F5F9" w:color="auto" w:val="clear"/>
        </w:rPr>
        <w:t xml:space="preserve">knowledge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note_detail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highlight_detail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quote_detail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bookmark_detail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question_detail</w:t>
      </w:r>
      <w:r>
        <w:t xml:space="preserve"> (one-to-zero-or-one, mutually exclusive). </w:t>
      </w:r>
      <w:r>
        <w:rPr>
          <w:rFonts w:ascii="Courier New" w:cs="Courier New" w:eastAsia="Courier New" w:hAnsi="Courier New"/>
          <w:shd w:fill="F1F5F9" w:color="auto" w:val="clear"/>
        </w:rPr>
        <w:t xml:space="preserve">knowledge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comment</w:t>
      </w:r>
      <w:r>
        <w:t xml:space="preserve"> (one-to-many). </w:t>
      </w:r>
      <w:r>
        <w:rPr>
          <w:rFonts w:ascii="Courier New" w:cs="Courier New" w:eastAsia="Courier New" w:hAnsi="Courier New"/>
          <w:shd w:fill="F1F5F9" w:color="auto" w:val="clear"/>
        </w:rPr>
        <w:t xml:space="preserve">knowledge</w:t>
      </w:r>
      <w:r>
        <w:t xml:space="preserve"> ↔ </w:t>
      </w:r>
      <w:r>
        <w:rPr>
          <w:rFonts w:ascii="Courier New" w:cs="Courier New" w:eastAsia="Courier New" w:hAnsi="Courier New"/>
          <w:shd w:fill="F1F5F9" w:color="auto" w:val="clear"/>
        </w:rPr>
        <w:t xml:space="preserve">tag</w:t>
      </w:r>
      <w:r>
        <w:t xml:space="preserve"> via </w:t>
      </w:r>
      <w:r>
        <w:rPr>
          <w:rFonts w:ascii="Courier New" w:cs="Courier New" w:eastAsia="Courier New" w:hAnsi="Courier New"/>
          <w:shd w:fill="F1F5F9" w:color="auto" w:val="clear"/>
        </w:rPr>
        <w:t xml:space="preserve">knowledge_tag</w:t>
      </w:r>
      <w:r>
        <w:t xml:space="preserve">. </w:t>
      </w:r>
      <w:r>
        <w:rPr>
          <w:rFonts w:ascii="Courier New" w:cs="Courier New" w:eastAsia="Courier New" w:hAnsi="Courier New"/>
          <w:shd w:fill="F1F5F9" w:color="auto" w:val="clear"/>
        </w:rPr>
        <w:t xml:space="preserve">knowledge</w:t>
      </w:r>
      <w:r>
        <w:t xml:space="preserve"> ↔ </w:t>
      </w:r>
      <w:r>
        <w:rPr>
          <w:rFonts w:ascii="Courier New" w:cs="Courier New" w:eastAsia="Courier New" w:hAnsi="Courier New"/>
          <w:shd w:fill="F1F5F9" w:color="auto" w:val="clear"/>
        </w:rPr>
        <w:t xml:space="preserve">collection</w:t>
      </w:r>
      <w:r>
        <w:t xml:space="preserve"> via </w:t>
      </w:r>
      <w:r>
        <w:rPr>
          <w:rFonts w:ascii="Courier New" w:cs="Courier New" w:eastAsia="Courier New" w:hAnsi="Courier New"/>
          <w:shd w:fill="F1F5F9" w:color="auto" w:val="clear"/>
        </w:rPr>
        <w:t xml:space="preserve">knowledge_collection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note_detail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02"/>
        <w:gridCol w:w="972"/>
        <w:gridCol w:w="2310"/>
        <w:gridCol w:w="1459"/>
        <w:gridCol w:w="291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Nullable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knowledge_id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PK, FK → knowledge.id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Shared primary key with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knowledge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t xml:space="preserve">content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The note's body text.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highlight_detail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97"/>
        <w:gridCol w:w="1297"/>
        <w:gridCol w:w="1761"/>
        <w:gridCol w:w="1112"/>
        <w:gridCol w:w="389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Nullable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knowledge_id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PK, FK → knowledge.id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Shared primary key with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knowledge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t xml:space="preserve">quoted_text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The exact passage highlighted.</w:t>
            </w:r>
          </w:p>
        </w:tc>
      </w:tr>
      <w:tr>
        <w:tc>
          <w:p>
            <w:pPr>
              <w:jc w:val="left"/>
            </w:pPr>
            <w:r>
              <w:t xml:space="preserve">color</w:t>
            </w:r>
          </w:p>
        </w:tc>
        <w:tc>
          <w:p>
            <w:pPr>
              <w:jc w:val="left"/>
            </w:pPr>
            <w:r>
              <w:t xml:space="preserve">varchar(50)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Highlight color, for readers who use color to mean different things (e.g. yellow = important, red = disagree).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quote_detail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60"/>
        <w:gridCol w:w="663"/>
        <w:gridCol w:w="1574"/>
        <w:gridCol w:w="994"/>
        <w:gridCol w:w="496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Nullable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knowledge_id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PK, FK → knowledge.id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Shared primary key with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knowledge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t xml:space="preserve">quoted_text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The excerpt being saved. Distinct in intent from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highlight_detail.quoted_text</w:t>
            </w:r>
            <w:r>
              <w:t xml:space="preserve"> — a Quote is a deliberately saved excerpt (can be typed in by hand from a physical book with no source file), while a Highlight is captured while reading digitally.</w:t>
            </w:r>
          </w:p>
        </w:tc>
      </w:tr>
      <w:tr>
        <w:tc>
          <w:p>
            <w:pPr>
              <w:jc w:val="left"/>
            </w:pPr>
            <w:r>
              <w:t xml:space="preserve">context_note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Why this quote was saved, or context needed to make sense of it out of place.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bookmark_detail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85"/>
        <w:gridCol w:w="1285"/>
        <w:gridCol w:w="1744"/>
        <w:gridCol w:w="1101"/>
        <w:gridCol w:w="394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Nullable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knowledge_id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PK, FK → knowledge.id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Shared primary key with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knowledge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t xml:space="preserve">label</w:t>
            </w:r>
          </w:p>
        </w:tc>
        <w:tc>
          <w:p>
            <w:pPr>
              <w:jc w:val="left"/>
            </w:pPr>
            <w:r>
              <w:t xml:space="preserve">varchar(255)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Optional label (e.g. "start of chapter 3 argument"). A bookmark is otherwise just a saved location with no content.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question_detail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18"/>
        <w:gridCol w:w="756"/>
        <w:gridCol w:w="1796"/>
        <w:gridCol w:w="1135"/>
        <w:gridCol w:w="425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Nullable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knowledge_id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PK, FK → knowledge.id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Shared primary key with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knowledge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t xml:space="preserve">question_text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The question itself. No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answered</w:t>
            </w:r>
            <w:r>
              <w:t xml:space="preserve">/open status or answer field yet — flagged as an open decision (see Open Questions below).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comment</w:t>
      </w:r>
    </w:p>
    <w:p>
      <w:pPr>
        <w:spacing w:after="120"/>
        <w:jc w:val="left"/>
      </w:pPr>
      <w:r>
        <w:t xml:space="preserve">A threaded remark attached to a Knowledge item — Adobe Acrobat-style annotation discussion. Attached to </w:t>
      </w:r>
      <w:r>
        <w:rPr>
          <w:rFonts w:ascii="Courier New" w:cs="Courier New" w:eastAsia="Courier New" w:hAnsi="Courier New"/>
          <w:shd w:fill="F1F5F9" w:color="auto" w:val="clear"/>
        </w:rPr>
        <w:t xml:space="preserve">knowledge</w:t>
      </w:r>
      <w:r>
        <w:t xml:space="preserve">, not to </w:t>
      </w:r>
      <w:r>
        <w:rPr>
          <w:rFonts w:ascii="Courier New" w:cs="Courier New" w:eastAsia="Courier New" w:hAnsi="Courier New"/>
          <w:shd w:fill="F1F5F9" w:color="auto" w:val="clear"/>
        </w:rPr>
        <w:t xml:space="preserve">highlight_detail</w:t>
      </w:r>
      <w:r>
        <w:t xml:space="preserve"> specifically, so any Knowledge type can carry a discussion thread.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1"/>
        <w:gridCol w:w="1236"/>
        <w:gridCol w:w="1501"/>
        <w:gridCol w:w="1060"/>
        <w:gridCol w:w="406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Nullable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PK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Surrogate primary key.</w:t>
            </w:r>
          </w:p>
        </w:tc>
      </w:tr>
      <w:tr>
        <w:tc>
          <w:p>
            <w:pPr>
              <w:jc w:val="left"/>
            </w:pPr>
            <w:r>
              <w:t xml:space="preserve">knowledge_id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FK → knowledge.id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The Knowledge item this comment is attached to.</w:t>
            </w:r>
          </w:p>
        </w:tc>
      </w:tr>
      <w:tr>
        <w:tc>
          <w:p>
            <w:pPr>
              <w:jc w:val="left"/>
            </w:pPr>
            <w:r>
              <w:t xml:space="preserve">parent_comment_id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FK → comment.id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Set when this comment is a reply to another comment on the same Knowledge item — enables threading. Null for a top-level comment.</w:t>
            </w:r>
          </w:p>
        </w:tc>
      </w:tr>
      <w:tr>
        <w:tc>
          <w:p>
            <w:pPr>
              <w:jc w:val="left"/>
            </w:pPr>
            <w:r>
              <w:t xml:space="preserve">content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The comment's body text.</w:t>
            </w:r>
          </w:p>
        </w:tc>
      </w:tr>
      <w:tr>
        <w:tc>
          <w:p>
            <w:pPr>
              <w:jc w:val="left"/>
            </w:pPr>
            <w:r>
              <w:t xml:space="preserve">actor</w:t>
            </w:r>
          </w:p>
        </w:tc>
        <w:tc>
          <w:p>
            <w:pPr>
              <w:jc w:val="left"/>
            </w:pPr>
            <w:r>
              <w:t xml:space="preserve">varchar(100)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Who wrote it, e.g. Ammar or Monzer. Free text — there's no formal User table yet.</w:t>
            </w:r>
          </w:p>
        </w:tc>
      </w:tr>
      <w:tr>
        <w:tc>
          <w:p>
            <w:pPr>
              <w:jc w:val="left"/>
            </w:pPr>
            <w:r>
              <w:t xml:space="preserve">created_at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updated_at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Relations: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knowledge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comment</w:t>
      </w:r>
      <w:r>
        <w:t xml:space="preserve"> (one-to-many). </w:t>
      </w:r>
      <w:r>
        <w:rPr>
          <w:rFonts w:ascii="Courier New" w:cs="Courier New" w:eastAsia="Courier New" w:hAnsi="Courier New"/>
          <w:shd w:fill="F1F5F9" w:color="auto" w:val="clear"/>
        </w:rPr>
        <w:t xml:space="preserve">comment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comment</w:t>
      </w:r>
      <w:r>
        <w:t xml:space="preserve"> (self-referencing, for threaded replies).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Reading Activity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reading_session</w:t>
      </w:r>
    </w:p>
    <w:p>
      <w:pPr>
        <w:spacing w:after="120"/>
        <w:jc w:val="left"/>
      </w:pPr>
      <w:r>
        <w:t xml:space="preserve">A single sitting spent reading a Work, for progress and streak tracking as well as the reading-journal side of Baglib.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37"/>
        <w:gridCol w:w="1440"/>
        <w:gridCol w:w="1646"/>
        <w:gridCol w:w="1234"/>
        <w:gridCol w:w="370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Nullable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PK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Surrogate primary key.</w:t>
            </w:r>
          </w:p>
        </w:tc>
      </w:tr>
      <w:tr>
        <w:tc>
          <w:p>
            <w:pPr>
              <w:jc w:val="left"/>
            </w:pPr>
            <w:r>
              <w:t xml:space="preserve">work_id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FK → work.id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The Work being read.</w:t>
            </w:r>
          </w:p>
        </w:tc>
      </w:tr>
      <w:tr>
        <w:tc>
          <w:p>
            <w:pPr>
              <w:jc w:val="left"/>
            </w:pPr>
            <w:r>
              <w:t xml:space="preserve">edition_id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FK → edition.id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The specific Edition being read — page counts and pagination differ by edition.</w:t>
            </w:r>
          </w:p>
        </w:tc>
      </w:tr>
      <w:tr>
        <w:tc>
          <w:p>
            <w:pPr>
              <w:jc w:val="left"/>
            </w:pPr>
            <w:r>
              <w:t xml:space="preserve">started_at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ended_at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pages_read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Pages covered in this session.</w:t>
            </w:r>
          </w:p>
        </w:tc>
      </w:tr>
      <w:tr>
        <w:tc>
          <w:p>
            <w:pPr>
              <w:jc w:val="left"/>
            </w:pPr>
            <w:r>
              <w:t xml:space="preserve">mood</w:t>
            </w:r>
          </w:p>
        </w:tc>
        <w:tc>
          <w:p>
            <w:pPr>
              <w:jc w:val="left"/>
            </w:pPr>
            <w:r>
              <w:t xml:space="preserve">varchar(100)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Free-text reflection on how the session felt.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Relations: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work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reading_session</w:t>
      </w:r>
      <w:r>
        <w:t xml:space="preserve"> (one-to-many). </w:t>
      </w:r>
      <w:r>
        <w:rPr>
          <w:rFonts w:ascii="Courier New" w:cs="Courier New" w:eastAsia="Courier New" w:hAnsi="Courier New"/>
          <w:shd w:fill="F1F5F9" w:color="auto" w:val="clear"/>
        </w:rPr>
        <w:t xml:space="preserve">edition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reading_session</w:t>
      </w:r>
      <w:r>
        <w:t xml:space="preserve"> (one-to-many).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Organization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tag</w:t>
      </w:r>
    </w:p>
    <w:p>
      <w:pPr>
        <w:spacing w:after="120"/>
        <w:jc w:val="left"/>
      </w:pPr>
      <w:r>
        <w:t xml:space="preserve">A short label describing content — a subject, a period, a theme. Distinct from </w:t>
      </w:r>
      <w:r>
        <w:rPr>
          <w:rFonts w:ascii="Courier New" w:cs="Courier New" w:eastAsia="Courier New" w:hAnsi="Courier New"/>
          <w:shd w:fill="F1F5F9" w:color="auto" w:val="clear"/>
        </w:rPr>
        <w:t xml:space="preserve">collection</w:t>
      </w:r>
      <w:r>
        <w:t xml:space="preserve">: a tag describes </w:t>
      </w:r>
      <w:r>
        <w:rPr>
          <w:i/>
          <w:iCs/>
        </w:rPr>
        <w:t xml:space="preserve">what something is about</w:t>
      </w:r>
      <w:r>
        <w:t xml:space="preserve">; a collection is </w:t>
      </w:r>
      <w:r>
        <w:rPr>
          <w:i/>
          <w:iCs/>
        </w:rPr>
        <w:t xml:space="preserve">a set you've deliberately gathered</w:t>
      </w:r>
      <w:r>
        <w:t xml:space="preserve">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01"/>
        <w:gridCol w:w="1285"/>
        <w:gridCol w:w="918"/>
        <w:gridCol w:w="1652"/>
        <w:gridCol w:w="440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Nullable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PK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Surrogate primary key.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varchar(100)</w:t>
            </w:r>
          </w:p>
        </w:tc>
        <w:tc>
          <w:p>
            <w:pPr>
              <w:jc w:val="left"/>
            </w:pPr>
            <w:r>
              <w:t xml:space="preserve">Unique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The tag's display text. Unique so the same tag can't accidentally be duplicated under a near-identical row.</w:t>
            </w:r>
          </w:p>
        </w:tc>
      </w:tr>
      <w:tr>
        <w:tc>
          <w:p>
            <w:pPr>
              <w:jc w:val="left"/>
            </w:pPr>
            <w:r>
              <w:t xml:space="preserve">origin</w:t>
            </w:r>
          </w:p>
        </w:tc>
        <w:tc>
          <w:p>
            <w:pPr>
              <w:jc w:val="left"/>
            </w:pPr>
            <w:r>
              <w:t xml:space="preserve">varchar(20)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No, default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manual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automatic</w:t>
            </w:r>
            <w:r>
              <w:t xml:space="preserve"> (system-derived — from imported metadata or future enrichment)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manual</w:t>
            </w:r>
            <w:r>
              <w:t xml:space="preserve"> (self-made by the reader).</w:t>
            </w:r>
          </w:p>
        </w:tc>
      </w:tr>
      <w:tr>
        <w:tc>
          <w:p>
            <w:pPr>
              <w:jc w:val="left"/>
            </w:pPr>
            <w:r>
              <w:t xml:space="preserve">category</w:t>
            </w:r>
          </w:p>
        </w:tc>
        <w:tc>
          <w:p>
            <w:pPr>
              <w:jc w:val="left"/>
            </w:pPr>
            <w:r>
              <w:t xml:space="preserve">varchar(50)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Optional grouping — subject, period, genre, etc. — so tags of fundamentally different kinds aren't flattened into one undifferentiated list.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Relations: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tag</w:t>
      </w:r>
      <w:r>
        <w:t xml:space="preserve"> ↔ </w:t>
      </w:r>
      <w:r>
        <w:rPr>
          <w:rFonts w:ascii="Courier New" w:cs="Courier New" w:eastAsia="Courier New" w:hAnsi="Courier New"/>
          <w:shd w:fill="F1F5F9" w:color="auto" w:val="clear"/>
        </w:rPr>
        <w:t xml:space="preserve">work</w:t>
      </w:r>
      <w:r>
        <w:t xml:space="preserve"> via </w:t>
      </w:r>
      <w:r>
        <w:rPr>
          <w:rFonts w:ascii="Courier New" w:cs="Courier New" w:eastAsia="Courier New" w:hAnsi="Courier New"/>
          <w:shd w:fill="F1F5F9" w:color="auto" w:val="clear"/>
        </w:rPr>
        <w:t xml:space="preserve">work_tag</w:t>
      </w:r>
      <w:r>
        <w:t xml:space="preserve">. </w:t>
      </w:r>
      <w:r>
        <w:rPr>
          <w:rFonts w:ascii="Courier New" w:cs="Courier New" w:eastAsia="Courier New" w:hAnsi="Courier New"/>
          <w:shd w:fill="F1F5F9" w:color="auto" w:val="clear"/>
        </w:rPr>
        <w:t xml:space="preserve">tag</w:t>
      </w:r>
      <w:r>
        <w:t xml:space="preserve"> ↔ </w:t>
      </w:r>
      <w:r>
        <w:rPr>
          <w:rFonts w:ascii="Courier New" w:cs="Courier New" w:eastAsia="Courier New" w:hAnsi="Courier New"/>
          <w:shd w:fill="F1F5F9" w:color="auto" w:val="clear"/>
        </w:rPr>
        <w:t xml:space="preserve">knowledge</w:t>
      </w:r>
      <w:r>
        <w:t xml:space="preserve"> via </w:t>
      </w:r>
      <w:r>
        <w:rPr>
          <w:rFonts w:ascii="Courier New" w:cs="Courier New" w:eastAsia="Courier New" w:hAnsi="Courier New"/>
          <w:shd w:fill="F1F5F9" w:color="auto" w:val="clear"/>
        </w:rPr>
        <w:t xml:space="preserve">knowledge_tag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collection</w:t>
      </w:r>
    </w:p>
    <w:p>
      <w:pPr>
        <w:spacing w:after="120"/>
        <w:jc w:val="left"/>
      </w:pPr>
      <w:r>
        <w:t xml:space="preserve">A set of Works and/or Knowledge items, either hand-picked or defined by a standing rule.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37"/>
        <w:gridCol w:w="1170"/>
        <w:gridCol w:w="585"/>
        <w:gridCol w:w="1504"/>
        <w:gridCol w:w="476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Nullable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PK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Surrogate primary key.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varchar(255)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Display name.</w:t>
            </w:r>
          </w:p>
        </w:tc>
      </w:tr>
      <w:tr>
        <w:tc>
          <w:p>
            <w:pPr>
              <w:jc w:val="left"/>
            </w:pPr>
            <w:r>
              <w:t xml:space="preserve">description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Free-text description of the collection's purpose.</w:t>
            </w:r>
          </w:p>
        </w:tc>
      </w:tr>
      <w:tr>
        <w:tc>
          <w:p>
            <w:pPr>
              <w:jc w:val="left"/>
            </w:pPr>
            <w:r>
              <w:t xml:space="preserve">collection_type</w:t>
            </w:r>
          </w:p>
        </w:tc>
        <w:tc>
          <w:p>
            <w:pPr>
              <w:jc w:val="left"/>
            </w:pPr>
            <w:r>
              <w:t xml:space="preserve">varchar(20)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No, default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manual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manual</w:t>
            </w:r>
            <w:r>
              <w:t xml:space="preserve"> (explicit membership via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work_collection</w:t>
            </w:r>
            <w:r>
              <w:t xml:space="preserve">/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knowledge_collection</w:t>
            </w:r>
            <w:r>
              <w:t xml:space="preserve">)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smart</w:t>
            </w:r>
            <w:r>
              <w:t xml:space="preserve"> (membership computed from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filter_rules</w:t>
            </w:r>
            <w:r>
              <w:t xml:space="preserve"> at query time).</w:t>
            </w:r>
          </w:p>
        </w:tc>
      </w:tr>
      <w:tr>
        <w:tc>
          <w:p>
            <w:pPr>
              <w:jc w:val="left"/>
            </w:pPr>
            <w:r>
              <w:t xml:space="preserve">filter_rules</w:t>
            </w:r>
          </w:p>
        </w:tc>
        <w:tc>
          <w:p>
            <w:pPr>
              <w:jc w:val="left"/>
            </w:pPr>
            <w:r>
              <w:t xml:space="preserve">json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The rule set defining membership when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collection_type</w:t>
            </w:r>
            <w:r>
              <w:t xml:space="preserve"> is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smart</w:t>
            </w:r>
            <w:r>
              <w:t xml:space="preserve"> — e.g. matching by tag or work type. Unused for manual collections. No fixed schema of its own yet; validated in application code.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Relations: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collection</w:t>
      </w:r>
      <w:r>
        <w:t xml:space="preserve"> ↔ </w:t>
      </w:r>
      <w:r>
        <w:rPr>
          <w:rFonts w:ascii="Courier New" w:cs="Courier New" w:eastAsia="Courier New" w:hAnsi="Courier New"/>
          <w:shd w:fill="F1F5F9" w:color="auto" w:val="clear"/>
        </w:rPr>
        <w:t xml:space="preserve">work</w:t>
      </w:r>
      <w:r>
        <w:t xml:space="preserve"> via </w:t>
      </w:r>
      <w:r>
        <w:rPr>
          <w:rFonts w:ascii="Courier New" w:cs="Courier New" w:eastAsia="Courier New" w:hAnsi="Courier New"/>
          <w:shd w:fill="F1F5F9" w:color="auto" w:val="clear"/>
        </w:rPr>
        <w:t xml:space="preserve">work_collection</w:t>
      </w:r>
      <w:r>
        <w:t xml:space="preserve">. </w:t>
      </w:r>
      <w:r>
        <w:rPr>
          <w:rFonts w:ascii="Courier New" w:cs="Courier New" w:eastAsia="Courier New" w:hAnsi="Courier New"/>
          <w:shd w:fill="F1F5F9" w:color="auto" w:val="clear"/>
        </w:rPr>
        <w:t xml:space="preserve">collection</w:t>
      </w:r>
      <w:r>
        <w:t xml:space="preserve"> ↔ </w:t>
      </w:r>
      <w:r>
        <w:rPr>
          <w:rFonts w:ascii="Courier New" w:cs="Courier New" w:eastAsia="Courier New" w:hAnsi="Courier New"/>
          <w:shd w:fill="F1F5F9" w:color="auto" w:val="clear"/>
        </w:rPr>
        <w:t xml:space="preserve">knowledge</w:t>
      </w:r>
      <w:r>
        <w:t xml:space="preserve"> via </w:t>
      </w:r>
      <w:r>
        <w:rPr>
          <w:rFonts w:ascii="Courier New" w:cs="Courier New" w:eastAsia="Courier New" w:hAnsi="Courier New"/>
          <w:shd w:fill="F1F5F9" w:color="auto" w:val="clear"/>
        </w:rPr>
        <w:t xml:space="preserve">knowledge_collection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work_tag</w:t>
      </w:r>
    </w:p>
    <w:p>
      <w:pPr>
        <w:spacing w:after="120"/>
        <w:jc w:val="left"/>
      </w:pPr>
      <w:r>
        <w:t xml:space="preserve">Join table: which tags apply to which Works.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37"/>
        <w:gridCol w:w="1118"/>
        <w:gridCol w:w="3073"/>
        <w:gridCol w:w="1676"/>
        <w:gridCol w:w="19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Nullable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work_id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PK (composite), FK → work.id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tag_id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PK (composite), FK → tag.id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knowledge_tag</w:t>
      </w:r>
    </w:p>
    <w:p>
      <w:pPr>
        <w:spacing w:after="120"/>
        <w:jc w:val="left"/>
      </w:pPr>
      <w:r>
        <w:t xml:space="preserve">Join table: which tags apply to which individual Knowledge items — independent of, and in addition to, their parent Work's tags.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20"/>
        <w:gridCol w:w="1040"/>
        <w:gridCol w:w="3120"/>
        <w:gridCol w:w="1560"/>
        <w:gridCol w:w="18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Nullable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knowledge_id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PK (composite), FK → knowledge.id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tag_id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PK (composite), FK → tag.id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work_collection</w:t>
      </w:r>
    </w:p>
    <w:p>
      <w:pPr>
        <w:spacing w:after="120"/>
        <w:jc w:val="left"/>
      </w:pPr>
      <w:r>
        <w:t xml:space="preserve">Join table: which Works belong to which </w:t>
      </w:r>
      <w:r>
        <w:rPr>
          <w:i/>
          <w:iCs/>
        </w:rPr>
        <w:t xml:space="preserve">manual</w:t>
      </w:r>
      <w:r>
        <w:t xml:space="preserve"> collections. Not used by smart collections, whose membership comes from </w:t>
      </w:r>
      <w:r>
        <w:rPr>
          <w:rFonts w:ascii="Courier New" w:cs="Courier New" w:eastAsia="Courier New" w:hAnsi="Courier New"/>
          <w:shd w:fill="F1F5F9" w:color="auto" w:val="clear"/>
        </w:rPr>
        <w:t xml:space="preserve">filter_rules</w:t>
      </w:r>
      <w:r>
        <w:t xml:space="preserve"> instead.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23"/>
        <w:gridCol w:w="1026"/>
        <w:gridCol w:w="3077"/>
        <w:gridCol w:w="1539"/>
        <w:gridCol w:w="179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Nullable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work_id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PK (composite), FK → work.id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collection_id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PK (composite), FK → collection.id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knowledge_collection</w:t>
      </w:r>
    </w:p>
    <w:p>
      <w:pPr>
        <w:spacing w:after="120"/>
        <w:jc w:val="left"/>
      </w:pPr>
      <w:r>
        <w:t xml:space="preserve">Join table: which Knowledge items (notes, quotes, questions, etc.) belong to which manual collections, alongside or instead of Works. Not restricted at the schema level to particular </w:t>
      </w:r>
      <w:r>
        <w:rPr>
          <w:rFonts w:ascii="Courier New" w:cs="Courier New" w:eastAsia="Courier New" w:hAnsi="Courier New"/>
          <w:shd w:fill="F1F5F9" w:color="auto" w:val="clear"/>
        </w:rPr>
        <w:t xml:space="preserve">knowledge_type</w:t>
      </w:r>
      <w:r>
        <w:t xml:space="preserve">s — the UI can default to offering notes/quotes/questions without the database enforcing it.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23"/>
        <w:gridCol w:w="1026"/>
        <w:gridCol w:w="3077"/>
        <w:gridCol w:w="1539"/>
        <w:gridCol w:w="179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Nullable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knowledge_id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PK (composite), FK → knowledge.id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collection_id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PK (composite), FK → collection.id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System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event_log</w:t>
      </w:r>
    </w:p>
    <w:p>
      <w:pPr>
        <w:spacing w:after="120"/>
        <w:jc w:val="left"/>
      </w:pPr>
      <w:r>
        <w:t xml:space="preserve">Append-only history of everything that's happened, across every entity type — the mechanism ADR-001 designated for undo, restore, and version history, rather than bespoke versioning per table.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25"/>
        <w:gridCol w:w="1225"/>
        <w:gridCol w:w="612"/>
        <w:gridCol w:w="1050"/>
        <w:gridCol w:w="524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Nullable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PK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Surrogate primary key.</w:t>
            </w:r>
          </w:p>
        </w:tc>
      </w:tr>
      <w:tr>
        <w:tc>
          <w:p>
            <w:pPr>
              <w:jc w:val="left"/>
            </w:pPr>
            <w:r>
              <w:t xml:space="preserve">entity_type</w:t>
            </w:r>
          </w:p>
        </w:tc>
        <w:tc>
          <w:p>
            <w:pPr>
              <w:jc w:val="left"/>
            </w:pPr>
            <w:r>
              <w:t xml:space="preserve">varchar(50)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Which kind of entity this happened to — Work, Edition, Source, Knowledge, Comment, etc. Polymorphic by design (paired with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entity_id</w:t>
            </w:r>
            <w:r>
              <w:t xml:space="preserve">) rather than a foreign key, since one history table needs to reference every entity type uniformly.</w:t>
            </w:r>
          </w:p>
        </w:tc>
      </w:tr>
      <w:tr>
        <w:tc>
          <w:p>
            <w:pPr>
              <w:jc w:val="left"/>
            </w:pPr>
            <w:r>
              <w:t xml:space="preserve">entity_id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The id of the specific record, interpreted according to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entity_type</w:t>
            </w:r>
            <w:r>
              <w:t xml:space="preserve">. Not a formal foreign key — it can point to any table.</w:t>
            </w:r>
          </w:p>
        </w:tc>
      </w:tr>
      <w:tr>
        <w:tc>
          <w:p>
            <w:pPr>
              <w:jc w:val="left"/>
            </w:pPr>
            <w:r>
              <w:t xml:space="preserve">event_type</w:t>
            </w:r>
          </w:p>
        </w:tc>
        <w:tc>
          <w:p>
            <w:pPr>
              <w:jc w:val="left"/>
            </w:pPr>
            <w:r>
              <w:t xml:space="preserve">varchar(50)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Updated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Deleted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Restored</w:t>
            </w:r>
            <w:r>
              <w:t xml:space="preserve">, etc.</w:t>
            </w:r>
          </w:p>
        </w:tc>
      </w:tr>
      <w:tr>
        <w:tc>
          <w:p>
            <w:pPr>
              <w:jc w:val="left"/>
            </w:pPr>
            <w:r>
              <w:t xml:space="preserve">payload</w:t>
            </w:r>
          </w:p>
        </w:tc>
        <w:tc>
          <w:p>
            <w:pPr>
              <w:jc w:val="left"/>
            </w:pPr>
            <w:r>
              <w:t xml:space="preserve">json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The event's details — what changed, or a full snapshot, depending on what undo/version history needs.</w:t>
            </w:r>
          </w:p>
        </w:tc>
      </w:tr>
      <w:tr>
        <w:tc>
          <w:p>
            <w:pPr>
              <w:jc w:val="left"/>
            </w:pPr>
            <w:r>
              <w:t xml:space="preserve">actor</w:t>
            </w:r>
          </w:p>
        </w:tc>
        <w:tc>
          <w:p>
            <w:pPr>
              <w:jc w:val="left"/>
            </w:pPr>
            <w:r>
              <w:t xml:space="preserve">varchar(100)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Who performed the action, e.g. Ammar or Monzer.</w:t>
            </w:r>
          </w:p>
        </w:tc>
      </w:tr>
      <w:tr>
        <w:tc>
          <w:p>
            <w:pPr>
              <w:jc w:val="left"/>
            </w:pPr>
            <w:r>
              <w:t xml:space="preserve">occurred_at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Open Questions</w:t>
      </w:r>
    </w:p>
    <w:p>
      <w:pPr>
        <w:spacing w:after="120"/>
        <w:jc w:val="left"/>
      </w:pPr>
      <w:r>
        <w:t xml:space="preserve">Decisions deliberately left open across ADR-001 and ADR-002, worth resolving before the Migration Plan step: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Publisher normalization</w:t>
      </w:r>
      <w:r>
        <w:t xml:space="preserve"> — </w:t>
      </w:r>
      <w:r>
        <w:rPr>
          <w:rFonts w:ascii="Courier New" w:cs="Courier New" w:eastAsia="Courier New" w:hAnsi="Courier New"/>
          <w:shd w:fill="F1F5F9" w:color="auto" w:val="clear"/>
        </w:rPr>
        <w:t xml:space="preserve">edition.publisher</w:t>
      </w:r>
      <w:r>
        <w:t xml:space="preserve"> is free text. Normalizing it into its own table would allow browsing "everything from this publisher" and dedupe spelling variants, at the cost of import friction (fuzzy-matching publisher names on ingest).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Category vs. Tag</w:t>
      </w:r>
      <w:r>
        <w:t xml:space="preserve"> — </w:t>
      </w:r>
      <w:r>
        <w:rPr>
          <w:rFonts w:ascii="Courier New" w:cs="Courier New" w:eastAsia="Courier New" w:hAnsi="Courier New"/>
          <w:shd w:fill="F1F5F9" w:color="auto" w:val="clear"/>
        </w:rPr>
        <w:t xml:space="preserve">tag.category</w:t>
      </w:r>
      <w:r>
        <w:t xml:space="preserve"> softens this, but it's still worth deciding whether Category ever needs to be its own first-class entity (e.g. with a fixed set of values) rather than a free-text field on Tag.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Question status</w:t>
      </w:r>
      <w:r>
        <w:t xml:space="preserve"> — no </w:t>
      </w:r>
      <w:r>
        <w:rPr>
          <w:rFonts w:ascii="Courier New" w:cs="Courier New" w:eastAsia="Courier New" w:hAnsi="Courier New"/>
          <w:shd w:fill="F1F5F9" w:color="auto" w:val="clear"/>
        </w:rPr>
        <w:t xml:space="preserve">answered</w:t>
      </w:r>
      <w:r>
        <w:t xml:space="preserve">/open field or place to record an answer. Add if tracking resolution becomes something you actually want to filter by.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Knowledge version history</w:t>
      </w:r>
      <w:r>
        <w:t xml:space="preserve"> — </w:t>
      </w:r>
      <w:r>
        <w:rPr>
          <w:rFonts w:ascii="Courier New" w:cs="Courier New" w:eastAsia="Courier New" w:hAnsi="Courier New"/>
          <w:shd w:fill="F1F5F9" w:color="auto" w:val="clear"/>
        </w:rPr>
        <w:t xml:space="preserve">event_log</w:t>
      </w:r>
      <w:r>
        <w:t xml:space="preserve"> can reconstruct edit history if payloads store full snapshots; a dedicated version table would be faster to query once someone has years of edits.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Collection membership metadata</w:t>
      </w:r>
      <w:r>
        <w:t xml:space="preserve"> — </w:t>
      </w:r>
      <w:r>
        <w:rPr>
          <w:rFonts w:ascii="Courier New" w:cs="Courier New" w:eastAsia="Courier New" w:hAnsi="Courier New"/>
          <w:shd w:fill="F1F5F9" w:color="auto" w:val="clear"/>
        </w:rPr>
        <w:t xml:space="preserve">work_collection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knowledge_collection</w:t>
      </w:r>
      <w:r>
        <w:t xml:space="preserve"> are bare composite keys; neither records who added an item or when.</w:t>
      </w:r>
    </w:p>
    <w:p>
      <w:pPr>
        <w:spacing w:after="100"/>
        <w:ind w:start="20"/>
        <w:jc w:val="left"/>
      </w:pPr>
      <w:r>
        <w:t xml:space="preserve">6. </w:t>
      </w:r>
      <w:r>
        <w:rPr>
          <w:b/>
          <w:bCs/>
        </w:rPr>
        <w:t xml:space="preserve">`filter_rules` schema</w:t>
      </w:r>
      <w:r>
        <w:t xml:space="preserve"> — currently unconstrained JSON; no validation of what a "valid" smart-collection rule set looks like beyond what application code enforces.</w:t>
      </w:r>
    </w:p>
    <w:p>
      <w:pPr>
        <w:spacing w:after="100"/>
        <w:ind w:start="20"/>
        <w:jc w:val="left"/>
      </w:pPr>
      <w:r>
        <w:t xml:space="preserve">7. </w:t>
      </w:r>
      <w:r>
        <w:rPr>
          <w:b/>
          <w:bCs/>
        </w:rPr>
        <w:t xml:space="preserve">Not-null tightening</w:t>
      </w:r>
      <w:r>
        <w:t xml:space="preserve"> — several foreign keys that are conceptually required (</w:t>
      </w:r>
      <w:r>
        <w:rPr>
          <w:rFonts w:ascii="Courier New" w:cs="Courier New" w:eastAsia="Courier New" w:hAnsi="Courier New"/>
          <w:shd w:fill="F1F5F9" w:color="auto" w:val="clear"/>
        </w:rPr>
        <w:t xml:space="preserve">work.work_type_id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edition.work_id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source.edition_id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knowledge.work_id</w:t>
      </w:r>
      <w:r>
        <w:t xml:space="preserve">, etc.) aren't yet marked </w:t>
      </w:r>
      <w:r>
        <w:rPr>
          <w:rFonts w:ascii="Courier New" w:cs="Courier New" w:eastAsia="Courier New" w:hAnsi="Courier New"/>
          <w:shd w:fill="F1F5F9" w:color="auto" w:val="clear"/>
        </w:rPr>
        <w:t xml:space="preserve">not null</w:t>
      </w:r>
      <w:r>
        <w:t xml:space="preserve"> in the DBML. Worth tightening before migrations are written.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2026-07-31T00:53:52.372Z</dcterms:created>
  <dcterms:modified xsi:type="dcterms:W3CDTF">2026-07-31T00:53:52.372Z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