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ADR-002 — Knowledge Organization: Tagging, Collections, and Annotations</w:t>
      </w:r>
    </w:p>
    <w:p>
      <w:pPr>
        <w:spacing w:after="120"/>
        <w:jc w:val="left"/>
      </w:pPr>
      <w:r>
        <w:rPr>
          <w:b/>
          <w:bCs/>
        </w:rPr>
        <w:t xml:space="preserve">Status:</w:t>
      </w:r>
      <w:r>
        <w:t xml:space="preserve"> Accepted</w:t>
      </w:r>
      <w:r>
        <w:br/>
      </w:r>
      <w:r>
        <w:rPr>
          <w:b/>
          <w:bCs/>
        </w:rPr>
        <w:t xml:space="preserve">Date:</w:t>
      </w:r>
      <w:r>
        <w:t xml:space="preserve"> 2026-07-31</w:t>
      </w:r>
      <w:r>
        <w:br/>
      </w:r>
      <w:r>
        <w:rPr>
          <w:b/>
          <w:bCs/>
        </w:rPr>
        <w:t xml:space="preserve">Owner:</w:t>
      </w:r>
      <w:r>
        <w:t xml:space="preserve"> Ammar Mohamed Ashour</w:t>
      </w:r>
      <w:r>
        <w:br/>
      </w:r>
      <w:r>
        <w:rPr>
          <w:b/>
          <w:bCs/>
        </w:rPr>
        <w:t xml:space="preserve">Related:</w:t>
      </w:r>
      <w:r>
        <w:t xml:space="preserve"> ADR-001 (Library Domain Model)</w:t>
      </w:r>
    </w:p>
    <w:p>
      <w:pPr>
        <w:spacing w:after="200"/>
      </w:pPr>
      <w:r>
        <w:t xml:space="preserve"> </w:t>
      </w:r>
    </w:p>
    <w:p>
      <w:pPr>
        <w:pStyle w:val="Heading2"/>
        <w:spacing w:after="200"/>
        <w:jc w:val="left"/>
      </w:pPr>
      <w:r>
        <w:t xml:space="preserve">Context</w:t>
      </w:r>
    </w:p>
    <w:p>
      <w:pPr>
        <w:spacing w:after="120"/>
        <w:jc w:val="left"/>
      </w:pPr>
      <w:r>
        <w:t xml:space="preserve">ADR-001 established </w:t>
      </w:r>
      <w:r>
        <w:rPr>
          <w:rFonts w:ascii="Courier New" w:cs="Courier New" w:eastAsia="Courier New" w:hAnsi="Courier New"/>
          <w:shd w:fill="F1F5F9" w:color="auto" w:val="clear"/>
        </w:rPr>
        <w:t xml:space="preserve">Work → Edition → Source</w:t>
      </w:r>
      <w:r>
        <w:t xml:space="preserve"> and the Knowledge base-plus-detail-table pattern (</w:t>
      </w:r>
      <w:r>
        <w:rPr>
          <w:rFonts w:ascii="Courier New" w:cs="Courier New" w:eastAsia="Courier New" w:hAnsi="Courier New"/>
          <w:shd w:fill="F1F5F9" w:color="auto" w:val="clear"/>
        </w:rPr>
        <w:t xml:space="preserve">Note</w:t>
      </w:r>
      <w:r>
        <w:t xml:space="preserve">, </w:t>
      </w:r>
      <w:r>
        <w:rPr>
          <w:rFonts w:ascii="Courier New" w:cs="Courier New" w:eastAsia="Courier New" w:hAnsi="Courier New"/>
          <w:shd w:fill="F1F5F9" w:color="auto" w:val="clear"/>
        </w:rPr>
        <w:t xml:space="preserve">Highlight</w:t>
      </w:r>
      <w:r>
        <w:t xml:space="preserve">, </w:t>
      </w:r>
      <w:r>
        <w:rPr>
          <w:rFonts w:ascii="Courier New" w:cs="Courier New" w:eastAsia="Courier New" w:hAnsi="Courier New"/>
          <w:shd w:fill="F1F5F9" w:color="auto" w:val="clear"/>
        </w:rPr>
        <w:t xml:space="preserve">Quote</w:t>
      </w:r>
      <w:r>
        <w:t xml:space="preserve">, </w:t>
      </w:r>
      <w:r>
        <w:rPr>
          <w:rFonts w:ascii="Courier New" w:cs="Courier New" w:eastAsia="Courier New" w:hAnsi="Courier New"/>
          <w:shd w:fill="F1F5F9" w:color="auto" w:val="clear"/>
        </w:rPr>
        <w:t xml:space="preserve">Bookmark</w:t>
      </w:r>
      <w:r>
        <w:t xml:space="preserve">). Turning that into a real schema surfaced four gaps ADR-001 didn't address:</w:t>
      </w:r>
    </w:p>
    <w:p>
      <w:pPr>
        <w:spacing w:after="200"/>
      </w:pPr>
      <w:r>
        <w:t xml:space="preserve"> </w:t>
      </w:r>
    </w:p>
    <w:p>
      <w:pPr>
        <w:spacing w:after="100"/>
        <w:ind w:start="20"/>
        <w:jc w:val="left"/>
      </w:pPr>
      <w:r>
        <w:t xml:space="preserve">1. </w:t>
      </w:r>
      <w:r>
        <w:t xml:space="preserve">There was no way to record an open question separately from a note — something you want to be able to browse and filter as its own category while reading.</w:t>
      </w:r>
    </w:p>
    <w:p>
      <w:pPr>
        <w:spacing w:after="100"/>
        <w:ind w:start="20"/>
        <w:jc w:val="left"/>
      </w:pPr>
      <w:r>
        <w:t xml:space="preserve">2. </w:t>
      </w:r>
      <w:r>
        <w:t xml:space="preserve">Tags only attached to </w:t>
      </w:r>
      <w:r>
        <w:rPr>
          <w:rFonts w:ascii="Courier New" w:cs="Courier New" w:eastAsia="Courier New" w:hAnsi="Courier New"/>
          <w:shd w:fill="F1F5F9" w:color="auto" w:val="clear"/>
        </w:rPr>
        <w:t xml:space="preserve">Work</w:t>
      </w:r>
      <w:r>
        <w:t xml:space="preserve">. A single tafsir volume can span a dozen subjects; tagging only at the Work level meant there was no way to filter "everything I've asked about grammar" without it pulling in the whole book.</w:t>
      </w:r>
    </w:p>
    <w:p>
      <w:pPr>
        <w:spacing w:after="100"/>
        <w:ind w:start="20"/>
        <w:jc w:val="left"/>
      </w:pPr>
      <w:r>
        <w:t xml:space="preserve">3. </w:t>
      </w:r>
      <w:r>
        <w:t xml:space="preserve">Collections could only be built by hand-picking Works one at a time. There was no way to express a standing rule — "everything tagged science" — that stays current as the library grows, without manually revisiting it.</w:t>
      </w:r>
    </w:p>
    <w:p>
      <w:pPr>
        <w:spacing w:after="100"/>
        <w:ind w:start="20"/>
        <w:jc w:val="left"/>
      </w:pPr>
      <w:r>
        <w:t xml:space="preserve">4. </w:t>
      </w:r>
      <w:r>
        <w:t xml:space="preserve">There was no way to hold an ongoing discussion attached to a piece of Knowledge — e.g. replying to your own highlight weeks later, the way Adobe Acrobat's comment threads work.</w:t>
      </w:r>
    </w:p>
    <w:p>
      <w:pPr>
        <w:spacing w:after="200"/>
      </w:pPr>
      <w:r>
        <w:t xml:space="preserve"> </w:t>
      </w:r>
    </w:p>
    <w:p>
      <w:pPr>
        <w:pStyle w:val="Heading2"/>
        <w:spacing w:after="200"/>
        <w:jc w:val="left"/>
      </w:pPr>
      <w:r>
        <w:t xml:space="preserve">Decision</w:t>
      </w:r>
    </w:p>
    <w:p>
      <w:pPr>
        <w:pStyle w:val="Heading3"/>
        <w:spacing w:after="200"/>
        <w:jc w:val="left"/>
      </w:pPr>
      <w:r>
        <w:t xml:space="preserve">1. Question joins the Knowledge type set</w:t>
      </w:r>
    </w:p>
    <w:p>
      <w:pPr>
        <w:spacing w:after="120"/>
        <w:jc w:val="left"/>
      </w:pPr>
      <w:r>
        <w:rPr>
          <w:rFonts w:ascii="Courier New" w:cs="Courier New" w:eastAsia="Courier New" w:hAnsi="Courier New"/>
          <w:shd w:fill="F1F5F9" w:color="auto" w:val="clear"/>
        </w:rPr>
        <w:t xml:space="preserve">knowledge_type</w:t>
      </w:r>
      <w:r>
        <w:t xml:space="preserve"> now includes </w:t>
      </w:r>
      <w:r>
        <w:rPr>
          <w:rFonts w:ascii="Courier New" w:cs="Courier New" w:eastAsia="Courier New" w:hAnsi="Courier New"/>
          <w:shd w:fill="F1F5F9" w:color="auto" w:val="clear"/>
        </w:rPr>
        <w:t xml:space="preserve">question</w:t>
      </w:r>
      <w:r>
        <w:t xml:space="preserve"> alongside </w:t>
      </w:r>
      <w:r>
        <w:rPr>
          <w:rFonts w:ascii="Courier New" w:cs="Courier New" w:eastAsia="Courier New" w:hAnsi="Courier New"/>
          <w:shd w:fill="F1F5F9" w:color="auto" w:val="clear"/>
        </w:rPr>
        <w:t xml:space="preserve">note</w:t>
      </w:r>
      <w:r>
        <w:t xml:space="preserve">, </w:t>
      </w:r>
      <w:r>
        <w:rPr>
          <w:rFonts w:ascii="Courier New" w:cs="Courier New" w:eastAsia="Courier New" w:hAnsi="Courier New"/>
          <w:shd w:fill="F1F5F9" w:color="auto" w:val="clear"/>
        </w:rPr>
        <w:t xml:space="preserve">highlight</w:t>
      </w:r>
      <w:r>
        <w:t xml:space="preserve">, </w:t>
      </w:r>
      <w:r>
        <w:rPr>
          <w:rFonts w:ascii="Courier New" w:cs="Courier New" w:eastAsia="Courier New" w:hAnsi="Courier New"/>
          <w:shd w:fill="F1F5F9" w:color="auto" w:val="clear"/>
        </w:rPr>
        <w:t xml:space="preserve">quote</w:t>
      </w:r>
      <w:r>
        <w:t xml:space="preserve">, </w:t>
      </w:r>
      <w:r>
        <w:rPr>
          <w:rFonts w:ascii="Courier New" w:cs="Courier New" w:eastAsia="Courier New" w:hAnsi="Courier New"/>
          <w:shd w:fill="F1F5F9" w:color="auto" w:val="clear"/>
        </w:rPr>
        <w:t xml:space="preserve">bookmark</w:t>
      </w:r>
      <w:r>
        <w:t xml:space="preserve">, with a matching </w:t>
      </w:r>
      <w:r>
        <w:rPr>
          <w:rFonts w:ascii="Courier New" w:cs="Courier New" w:eastAsia="Courier New" w:hAnsi="Courier New"/>
          <w:shd w:fill="F1F5F9" w:color="auto" w:val="clear"/>
        </w:rPr>
        <w:t xml:space="preserve">question_detail</w:t>
      </w:r>
      <w:r>
        <w:t xml:space="preserve"> table, following the same base-plus-detail pattern ADR-001 established for </w:t>
      </w:r>
      <w:r>
        <w:rPr>
          <w:rFonts w:ascii="Courier New" w:cs="Courier New" w:eastAsia="Courier New" w:hAnsi="Courier New"/>
          <w:shd w:fill="F1F5F9" w:color="auto" w:val="clear"/>
        </w:rPr>
        <w:t xml:space="preserve">Source</w:t>
      </w:r>
      <w:r>
        <w:t xml:space="preserve"> and extended to </w:t>
      </w:r>
      <w:r>
        <w:rPr>
          <w:rFonts w:ascii="Courier New" w:cs="Courier New" w:eastAsia="Courier New" w:hAnsi="Courier New"/>
          <w:shd w:fill="F1F5F9" w:color="auto" w:val="clear"/>
        </w:rPr>
        <w:t xml:space="preserve">Knowledge</w:t>
      </w:r>
      <w:r>
        <w:t xml:space="preserve">.</w:t>
      </w:r>
    </w:p>
    <w:p>
      <w:pPr>
        <w:spacing w:after="200"/>
      </w:pPr>
      <w:r>
        <w:t xml:space="preserve"> </w:t>
      </w:r>
    </w:p>
    <w:p>
      <w:pPr>
        <w:pStyle w:val="Heading3"/>
        <w:spacing w:after="200"/>
        <w:jc w:val="left"/>
      </w:pPr>
      <w:r>
        <w:t xml:space="preserve">2. Tags attach to Knowledge, not only to Work</w:t>
      </w:r>
    </w:p>
    <w:p>
      <w:pPr>
        <w:spacing w:after="120"/>
        <w:jc w:val="left"/>
      </w:pPr>
      <w:r>
        <w:rPr>
          <w:rFonts w:ascii="Courier New" w:cs="Courier New" w:eastAsia="Courier New" w:hAnsi="Courier New"/>
          <w:shd w:fill="F1F5F9" w:color="auto" w:val="clear"/>
        </w:rPr>
        <w:t xml:space="preserve">knowledge_tag</w:t>
      </w:r>
      <w:r>
        <w:t xml:space="preserve"> mirrors </w:t>
      </w:r>
      <w:r>
        <w:rPr>
          <w:rFonts w:ascii="Courier New" w:cs="Courier New" w:eastAsia="Courier New" w:hAnsi="Courier New"/>
          <w:shd w:fill="F1F5F9" w:color="auto" w:val="clear"/>
        </w:rPr>
        <w:t xml:space="preserve">work_tag</w:t>
      </w:r>
      <w:r>
        <w:t xml:space="preserve">. A Work can carry broad tags describing the whole thing; individual Knowledge items within it can carry their own, more specific tags. Filtering no longer has to choose between "too broad" (the whole book) and "not possible" (no tag at all).</w:t>
      </w:r>
    </w:p>
    <w:p>
      <w:pPr>
        <w:spacing w:after="200"/>
      </w:pPr>
      <w:r>
        <w:t xml:space="preserve"> </w:t>
      </w:r>
    </w:p>
    <w:p>
      <w:pPr>
        <w:pStyle w:val="Heading3"/>
        <w:spacing w:after="200"/>
        <w:jc w:val="left"/>
      </w:pPr>
      <w:r>
        <w:t xml:space="preserve">3. Tags carry an origin and an optional category</w:t>
      </w:r>
    </w:p>
    <w:p>
      <w:pPr>
        <w:spacing w:after="120"/>
        <w:jc w:val="left"/>
      </w:pPr>
      <w:r>
        <w:rPr>
          <w:rFonts w:ascii="Courier New" w:cs="Courier New" w:eastAsia="Courier New" w:hAnsi="Courier New"/>
          <w:shd w:fill="F1F5F9" w:color="auto" w:val="clear"/>
        </w:rPr>
        <w:t xml:space="preserve">tag.origin</w:t>
      </w:r>
      <w:r>
        <w:t xml:space="preserve"> distinguishes </w:t>
      </w:r>
      <w:r>
        <w:rPr>
          <w:rFonts w:ascii="Courier New" w:cs="Courier New" w:eastAsia="Courier New" w:hAnsi="Courier New"/>
          <w:shd w:fill="F1F5F9" w:color="auto" w:val="clear"/>
        </w:rPr>
        <w:t xml:space="preserve">automatic</w:t>
      </w:r>
      <w:r>
        <w:t xml:space="preserve"> (system-derived — from imported metadata or future enrichment) from </w:t>
      </w:r>
      <w:r>
        <w:rPr>
          <w:rFonts w:ascii="Courier New" w:cs="Courier New" w:eastAsia="Courier New" w:hAnsi="Courier New"/>
          <w:shd w:fill="F1F5F9" w:color="auto" w:val="clear"/>
        </w:rPr>
        <w:t xml:space="preserve">manual</w:t>
      </w:r>
      <w:r>
        <w:t xml:space="preserve"> (self-made). </w:t>
      </w:r>
      <w:r>
        <w:rPr>
          <w:rFonts w:ascii="Courier New" w:cs="Courier New" w:eastAsia="Courier New" w:hAnsi="Courier New"/>
          <w:shd w:fill="F1F5F9" w:color="auto" w:val="clear"/>
        </w:rPr>
        <w:t xml:space="preserve">tag.category</w:t>
      </w:r>
      <w:r>
        <w:t xml:space="preserve"> optionally groups tags by kind — subject, period, genre — since "science" and a historical period aren't the same kind of thing, even though both are tags.</w:t>
      </w:r>
    </w:p>
    <w:p>
      <w:pPr>
        <w:spacing w:after="200"/>
      </w:pPr>
      <w:r>
        <w:t xml:space="preserve"> </w:t>
      </w:r>
    </w:p>
    <w:p>
      <w:pPr>
        <w:pStyle w:val="Heading3"/>
        <w:spacing w:after="200"/>
        <w:jc w:val="left"/>
      </w:pPr>
      <w:r>
        <w:t xml:space="preserve">4. Collections are either manual or smart</w:t>
      </w:r>
    </w:p>
    <w:p>
      <w:pPr>
        <w:spacing w:after="120"/>
        <w:jc w:val="left"/>
      </w:pPr>
      <w:r>
        <w:rPr>
          <w:rFonts w:ascii="Courier New" w:cs="Courier New" w:eastAsia="Courier New" w:hAnsi="Courier New"/>
          <w:shd w:fill="F1F5F9" w:color="auto" w:val="clear"/>
        </w:rPr>
        <w:t xml:space="preserve">collection.collection_type</w:t>
      </w:r>
      <w:r>
        <w:t xml:space="preserve"> is </w:t>
      </w:r>
      <w:r>
        <w:rPr>
          <w:rFonts w:ascii="Courier New" w:cs="Courier New" w:eastAsia="Courier New" w:hAnsi="Courier New"/>
          <w:shd w:fill="F1F5F9" w:color="auto" w:val="clear"/>
        </w:rPr>
        <w:t xml:space="preserve">manual</w:t>
      </w:r>
      <w:r>
        <w:t xml:space="preserve"> (existing behavior — explicit membership through join tables) or </w:t>
      </w:r>
      <w:r>
        <w:rPr>
          <w:rFonts w:ascii="Courier New" w:cs="Courier New" w:eastAsia="Courier New" w:hAnsi="Courier New"/>
          <w:shd w:fill="F1F5F9" w:color="auto" w:val="clear"/>
        </w:rPr>
        <w:t xml:space="preserve">smart</w:t>
      </w:r>
      <w:r>
        <w:t xml:space="preserve"> (membership computed from </w:t>
      </w:r>
      <w:r>
        <w:rPr>
          <w:rFonts w:ascii="Courier New" w:cs="Courier New" w:eastAsia="Courier New" w:hAnsi="Courier New"/>
          <w:shd w:fill="F1F5F9" w:color="auto" w:val="clear"/>
        </w:rPr>
        <w:t xml:space="preserve">collection.filter_rules</w:t>
      </w:r>
      <w:r>
        <w:t xml:space="preserve">, a JSON rule set evaluated at query time). A smart collection updates itself as the library grows; a manual one changes only when something is explicitly added or removed.</w:t>
      </w:r>
    </w:p>
    <w:p>
      <w:pPr>
        <w:spacing w:after="200"/>
      </w:pPr>
      <w:r>
        <w:t xml:space="preserve"> </w:t>
      </w:r>
    </w:p>
    <w:p>
      <w:pPr>
        <w:pStyle w:val="Heading3"/>
        <w:spacing w:after="200"/>
        <w:jc w:val="left"/>
      </w:pPr>
      <w:r>
        <w:t xml:space="preserve">5. Collections can hold Knowledge items, not only Works</w:t>
      </w:r>
    </w:p>
    <w:p>
      <w:pPr>
        <w:spacing w:after="120"/>
        <w:jc w:val="left"/>
      </w:pPr>
      <w:r>
        <w:rPr>
          <w:rFonts w:ascii="Courier New" w:cs="Courier New" w:eastAsia="Courier New" w:hAnsi="Courier New"/>
          <w:shd w:fill="F1F5F9" w:color="auto" w:val="clear"/>
        </w:rPr>
        <w:t xml:space="preserve">knowledge_collection</w:t>
      </w:r>
      <w:r>
        <w:t xml:space="preserve"> mirrors </w:t>
      </w:r>
      <w:r>
        <w:rPr>
          <w:rFonts w:ascii="Courier New" w:cs="Courier New" w:eastAsia="Courier New" w:hAnsi="Courier New"/>
          <w:shd w:fill="F1F5F9" w:color="auto" w:val="clear"/>
        </w:rPr>
        <w:t xml:space="preserve">work_collection</w:t>
      </w:r>
      <w:r>
        <w:t xml:space="preserve">. A collection can mix specific books with specific quotes, notes, or questions — a "Fiqh study" collection might hold a few books, several quotes, and a running list of open questions, all in one place. This isn't restricted at the schema level to particular Knowledge types; the UI can default to offering notes, quotes, and questions without the database enforcing it, so a highlight or bookmark can join a collection later without a migration.</w:t>
      </w:r>
    </w:p>
    <w:p>
      <w:pPr>
        <w:spacing w:after="200"/>
      </w:pPr>
      <w:r>
        <w:t xml:space="preserve"> </w:t>
      </w:r>
    </w:p>
    <w:p>
      <w:pPr>
        <w:pStyle w:val="Heading3"/>
        <w:spacing w:after="200"/>
        <w:jc w:val="left"/>
      </w:pPr>
      <w:r>
        <w:t xml:space="preserve">6. Comments are a distinct, threaded concept, attached to Knowledge — not to Highlight specifically</w:t>
      </w:r>
    </w:p>
    <w:p>
      <w:pPr>
        <w:spacing w:after="120"/>
        <w:jc w:val="left"/>
      </w:pPr>
      <w:r>
        <w:t xml:space="preserve">A new </w:t>
      </w:r>
      <w:r>
        <w:rPr>
          <w:rFonts w:ascii="Courier New" w:cs="Courier New" w:eastAsia="Courier New" w:hAnsi="Courier New"/>
          <w:shd w:fill="F1F5F9" w:color="auto" w:val="clear"/>
        </w:rPr>
        <w:t xml:space="preserve">comment</w:t>
      </w:r>
      <w:r>
        <w:t xml:space="preserve"> table attaches to </w:t>
      </w:r>
      <w:r>
        <w:rPr>
          <w:rFonts w:ascii="Courier New" w:cs="Courier New" w:eastAsia="Courier New" w:hAnsi="Courier New"/>
          <w:shd w:fill="F1F5F9" w:color="auto" w:val="clear"/>
        </w:rPr>
        <w:t xml:space="preserve">knowledge_id</w:t>
      </w:r>
      <w:r>
        <w:t xml:space="preserve">, with an optional self-referencing </w:t>
      </w:r>
      <w:r>
        <w:rPr>
          <w:rFonts w:ascii="Courier New" w:cs="Courier New" w:eastAsia="Courier New" w:hAnsi="Courier New"/>
          <w:shd w:fill="F1F5F9" w:color="auto" w:val="clear"/>
        </w:rPr>
        <w:t xml:space="preserve">parent_comment_id</w:t>
      </w:r>
      <w:r>
        <w:t xml:space="preserve"> for replies. Highlights were the motivating case (Adobe Acrobat-style annotation threads), but attaching comments at the Knowledge level means any Knowledge item — a note, a quote, a question — can carry a discussion thread, not just highlights.</w:t>
      </w:r>
    </w:p>
    <w:p>
      <w:pPr>
        <w:spacing w:after="200"/>
      </w:pPr>
      <w:r>
        <w:t xml:space="preserve"> </w:t>
      </w:r>
    </w:p>
    <w:p>
      <w:pPr>
        <w:pStyle w:val="Heading3"/>
        <w:spacing w:after="200"/>
        <w:jc w:val="left"/>
      </w:pPr>
      <w:r>
        <w:t xml:space="preserve">7. </w:t>
      </w:r>
      <w:r>
        <w:rPr>
          <w:rFonts w:ascii="Courier New" w:cs="Courier New" w:eastAsia="Courier New" w:hAnsi="Courier New"/>
          <w:shd w:fill="F1F5F9" w:color="auto" w:val="clear"/>
        </w:rPr>
        <w:t xml:space="preserve">note_detail.tag</w:t>
      </w:r>
      <w:r>
        <w:t xml:space="preserve"> is removed</w:t>
      </w:r>
    </w:p>
    <w:p>
      <w:pPr>
        <w:spacing w:after="120"/>
        <w:jc w:val="left"/>
      </w:pPr>
      <w:r>
        <w:t xml:space="preserve">An early draft of the schema added a freeform </w:t>
      </w:r>
      <w:r>
        <w:rPr>
          <w:rFonts w:ascii="Courier New" w:cs="Courier New" w:eastAsia="Courier New" w:hAnsi="Courier New"/>
          <w:shd w:fill="F1F5F9" w:color="auto" w:val="clear"/>
        </w:rPr>
        <w:t xml:space="preserve">tag</w:t>
      </w:r>
      <w:r>
        <w:t xml:space="preserve"> string directly to </w:t>
      </w:r>
      <w:r>
        <w:rPr>
          <w:rFonts w:ascii="Courier New" w:cs="Courier New" w:eastAsia="Courier New" w:hAnsi="Courier New"/>
          <w:shd w:fill="F1F5F9" w:color="auto" w:val="clear"/>
        </w:rPr>
        <w:t xml:space="preserve">note_detail</w:t>
      </w:r>
      <w:r>
        <w:t xml:space="preserve">. It's removed in favor of </w:t>
      </w:r>
      <w:r>
        <w:rPr>
          <w:rFonts w:ascii="Courier New" w:cs="Courier New" w:eastAsia="Courier New" w:hAnsi="Courier New"/>
          <w:shd w:fill="F1F5F9" w:color="auto" w:val="clear"/>
        </w:rPr>
        <w:t xml:space="preserve">knowledge_tag</w:t>
      </w:r>
      <w:r>
        <w:t xml:space="preserve">, which already covers every Knowledge type. If inline </w:t>
      </w:r>
      <w:r>
        <w:rPr>
          <w:rFonts w:ascii="Courier New" w:cs="Courier New" w:eastAsia="Courier New" w:hAnsi="Courier New"/>
          <w:shd w:fill="F1F5F9" w:color="auto" w:val="clear"/>
        </w:rPr>
        <w:t xml:space="preserve">#hashtag</w:t>
      </w:r>
      <w:r>
        <w:t xml:space="preserve"> typing is built later, it should parse to real </w:t>
      </w:r>
      <w:r>
        <w:rPr>
          <w:rFonts w:ascii="Courier New" w:cs="Courier New" w:eastAsia="Courier New" w:hAnsi="Courier New"/>
          <w:shd w:fill="F1F5F9" w:color="auto" w:val="clear"/>
        </w:rPr>
        <w:t xml:space="preserve">tag</w:t>
      </w:r>
      <w:r>
        <w:t xml:space="preserve"> rows through </w:t>
      </w:r>
      <w:r>
        <w:rPr>
          <w:rFonts w:ascii="Courier New" w:cs="Courier New" w:eastAsia="Courier New" w:hAnsi="Courier New"/>
          <w:shd w:fill="F1F5F9" w:color="auto" w:val="clear"/>
        </w:rPr>
        <w:t xml:space="preserve">knowledge_tag</w:t>
      </w:r>
      <w:r>
        <w:t xml:space="preserve"> rather than introduce a second, unsynchronized tagging mechanism.</w:t>
      </w:r>
    </w:p>
    <w:p>
      <w:pPr>
        <w:spacing w:after="200"/>
      </w:pPr>
      <w:r>
        <w:t xml:space="preserve"> </w:t>
      </w:r>
    </w:p>
    <w:p>
      <w:pPr>
        <w:pStyle w:val="Heading2"/>
        <w:spacing w:after="200"/>
        <w:jc w:val="left"/>
      </w:pPr>
      <w:r>
        <w:t xml:space="preserve">Consequences</w:t>
      </w:r>
    </w:p>
    <w:p>
      <w:pPr>
        <w:spacing w:after="120"/>
        <w:jc w:val="left"/>
      </w:pPr>
      <w:r>
        <w:rPr>
          <w:b/>
          <w:bCs/>
        </w:rPr>
        <w:t xml:space="preserve">Advantages</w:t>
      </w:r>
    </w:p>
    <w:p>
      <w:pPr>
        <w:spacing w:after="200"/>
      </w:pPr>
      <w:r>
        <w:t xml:space="preserve"> </w:t>
      </w:r>
    </w:p>
    <w:p>
      <w:pPr>
        <w:pStyle w:val="ListParagraph"/>
        <w:numPr>
          <w:ilvl w:val="0"/>
          <w:numId w:val="2"/>
        </w:numPr>
        <w:spacing w:after="100"/>
        <w:ind w:start="240"/>
        <w:jc w:val="left"/>
      </w:pPr>
      <w:r>
        <w:t xml:space="preserve">One tagging mechanism and one collection-membership mechanism apply uniformly across every Knowledge type, instead of being reinvented per type.</w:t>
      </w:r>
    </w:p>
    <w:p>
      <w:pPr>
        <w:pStyle w:val="ListParagraph"/>
        <w:numPr>
          <w:ilvl w:val="0"/>
          <w:numId w:val="2"/>
        </w:numPr>
        <w:spacing w:after="100"/>
        <w:ind w:start="240"/>
        <w:jc w:val="left"/>
      </w:pPr>
      <w:r>
        <w:t xml:space="preserve">Smart collections give an "everything about X" experience without new schema every time a new saved view is wanted.</w:t>
      </w:r>
    </w:p>
    <w:p>
      <w:pPr>
        <w:pStyle w:val="ListParagraph"/>
        <w:numPr>
          <w:ilvl w:val="0"/>
          <w:numId w:val="2"/>
        </w:numPr>
        <w:spacing w:after="100"/>
        <w:ind w:start="240"/>
        <w:jc w:val="left"/>
      </w:pPr>
      <w:r>
        <w:t xml:space="preserve">Comment threading is available everywhere Knowledge exists, so extending it to Notes or Quotes later costs nothing structurally.</w:t>
      </w:r>
    </w:p>
    <w:p>
      <w:pPr>
        <w:spacing w:after="200"/>
      </w:pPr>
      <w:r>
        <w:t xml:space="preserve"> </w:t>
      </w:r>
    </w:p>
    <w:p>
      <w:pPr>
        <w:spacing w:after="120"/>
        <w:jc w:val="left"/>
      </w:pPr>
      <w:r>
        <w:rPr>
          <w:b/>
          <w:bCs/>
        </w:rPr>
        <w:t xml:space="preserve">Trade-offs</w:t>
      </w:r>
    </w:p>
    <w:p>
      <w:pPr>
        <w:spacing w:after="200"/>
      </w:pPr>
      <w:r>
        <w:t xml:space="preserve"> </w:t>
      </w:r>
    </w:p>
    <w:p>
      <w:pPr>
        <w:pStyle w:val="ListParagraph"/>
        <w:numPr>
          <w:ilvl w:val="0"/>
          <w:numId w:val="2"/>
        </w:numPr>
        <w:spacing w:after="100"/>
        <w:ind w:start="240"/>
        <w:jc w:val="left"/>
      </w:pPr>
      <w:r>
        <w:t xml:space="preserve">Two collection-membership tables (</w:t>
      </w:r>
      <w:r>
        <w:rPr>
          <w:rFonts w:ascii="Courier New" w:cs="Courier New" w:eastAsia="Courier New" w:hAnsi="Courier New"/>
          <w:shd w:fill="F1F5F9" w:color="auto" w:val="clear"/>
        </w:rPr>
        <w:t xml:space="preserve">work_collection</w:t>
      </w:r>
      <w:r>
        <w:t xml:space="preserve">, </w:t>
      </w:r>
      <w:r>
        <w:rPr>
          <w:rFonts w:ascii="Courier New" w:cs="Courier New" w:eastAsia="Courier New" w:hAnsi="Courier New"/>
          <w:shd w:fill="F1F5F9" w:color="auto" w:val="clear"/>
        </w:rPr>
        <w:t xml:space="preserve">knowledge_collection</w:t>
      </w:r>
      <w:r>
        <w:t xml:space="preserve">) exist instead of one polymorphic table. This means more explicit foreign keys and slightly more query surface, but avoids the entity-type/entity-id polymorphism pattern everywhere except </w:t>
      </w:r>
      <w:r>
        <w:rPr>
          <w:rFonts w:ascii="Courier New" w:cs="Courier New" w:eastAsia="Courier New" w:hAnsi="Courier New"/>
          <w:shd w:fill="F1F5F9" w:color="auto" w:val="clear"/>
        </w:rPr>
        <w:t xml:space="preserve">event_log</w:t>
      </w:r>
      <w:r>
        <w:t xml:space="preserve">, where it was already justified by needing to reference every entity type uniformly.</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filter_rules</w:t>
      </w:r>
      <w:r>
        <w:t xml:space="preserve"> on smart collections has no schema of its own — it's JSON. That's flexible now, but it means validating what a "valid" rule set looks like has to live in application code, not the database.</w:t>
      </w:r>
    </w:p>
    <w:p>
      <w:pPr>
        <w:pStyle w:val="ListParagraph"/>
        <w:numPr>
          <w:ilvl w:val="0"/>
          <w:numId w:val="2"/>
        </w:numPr>
        <w:spacing w:after="100"/>
        <w:ind w:start="240"/>
        <w:jc w:val="left"/>
      </w:pPr>
      <w:r>
        <w:t xml:space="preserve">Neither </w:t>
      </w:r>
      <w:r>
        <w:rPr>
          <w:rFonts w:ascii="Courier New" w:cs="Courier New" w:eastAsia="Courier New" w:hAnsi="Courier New"/>
          <w:shd w:fill="F1F5F9" w:color="auto" w:val="clear"/>
        </w:rPr>
        <w:t xml:space="preserve">work_collection</w:t>
      </w:r>
      <w:r>
        <w:t xml:space="preserve"> nor </w:t>
      </w:r>
      <w:r>
        <w:rPr>
          <w:rFonts w:ascii="Courier New" w:cs="Courier New" w:eastAsia="Courier New" w:hAnsi="Courier New"/>
          <w:shd w:fill="F1F5F9" w:color="auto" w:val="clear"/>
        </w:rPr>
        <w:t xml:space="preserve">knowledge_collection</w:t>
      </w:r>
      <w:r>
        <w:t xml:space="preserve"> currently records who added an item or when — both are a bare composite key. Worth revisiting if per-member provenance ever matters (e.g. a shared collection between Ammar and Monzer where "who added this" is useful).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2026-07-31T00:53:25.149Z</dcterms:created>
  <dcterms:modified xsi:type="dcterms:W3CDTF">2026-07-31T00:53:25.149Z</dcterms:modified>
</cp:coreProperties>
</file>

<file path=docProps/custom.xml><?xml version="1.0" encoding="utf-8"?>
<Properties xmlns="http://schemas.openxmlformats.org/officeDocument/2006/custom-properties" xmlns:vt="http://schemas.openxmlformats.org/officeDocument/2006/docPropsVTypes"/>
</file>