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7"/>
        </w:rPr>
        <w:t>INFORME ACADÉMICO – FASE 1 (HASTA EL CAPÍTULO II)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UNIVERSIDAD NACIONAL FEDERICO VILLARREAL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FACULTAD DE INGENIERÍA ELECTRÓNICA E INFORMÁTICA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ESCUELA PROFESIONAL DE INGENIERÍA INFORMÁTICA / ELECTRÓNICA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PROYECTO INTEGRADOR AVANZADO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SISTEMA INTELIGENTE DE EVALUACIÓN ADAPTATIVA Y PERSONALIZACIÓN DEL APRENDIZAJE UNIVERSITARIO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Subtítulo: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Plataforma Integral de Business Intelligence y Machine Learning basada en DataMart Multidimensional, Pipelines SSIS, Cubos OLAP y Modelos Predictivos para la Gestión de Retención Académica en UNFV-FIEI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Curso: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Gestión y Análisis de Datos e Información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Docente: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Mg. Ing. Ivan Crispin Sanchez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Ciclo Académico: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2026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5"/>
        </w:rPr>
        <w:t>ÍNDICE GENERAL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 w:val="0"/>
          <w:i w:val="0"/>
          <w:color w:val="000000"/>
          <w:sz w:val="23"/>
        </w:rPr>
        <w:t>[Introducción](#introducción)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1.1. Presentación del proyecto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1.2. Problema identificado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1.3. Importancia de la solución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1.4. Alcance general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 w:val="0"/>
          <w:i w:val="0"/>
          <w:color w:val="000000"/>
          <w:sz w:val="23"/>
        </w:rPr>
        <w:t>[Capítulo I: Generalidades](#capítulo-i-generalidades)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2.1. Descripción de la empresa u organización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2.2. Historia, misión, visión y valores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2.3. Organización y organigrama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2.4. Área involucrada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2.5. Descripción del proceso actual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2.6. Diagrama AS-IS (Proceso Actual)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2.7. Propuesta TO-BE (Proceso Futuro Optimizado)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 w:val="0"/>
          <w:i w:val="0"/>
          <w:color w:val="000000"/>
          <w:sz w:val="23"/>
        </w:rPr>
        <w:t>[Capítulo II: Proyecto o Tarea Académica (Marco Teórico y Fundamentación)](#capítulo-ii-proyecto-o-tarea-académica)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3.1. Inteligencia de Negocios (Business Intelligence)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3.2. Data Warehouse y DataMart (Metodología Kimball)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3.3. Modelos Dimensionales (Esquema Estrella)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3.4. Datos, Información y Conocimiento (Pirámide DIKW)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3.5. Dimensiones, Medidas, Jerarquías y Granularidad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3.6. Cubos OLAP y Procesamiento Multidimensional (SSAS)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3.7. Indicadores de Gestión y KPIs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3.8. Machine Learning e Inteligencia Artificial en Educación (</w:t>
      </w:r>
      <w:r>
        <w:rPr>
          <w:rFonts w:ascii="Times New Roman" w:hAnsi="Times New Roman"/>
          <w:b w:val="0"/>
          <w:i/>
          <w:color w:val="000000"/>
          <w:sz w:val="23"/>
        </w:rPr>
        <w:t>Educational Data Mining</w:t>
      </w:r>
      <w:r>
        <w:rPr>
          <w:rFonts w:ascii="Times New Roman" w:hAnsi="Times New Roman"/>
          <w:b w:val="0"/>
          <w:i w:val="0"/>
          <w:color w:val="000000"/>
          <w:sz w:val="23"/>
        </w:rPr>
        <w:t>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 w:val="0"/>
          <w:i w:val="0"/>
          <w:color w:val="000000"/>
          <w:sz w:val="23"/>
        </w:rPr>
        <w:t>[Referencias Bibliográficas (Normas APA 7ma Edición)](#referencias-bibliográficas)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5"/>
        </w:rPr>
        <w:t>INTRODUCCIÓN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1.1. Presentación del proyecto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En el escenario contemporáneo de la educación superior universitaria peruana, las instituciones enfrentan un desafío estructural determinante que compromete su sostenibilidad institucional, calidad educativa y responsabilidad social: la deserción estudiantil temprana y el rezago curricular no supervisado. El presente proyecto integrador diseña e implementa una </w:t>
      </w:r>
      <w:r>
        <w:rPr>
          <w:rFonts w:ascii="Times New Roman" w:hAnsi="Times New Roman"/>
          <w:b/>
          <w:i w:val="0"/>
          <w:color w:val="000000"/>
          <w:sz w:val="24"/>
        </w:rPr>
        <w:t>plataforma inteligente de Business Intelligence y Machine Learning</w:t>
      </w:r>
      <w:r>
        <w:rPr>
          <w:rFonts w:ascii="Times New Roman" w:hAnsi="Times New Roman"/>
          <w:b w:val="0"/>
          <w:i w:val="0"/>
          <w:color w:val="000000"/>
          <w:sz w:val="24"/>
        </w:rPr>
        <w:t>, concebida específicamente para superar el paradigma tradicional de reportes retrospectivos estáticos y hojas de cálculo desconectadas.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arquitectura de la solución se estructura siguiendo estrictamente el flujo secuencial de siete etapas establecido por la cátedra de Gestión y Análisis de Datos e Información: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Fuentes Transaccionales y Externas: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Integración del dataset académico granular de trayectoria estudiantil (UCI Machine Learning, 4,424 observaciones $\times$ 37 atributos), el catálogo universitario nacional (TUNI/SUNEDU) y los microdatos sociolaborales oficiales (ENAHO/INEI 2023, Módulos 300 y 500).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Proceso de Extracción, Transformación y Carga (ETL):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Implementado mediante </w:t>
      </w:r>
      <w:r>
        <w:rPr>
          <w:rFonts w:ascii="Times New Roman" w:hAnsi="Times New Roman"/>
          <w:b/>
          <w:i w:val="0"/>
          <w:color w:val="000000"/>
          <w:sz w:val="23"/>
        </w:rPr>
        <w:t>Visual Studio SQL Server Integration Services (SSIS)</w:t>
      </w:r>
      <w:r>
        <w:rPr>
          <w:rFonts w:ascii="Times New Roman" w:hAnsi="Times New Roman"/>
          <w:b w:val="0"/>
          <w:i w:val="0"/>
          <w:color w:val="000000"/>
          <w:sz w:val="23"/>
        </w:rPr>
        <w:t>, garantizando áreas de preparación (</w:t>
      </w:r>
      <w:r>
        <w:rPr>
          <w:rFonts w:ascii="Times New Roman" w:hAnsi="Times New Roman"/>
          <w:b w:val="0"/>
          <w:i/>
          <w:color w:val="000000"/>
          <w:sz w:val="23"/>
        </w:rPr>
        <w:t>Staging</w:t>
      </w:r>
      <w:r>
        <w:rPr>
          <w:rFonts w:ascii="Times New Roman" w:hAnsi="Times New Roman"/>
          <w:b w:val="0"/>
          <w:i w:val="0"/>
          <w:color w:val="000000"/>
          <w:sz w:val="23"/>
        </w:rPr>
        <w:t>), normalización de calificaciones a la escala vigesimal peruana ($0\text{ a }20$) y controles rigurosos de calidad de datos.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DataMart Relacional Dimensional: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Diseñado bajo metodología Ralph Kimball en </w:t>
      </w:r>
      <w:r>
        <w:rPr>
          <w:rFonts w:ascii="Times New Roman" w:hAnsi="Times New Roman"/>
          <w:b/>
          <w:i w:val="0"/>
          <w:color w:val="000000"/>
          <w:sz w:val="23"/>
        </w:rPr>
        <w:t>Microsoft SQL Server</w:t>
      </w:r>
      <w:r>
        <w:rPr>
          <w:rFonts w:ascii="Times New Roman" w:hAnsi="Times New Roman"/>
          <w:b w:val="0"/>
          <w:i w:val="0"/>
          <w:color w:val="000000"/>
          <w:sz w:val="23"/>
        </w:rPr>
        <w:t>, estructurando esquemas estrella con granularidad atómica por estudiante y etapa de evaluación.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3"/>
        </w:rPr>
        <w:t>Procesamiento Analítico Multidimensional (OLAP):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Construido en </w:t>
      </w:r>
      <w:r>
        <w:rPr>
          <w:rFonts w:ascii="Times New Roman" w:hAnsi="Times New Roman"/>
          <w:b/>
          <w:i w:val="0"/>
          <w:color w:val="000000"/>
          <w:sz w:val="23"/>
        </w:rPr>
        <w:t>SQL Server Analysis Services (SSAS)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para habilitar operaciones analíticas multidimensionales (</w:t>
      </w:r>
      <w:r>
        <w:rPr>
          <w:rFonts w:ascii="Times New Roman" w:hAnsi="Times New Roman"/>
          <w:b w:val="0"/>
          <w:i/>
          <w:color w:val="000000"/>
          <w:sz w:val="23"/>
        </w:rPr>
        <w:t>Drill-down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3"/>
        </w:rPr>
        <w:t>Roll-up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3"/>
        </w:rPr>
        <w:t>Slice &amp; Dice</w:t>
      </w:r>
      <w:r>
        <w:rPr>
          <w:rFonts w:ascii="Times New Roman" w:hAnsi="Times New Roman"/>
          <w:b w:val="0"/>
          <w:i w:val="0"/>
          <w:color w:val="000000"/>
          <w:sz w:val="23"/>
        </w:rPr>
        <w:t>) y cálculo de KPIs de gestión.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3"/>
        </w:rPr>
        <w:t>Módulo Predictivo de Inteligencia Artificial: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Desarrollado en </w:t>
      </w:r>
      <w:r>
        <w:rPr>
          <w:rFonts w:ascii="Times New Roman" w:hAnsi="Times New Roman"/>
          <w:b/>
          <w:i w:val="0"/>
          <w:color w:val="000000"/>
          <w:sz w:val="23"/>
        </w:rPr>
        <w:t>Python (Scikit-Learn)</w:t>
      </w:r>
      <w:r>
        <w:rPr>
          <w:rFonts w:ascii="Times New Roman" w:hAnsi="Times New Roman"/>
          <w:b w:val="0"/>
          <w:i w:val="0"/>
          <w:color w:val="000000"/>
          <w:sz w:val="23"/>
        </w:rPr>
        <w:t>, ejecutando la comparación formal de algoritmos supervisados (</w:t>
      </w:r>
      <w:r>
        <w:rPr>
          <w:rFonts w:ascii="Times New Roman" w:hAnsi="Times New Roman"/>
          <w:b/>
          <w:i w:val="0"/>
          <w:color w:val="000000"/>
          <w:sz w:val="23"/>
        </w:rPr>
        <w:t>Regresión Logística vs. Random Forest</w:t>
      </w:r>
      <w:r>
        <w:rPr>
          <w:rFonts w:ascii="Times New Roman" w:hAnsi="Times New Roman"/>
          <w:b w:val="0"/>
          <w:i w:val="0"/>
          <w:color w:val="000000"/>
          <w:sz w:val="23"/>
        </w:rPr>
        <w:t>) en dos hitos temporales y segmentación no supervisada (</w:t>
      </w:r>
      <w:r>
        <w:rPr>
          <w:rFonts w:ascii="Times New Roman" w:hAnsi="Times New Roman"/>
          <w:b/>
          <w:i w:val="0"/>
          <w:color w:val="000000"/>
          <w:sz w:val="23"/>
        </w:rPr>
        <w:t>Clustering K-Means</w:t>
      </w:r>
      <w:r>
        <w:rPr>
          <w:rFonts w:ascii="Times New Roman" w:hAnsi="Times New Roman"/>
          <w:b w:val="0"/>
          <w:i w:val="0"/>
          <w:color w:val="000000"/>
          <w:sz w:val="23"/>
        </w:rPr>
        <w:t>) para perfiles estudiantiles.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6. </w:t>
      </w:r>
      <w:r>
        <w:rPr>
          <w:rFonts w:ascii="Times New Roman" w:hAnsi="Times New Roman"/>
          <w:b/>
          <w:i w:val="0"/>
          <w:color w:val="000000"/>
          <w:sz w:val="23"/>
        </w:rPr>
        <w:t>Integración BI + IA y Cuadros de Mando Ejecutivos: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Almacenamiento de probabilidades predichas en la base analítica y visualización interactiva en </w:t>
      </w:r>
      <w:r>
        <w:rPr>
          <w:rFonts w:ascii="Times New Roman" w:hAnsi="Times New Roman"/>
          <w:b/>
          <w:i w:val="0"/>
          <w:color w:val="000000"/>
          <w:sz w:val="23"/>
        </w:rPr>
        <w:t>Power BI Desktop</w:t>
      </w:r>
      <w:r>
        <w:rPr>
          <w:rFonts w:ascii="Times New Roman" w:hAnsi="Times New Roman"/>
          <w:b w:val="0"/>
          <w:i w:val="0"/>
          <w:color w:val="000000"/>
          <w:sz w:val="23"/>
        </w:rPr>
        <w:t>, incorporando un semáforo de riesgo y un simulador prescriptivo de escenarios (</w:t>
      </w:r>
      <w:r>
        <w:rPr>
          <w:rFonts w:ascii="Times New Roman" w:hAnsi="Times New Roman"/>
          <w:b w:val="0"/>
          <w:i/>
          <w:color w:val="000000"/>
          <w:sz w:val="23"/>
        </w:rPr>
        <w:t>What-If</w:t>
      </w:r>
      <w:r>
        <w:rPr>
          <w:rFonts w:ascii="Times New Roman" w:hAnsi="Times New Roman"/>
          <w:b w:val="0"/>
          <w:i w:val="0"/>
          <w:color w:val="000000"/>
          <w:sz w:val="23"/>
        </w:rPr>
        <w:t>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7. </w:t>
      </w:r>
      <w:r>
        <w:rPr>
          <w:rFonts w:ascii="Times New Roman" w:hAnsi="Times New Roman"/>
          <w:b/>
          <w:i w:val="0"/>
          <w:color w:val="000000"/>
          <w:sz w:val="23"/>
        </w:rPr>
        <w:t>Toma de Decisiones Institucionales: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Entrega de información procesable y recomendaciones prescriptivas al Director de Escuela Profesional, Comité de Tutoría y Bienestar Universitario de la FIEI-UNFV.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Para asegurar la coherencia epistemológica del proyecto frente a su denominación oficial, se establecen las siguientes definiciones operativas: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Evaluación Adaptativa: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Proceso dinámico de re-evaluación del riesgo académico ejecutado en etapas sucesivas ($M_1$: Al ingreso vs. $M_2$: Al cierre del primer semestre), permitiendo que el sistema adapte su nivel de alerta conforme el estudiante genera evidencia real de rendimiento universitario.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Personalización del Aprendizaje: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Segmentación de la población estudiantil en perfiles socioacadémicos homogéneos mediante </w:t>
      </w:r>
      <w:r>
        <w:rPr>
          <w:rFonts w:ascii="Times New Roman" w:hAnsi="Times New Roman"/>
          <w:b w:val="0"/>
          <w:i/>
          <w:color w:val="000000"/>
          <w:sz w:val="23"/>
        </w:rPr>
        <w:t>Clustering</w:t>
      </w:r>
      <w:r>
        <w:rPr>
          <w:rFonts w:ascii="Times New Roman" w:hAnsi="Times New Roman"/>
          <w:b w:val="0"/>
          <w:i w:val="0"/>
          <w:color w:val="000000"/>
          <w:sz w:val="23"/>
        </w:rPr>
        <w:t>, articulada con una matriz de intervención tutorial que asigna planes pedagógicos diferenciados según el tipo y nivel de vulnerabilidad.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1.2. Problema identificado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 gestión académica tradicional en las universidades públicas adolece de un modelo de seguimiento netamente </w:t>
      </w:r>
      <w:r>
        <w:rPr>
          <w:rFonts w:ascii="Times New Roman" w:hAnsi="Times New Roman"/>
          <w:b/>
          <w:i w:val="0"/>
          <w:color w:val="000000"/>
          <w:sz w:val="24"/>
        </w:rPr>
        <w:t>reactivo y "post-mortem"</w:t>
      </w:r>
      <w:r>
        <w:rPr>
          <w:rFonts w:ascii="Times New Roman" w:hAnsi="Times New Roman"/>
          <w:b w:val="0"/>
          <w:i w:val="0"/>
          <w:color w:val="000000"/>
          <w:sz w:val="24"/>
        </w:rPr>
        <w:t>. Las señales de fracaso y abandono estudiantil son advertidas por las autoridades facultativas de manera tardía: comúnmente al consolidarse las actas oficiales de notas tras los exámenes parciales (semanas 8 a 10) o al concluir el semestre académico (semana 16). En este punto crítico, las posibilidades pedagógicas y administrativas de recuperación o nivelación son prácticamente nulas, consolidando la desaprobación masiva y el abandono.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 el sistema universitario peruano, esta problemática presenta una severa raíz socioeconómica y laboral. El análisis de microdatos de la Encuesta Nacional de Hogares (INEI ENAHO 2023, Módulos 300 y 500) revela que: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El </w:t>
      </w:r>
      <w:r>
        <w:rPr>
          <w:rFonts w:ascii="Times New Roman" w:hAnsi="Times New Roman"/>
          <w:b/>
          <w:i w:val="0"/>
          <w:color w:val="000000"/>
          <w:sz w:val="23"/>
        </w:rPr>
        <w:t>$44.0\%$ de los estudiantes universitarios peruanos se encuentra trabajando activamente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durante sus estudios de pregrado.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La jornada laboral promedio entre los estudiantes trabajadores alcanza </w:t>
      </w:r>
      <w:r>
        <w:rPr>
          <w:rFonts w:ascii="Times New Roman" w:hAnsi="Times New Roman"/>
          <w:b/>
          <w:i w:val="0"/>
          <w:color w:val="000000"/>
          <w:sz w:val="23"/>
        </w:rPr>
        <w:t>$34.7$ horas semanales</w:t>
      </w:r>
      <w:r>
        <w:rPr>
          <w:rFonts w:ascii="Times New Roman" w:hAnsi="Times New Roman"/>
          <w:b w:val="0"/>
          <w:i w:val="0"/>
          <w:color w:val="000000"/>
          <w:sz w:val="23"/>
        </w:rPr>
        <w:t>, configurando un régimen de sobrecarga horaria incompatible con la alta demanda de créditos académicos.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En el ámbito nacional, la Superintendencia Nacional de Educación Superior Universitaria (SUNEDU) reporta que la deserción interanual en el primer año formativo oscila entre el </w:t>
      </w:r>
      <w:r>
        <w:rPr>
          <w:rFonts w:ascii="Times New Roman" w:hAnsi="Times New Roman"/>
          <w:b/>
          <w:i w:val="0"/>
          <w:color w:val="000000"/>
          <w:sz w:val="23"/>
        </w:rPr>
        <w:t>$18\%$ y el $27\%$</w:t>
      </w:r>
      <w:r>
        <w:rPr>
          <w:rFonts w:ascii="Times New Roman" w:hAnsi="Times New Roman"/>
          <w:b w:val="0"/>
          <w:i w:val="0"/>
          <w:color w:val="000000"/>
          <w:sz w:val="23"/>
        </w:rPr>
        <w:t>, afectando con mayor severidad a las carreras de ciencias básicas e ingeniería.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En el contexto específico de la UNFV, investigaciones empíricas recientes realizadas por docentes de la institución (Aparicio-Montenegro et al., 2026) confirman que más del $70\%$ de los casos de desvinculación definitiva en la universidad se incuban durante los dos primeros semestres por desaprobación acumulada en cursos troncales.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Como referencia empírica benchmark, el dataset internacional de estudio (Realinho et al., 2022) refleja una tasa de abandono histórico acumulado del </w:t>
      </w:r>
      <w:r>
        <w:rPr>
          <w:rFonts w:ascii="Times New Roman" w:hAnsi="Times New Roman"/>
          <w:b/>
          <w:i w:val="0"/>
          <w:color w:val="000000"/>
          <w:sz w:val="23"/>
        </w:rPr>
        <w:t>$32.1\%$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frente a un </w:t>
      </w:r>
      <w:r>
        <w:rPr>
          <w:rFonts w:ascii="Times New Roman" w:hAnsi="Times New Roman"/>
          <w:b/>
          <w:i w:val="0"/>
          <w:color w:val="000000"/>
          <w:sz w:val="23"/>
        </w:rPr>
        <w:t>$17.9\%$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de matrícula rezagada persistente, demostrando que la falta de intervención temprana condena a casi la mitad de los estudiantes vulnerables al fracaso académico.</w:t>
      </w:r>
    </w:p>
    <w:p>
      <w:pPr>
        <w:spacing w:line="240" w:lineRule="auto" w:before="80" w:after="120"/>
        <w:ind w:left="576" w:right="576"/>
      </w:pPr>
      <w:r>
        <w:rPr>
          <w:rFonts w:ascii="Times New Roman" w:hAnsi="Times New Roman"/>
          <w:b/>
          <w:color w:val="0E7490"/>
          <w:sz w:val="20"/>
        </w:rPr>
        <w:t>[Diagrama / Especificación de Proceso BPMN 2.0]</w:t>
        <w:br/>
      </w:r>
      <w:r>
        <w:rPr>
          <w:rFonts w:ascii="Consolas" w:hAnsi="Consolas"/>
          <w:color w:val="475569"/>
          <w:sz w:val="17"/>
        </w:rPr>
        <w:t>flowchart TD</w:t>
        <w:br/>
        <w:t xml:space="preserve">    subgraph CAUSAS["CAUSAS RAÍZ DEL PROBLEMA"]</w:t>
        <w:br/>
        <w:t xml:space="preserve">        C1["Seguimiento académico reactivo y tardío&lt;br&gt;(Reportes en semanas 8 a 16)"]</w:t>
        <w:br/>
        <w:t xml:space="preserve">        C2["Silos de información desarticulados&lt;br&gt;(Notas en Excel, falta de perfil socioeconómico)"]</w:t>
        <w:br/>
        <w:t xml:space="preserve">        C3["Sobrecarga horaria laboral oculta&lt;br&gt;(44% trabaja, 34.7 h/semana promedio)"]</w:t>
        <w:br/>
        <w:t xml:space="preserve">        C4["Intervención tutorial uniforme y genérica&lt;br&gt;(Sin segmentación de necesidades)"]</w:t>
        <w:br/>
        <w:t xml:space="preserve">    end</w:t>
        <w:br/>
        <w:br/>
        <w:t xml:space="preserve">    subgraph PROBLEMA["PROBLEMA CENTRAL DE GESTIÓN"]</w:t>
        <w:br/>
        <w:t xml:space="preserve">        P["INEFICIENCIA EN LA DETECCIÓN TEMPRANA DEL RIESGO Y FALTA DE PERSONALIZACIÓN DE INTERVENCIONES PARA LA RETENCIÓN ESTUDIANTIL EN LA FIEI-UNFV"]</w:t>
        <w:br/>
        <w:t xml:space="preserve">    end</w:t>
        <w:br/>
        <w:br/>
        <w:t xml:space="preserve">    subgraph EFECTOS["EFECTOS E IMPACTOS"]</w:t>
        <w:br/>
        <w:t xml:space="preserve">        E1["Alta tasa de desaprobación en primer ciclo&lt;br&gt;(Cursos troncales y ciencias básicas)"]</w:t>
        <w:br/>
        <w:t xml:space="preserve">        E2["Pérdida de gratuidad y sanción reglamentaria&lt;br&gt;(Matrícula condicionada por bajo rendimiento)"]</w:t>
        <w:br/>
        <w:t>... [Diagrama completo documentado: 27 líneas]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1.3. Importancia de la solución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implementación de esta plataforma inteligente aporta un valor estratégico multidimensional a la gestión académica, alineando las capacidades analíticas con las necesidades operativas de cada actor del proceso: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1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 Beneficiario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Necesidad Crítica Resuelta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Beneficio Concreto Entregado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Componente Tecnológico Responsable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Director de Escuela Profesional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Carencia de visión agregada de retención y rendimiento curricular por cohorte.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Tableros ejecutivos con KPIs consolidados por escuela para optimizar la oferta curricular y la asignación docente.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DataMart en SQL Server + Cubo SSAS + Power BI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Comité de Tutoría y Consejería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Detección tardía de estudiantes reprobatorios y saturación tutorial.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Semáforo de riesgo predictivo antes de la semana 5 que prioriza a los estudiantes en riesgo crítico ($P \ge 60\%$).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Modelos Supervisados de IA (Python) + </w:t>
            </w:r>
            <w:r>
              <w:rPr>
                <w:rFonts w:ascii="Consolas" w:hAnsi="Consolas"/>
                <w:color w:val="1E293B"/>
                <w:sz w:val="16"/>
              </w:rPr>
              <w:t>FactPrediccion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Docente Tutor / Consejero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Desconocimiento del perfil específico y motivos de rezago del alumno.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Ficha individual del estudiante con perfil socioacadémico y recomendación prescriptiva adaptada a su vulnerabilidad.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Clustering K-Means + Matriz de Recomendación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Oficina de Bienestar Universitario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Asignación asistencial desarticulada del rendimiento real.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Identificación cruzada de estudiantes en riesgo académico con sobrecarga laboral o precariedad económica para otorgar becas comedor.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Contexto ENAHO integrado + Dashboard de Bienestar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Estudiante Universitario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Acompañamiento pedagógico tardío e intervenciones impersonales.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Alerta y nivelación académica preventiva antes de caer en causal de matrícula condicionada o deserción.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Plan de Intervención Personalizado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1.4. Alcance general y delimitación técnica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1.4.1. Objetivo General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Diseñar e implementar una plataforma inteligente de Business Intelligence y Machine Learning basada en arquitectura de DataMart relacional, pipelines de integración SSIS, cubos analíticos SSAS y cuadros de mando interactivos en Power BI, orientada a la evaluación adaptativa del riesgo académico y la personalización de intervenciones para la retención estudiantil en la FIEI-UNFV.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1.4.2. Objetivos Específicos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 w:val="0"/>
          <w:i w:val="0"/>
          <w:color w:val="000000"/>
          <w:sz w:val="23"/>
        </w:rPr>
        <w:t>Modelar los procesos académicos AS-IS y TO-BE de la FIEI-UNFV, diagnosticando los puntos de latencia informacional y formalizando el catálogo de preguntas de negocio y KPIs institucionales.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 w:val="0"/>
          <w:i w:val="0"/>
          <w:color w:val="000000"/>
          <w:sz w:val="23"/>
        </w:rPr>
        <w:t>Diseñar e implementar el DataMart dimensional en SQL Server bajo esquema estrella (metodología Ralph Kimball), estructurando tablas de hechos y dimensiones conformadas con niveles rigurosos de granularidad.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Construir el pipeline ETL automatizado mediante Visual Studio SQL Server Integration Services (SSIS), asegurando áreas de </w:t>
      </w:r>
      <w:r>
        <w:rPr>
          <w:rFonts w:ascii="Times New Roman" w:hAnsi="Times New Roman"/>
          <w:b w:val="0"/>
          <w:i/>
          <w:color w:val="000000"/>
          <w:sz w:val="23"/>
        </w:rPr>
        <w:t>staging</w:t>
      </w:r>
      <w:r>
        <w:rPr>
          <w:rFonts w:ascii="Times New Roman" w:hAnsi="Times New Roman"/>
          <w:b w:val="0"/>
          <w:i w:val="0"/>
          <w:color w:val="000000"/>
          <w:sz w:val="23"/>
        </w:rPr>
        <w:t>, transformación de datos, normalización vigesimal ($0\text{ a }20$) y auditoría de carga.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 w:val="0"/>
          <w:i w:val="0"/>
          <w:color w:val="000000"/>
          <w:sz w:val="23"/>
        </w:rPr>
        <w:t>Desarrollar y evaluar comparativamente los modelos de Machine Learning en Python (Regresión Logística vs. Random Forest) en dos momentos temporales y segmentar perfiles estudiantiles mediante Clustering K-Means.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5.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Implementar el Cubo OLAP multidimensional en SSAS y desarrollar el Dashboard inteligente en Power BI Desktop, integrando el semáforo predictivo y un simulador de escenarios </w:t>
      </w:r>
      <w:r>
        <w:rPr>
          <w:rFonts w:ascii="Times New Roman" w:hAnsi="Times New Roman"/>
          <w:b w:val="0"/>
          <w:i/>
          <w:color w:val="000000"/>
          <w:sz w:val="23"/>
        </w:rPr>
        <w:t>What-If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1.4.3. Matriz de Alcance Positivo y Negativo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Lo que el proyecto SÍ incluye: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Procesamiento y limpieza de 4,424 registros granulares, modelado dimensional en SQL Server, ETL en Visual Studio SSIS, cubo OLAP en SSAS, modelado predictivo supervisado en dos etapas ($M_1$ y $M_2$), validación </w:t>
      </w:r>
      <w:r>
        <w:rPr>
          <w:rFonts w:ascii="Times New Roman" w:hAnsi="Times New Roman"/>
          <w:b w:val="0"/>
          <w:i/>
          <w:color w:val="000000"/>
          <w:sz w:val="23"/>
        </w:rPr>
        <w:t>out-of-fold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para toda la población en Power BI, y simulación de escenarios What-If.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Lo que el proyecto NO incluye (Límites declarados):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No incluye desarrollo de sistemas web full-stack ni apps móviles; no implementa tests adaptativos computarizados a nivel de reactivo (CAT/TRI); y no realiza cruces nominativos ficticios entre estudiantes de UCI y encuestados de ENAHO/TUNI, preservando la trazabilidad y la legalidad de los datos.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5"/>
        </w:rPr>
        <w:t>CAPÍTULO I: GENERALIDADES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2.1. Descripción de la empresa u organización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 marco organizacional del presente proyecto es la </w:t>
      </w:r>
      <w:r>
        <w:rPr>
          <w:rFonts w:ascii="Times New Roman" w:hAnsi="Times New Roman"/>
          <w:b/>
          <w:i w:val="0"/>
          <w:color w:val="000000"/>
          <w:sz w:val="24"/>
        </w:rPr>
        <w:t>Universidad Nacional Federico Villarreal (UNFV)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institución pública de educación superior universitaria del Perú, focalizando su implementación y caso de negocio en la </w:t>
      </w:r>
      <w:r>
        <w:rPr>
          <w:rFonts w:ascii="Times New Roman" w:hAnsi="Times New Roman"/>
          <w:b/>
          <w:i w:val="0"/>
          <w:color w:val="000000"/>
          <w:sz w:val="24"/>
        </w:rPr>
        <w:t>Facultad de Ingeniería Electrónica e Informática (FIEI)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 UNFV cuenta con </w:t>
      </w:r>
      <w:r>
        <w:rPr>
          <w:rFonts w:ascii="Times New Roman" w:hAnsi="Times New Roman"/>
          <w:b/>
          <w:i w:val="0"/>
          <w:color w:val="000000"/>
          <w:sz w:val="24"/>
        </w:rPr>
        <w:t>Licenciamiento Institucional otorgado por la SUNEDU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mediante la </w:t>
      </w:r>
      <w:r>
        <w:rPr>
          <w:rFonts w:ascii="Times New Roman" w:hAnsi="Times New Roman"/>
          <w:b/>
          <w:i w:val="0"/>
          <w:color w:val="000000"/>
          <w:sz w:val="24"/>
        </w:rPr>
        <w:t>Resolución del Consejo Directivo N° 035-2019-SUNEDU/CD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(emitida el 11 de marzo de 2019), la cual acreditó el cumplimiento de las Condiciones Básicas de Calidad (CBC) exigidas por la Ley Universitaria N° 30220.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FIEI concentra la formación tecnológica y científica de vanguardia de la universidad, albergando cuatro escuelas profesionales: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Escuela Profesional de Ingeniería Informática: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Especializada en ingeniería de software, analítica de datos, sistemas de información y seguridad informática.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Escuela Profesional de Ingeniería Electrónica: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Centrada en sistemas electrónicos, instrumentación y procesamiento digital de señales.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Escuela Profesional de Ingeniería Mecatrónica: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Orientada al control automático, robótica industrial y sistemas ciberfísicos.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3"/>
        </w:rPr>
        <w:t>Escuela Profesional de Ingeniería de Telecomunicaciones: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Focalizada en redes convergentes, sistemas de transmisión y radiocomunicaciones.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2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Atributo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Detalle Oficial Institucional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Denominación Oficial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Universidad Nacional Federico Villarreal (UNFV)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Dependencia Piloto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Facultad de Ingeniería Electrónica e Informática (FIEI)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Ubicación de la FIEI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Jr. Iquique N° 127, Breña, Lima, Perú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Tipo de Gestión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Universidad Pública del Estado Peruano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Estado de Licenciamiento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Licenciada (Resolución del Consejo Directivo N° 035-2019-SUNEDU/CD)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Población Académica FIEI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~2,200 estudiantes de pregrado matriculados en sus cuatro escuelas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Régimen de Evaluación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Semestral (16 semanas por ciclo académico) con escala vigesimal ($0\text{ a }20$)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2.2. Historia, misión, visión y valores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2.2.1. Reseña Histórica Oficial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 Universidad Nacional Federico Villarreal fue creada mediante la </w:t>
      </w:r>
      <w:r>
        <w:rPr>
          <w:rFonts w:ascii="Times New Roman" w:hAnsi="Times New Roman"/>
          <w:b/>
          <w:i w:val="0"/>
          <w:color w:val="000000"/>
          <w:sz w:val="24"/>
        </w:rPr>
        <w:t>Ley N° 14692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promulgada el </w:t>
      </w:r>
      <w:r>
        <w:rPr>
          <w:rFonts w:ascii="Times New Roman" w:hAnsi="Times New Roman"/>
          <w:b/>
          <w:i w:val="0"/>
          <w:color w:val="000000"/>
          <w:sz w:val="24"/>
        </w:rPr>
        <w:t>30 de octubre de 1963</w:t>
      </w:r>
      <w:r>
        <w:rPr>
          <w:rFonts w:ascii="Times New Roman" w:hAnsi="Times New Roman"/>
          <w:b w:val="0"/>
          <w:i w:val="0"/>
          <w:color w:val="000000"/>
          <w:sz w:val="24"/>
        </w:rPr>
        <w:t>, a partir de la filial en Lima de la Universidad Comunal del Centro del Perú. Nombrada en honor al insigne matemático, físico e ingeniero peruano Federico Villarreal, la institución ha cumplido más de seis décadas formando profesionales e investigadores. La FIEI fue constituida como unidad académica autónoma para liderar la investigación y la transferencia tecnológica en tecnologías de la información, electrónica y computación.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2.2.2. Misión Institucional (Estatuto y PEI UNFV Vigente)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"Formar profesionales e investigadores competitivos, con sólidos valores éticos, humanísticos, científicos y tecnológicos, comprometidos con el desarrollo sostenible del país."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2.2.3. Visión Institucional (Estatuto y PEI UNFV Vigente)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"Ser una universidad pública licenciada y acreditada internacionalmente, líder en la formación integral de excelencia e investigación innovadora de alto impacto social."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2.2.4. Valores Institucionales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Ética e Integridad: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Actuación basada en la honestidad académica y veracidad científica.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Rigor Científico y Excelencia: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Compromiso con la exactitud metodológica y la calidad técnica.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Responsabilidad Social: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Búsqueda permanente de la equidad y apoyo a los sectores estudiantiles vulnerables.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Transparencia: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Gestión sustentada en datos abiertos y rendición de cuentas orientada a resultados.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2.2.5. Alineamiento Estratégico del Proyecto con la Misión y Visión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3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Elemento Estratégico UNFV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Compromiso Institucional Declarado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Cómo lo Cumple y Apoya este Proyecto de BI + IA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Misión: "Formar profesionales competitivos..."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Asegurar que los estudiantes culminen con éxito sus planes curriculares.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El sistema previene el rezago curricular y el abandono en cursos troncales, asegurando la continuidad del proceso formativo.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Visión: "Formación de excelencia e investigación..."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Acreditación y cumplimiento continuo de estándares de permanencia.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Entrega indicadores objetivos de retención para sustentar auditorías de calidad educativa y acreditación de las escuelas de la FIEI.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Valores: "Responsabilidad Social y Equidad..."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Evitar que factores económicos y laborales trunquen la vocación universitaria.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Articula el perfil laboral del estudiante con recomendaciones tutoriales y focalización de becas de Bienestar Universitario.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2.3. Organización y organigrama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estructura jerárquica de la UNFV y la articulación de las dependencias que participan en la gestión del rendimiento estudiantil se formaliza a continuación:</w:t>
      </w:r>
    </w:p>
    <w:p>
      <w:pPr>
        <w:spacing w:line="240" w:lineRule="auto" w:before="80" w:after="120"/>
        <w:ind w:left="576" w:right="576"/>
      </w:pPr>
      <w:r>
        <w:rPr>
          <w:rFonts w:ascii="Times New Roman" w:hAnsi="Times New Roman"/>
          <w:b/>
          <w:color w:val="0E7490"/>
          <w:sz w:val="20"/>
        </w:rPr>
        <w:t>[Diagrama / Especificación de Proceso BPMN 2.0]</w:t>
        <w:br/>
      </w:r>
      <w:r>
        <w:rPr>
          <w:rFonts w:ascii="Consolas" w:hAnsi="Consolas"/>
          <w:color w:val="475569"/>
          <w:sz w:val="17"/>
        </w:rPr>
        <w:t>graph TD</w:t>
        <w:br/>
        <w:t xml:space="preserve">    Rectorado["Rectorado de la UNFV"]</w:t>
        <w:br/>
        <w:t xml:space="preserve">    VRAC["Vicerrectorado Académico (VRAC)"]</w:t>
        <w:br/>
        <w:t xml:space="preserve">    Decanato["Decanato de la FIEI"]</w:t>
        <w:br/>
        <w:t xml:space="preserve">    DirEscuelas["Direcciones de Escuela Profesional&lt;br&gt;(Informática / Electrónica / Mecatrónica / Telecomunicaciones)"]</w:t>
        <w:br/>
        <w:t xml:space="preserve">    ComTutor["Comité de Tutoría y Consejería Universitaria (FIEI)"]</w:t>
        <w:br/>
        <w:t xml:space="preserve">    Bienestar["Oficina de Bienestar Universitario"]</w:t>
        <w:br/>
        <w:t xml:space="preserve">    Docentes["Docentes Tutores y Docentes de Asignatura"]</w:t>
        <w:br/>
        <w:t xml:space="preserve">    Estudiantes["Población Estudiantil FIEI"]</w:t>
        <w:br/>
        <w:br/>
        <w:t xml:space="preserve">    Rectorado --&gt; VRAC</w:t>
        <w:br/>
        <w:t xml:space="preserve">    VRAC --&gt; Decanato</w:t>
        <w:br/>
        <w:t xml:space="preserve">    VRAC --&gt; Bienestar</w:t>
        <w:br/>
        <w:t xml:space="preserve">    Decanato --&gt; DirEscuelas</w:t>
        <w:br/>
        <w:t xml:space="preserve">    Decanato --&gt; ComTutor</w:t>
        <w:br/>
        <w:t>... [Diagrama completo documentado: 19 líneas]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2.4. Área involucrada y matriz de responsabilidades (RACI)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 proceso de seguimiento y retención involucra a dependencias de carácter académico, tutorial y asistencial bajo el mandato de los artículos 126 y 128 de la </w:t>
      </w:r>
      <w:r>
        <w:rPr>
          <w:rFonts w:ascii="Times New Roman" w:hAnsi="Times New Roman"/>
          <w:b/>
          <w:i w:val="0"/>
          <w:color w:val="000000"/>
          <w:sz w:val="24"/>
        </w:rPr>
        <w:t>Ley Universitaria N° 30220</w:t>
      </w:r>
      <w:r>
        <w:rPr>
          <w:rFonts w:ascii="Times New Roman" w:hAnsi="Times New Roman"/>
          <w:b w:val="0"/>
          <w:i w:val="0"/>
          <w:color w:val="000000"/>
          <w:sz w:val="24"/>
        </w:rPr>
        <w:t>, que establecen la obligatoriedad de la tutoría universitaria y los servicios de bienestar: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4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Actividad / Proceso Analítico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Director de Escuela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Comité de Tutoría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Docente Tutor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Bienestar Univ.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Plataforma BI+IA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Consolidación de datos de matrícula y notas (ETL)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 / A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Emisión y monitoreo del semáforo de riesgo predictivo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Asignación de estudiantes críticos a tutores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Soporte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Ejecución de sesiones tutoriales y nivelación académica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Soporte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Asignación de becas y asistencias socioeconómicas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Soporte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Evaluación global de KPIs y simulación What-If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Soporte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Leyenda RACI: </w:t>
      </w:r>
      <w:r>
        <w:rPr>
          <w:rFonts w:ascii="Times New Roman" w:hAnsi="Times New Roman"/>
          <w:b w:val="0"/>
          <w:i/>
          <w:color w:val="000000"/>
          <w:sz w:val="24"/>
        </w:rPr>
        <w:t>R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 = Responsable de ejecución, </w:t>
      </w:r>
      <w:r>
        <w:rPr>
          <w:rFonts w:ascii="Times New Roman" w:hAnsi="Times New Roman"/>
          <w:b w:val="0"/>
          <w:i/>
          <w:color w:val="000000"/>
          <w:sz w:val="24"/>
        </w:rPr>
        <w:t>A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 = Aprobador final / Dueño, </w:t>
      </w:r>
      <w:r>
        <w:rPr>
          <w:rFonts w:ascii="Times New Roman" w:hAnsi="Times New Roman"/>
          <w:b w:val="0"/>
          <w:i/>
          <w:color w:val="000000"/>
          <w:sz w:val="24"/>
        </w:rPr>
        <w:t>C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 = Consultado, </w:t>
      </w:r>
      <w:r>
        <w:rPr>
          <w:rFonts w:ascii="Times New Roman" w:hAnsi="Times New Roman"/>
          <w:b w:val="0"/>
          <w:i/>
          <w:color w:val="000000"/>
          <w:sz w:val="24"/>
        </w:rPr>
        <w:t>I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 = Informado.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2.5. Descripción del proceso actual (AS-IS)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En el régimen operativo actual, el seguimiento académico del estudiante en la FIEI-UNFV se realiza de forma </w:t>
      </w:r>
      <w:r>
        <w:rPr>
          <w:rFonts w:ascii="Times New Roman" w:hAnsi="Times New Roman"/>
          <w:b/>
          <w:i w:val="0"/>
          <w:color w:val="000000"/>
          <w:sz w:val="24"/>
        </w:rPr>
        <w:t>desarticulada, manual y reactiva</w:t>
      </w:r>
      <w:r>
        <w:rPr>
          <w:rFonts w:ascii="Times New Roman" w:hAnsi="Times New Roman"/>
          <w:b w:val="0"/>
          <w:i w:val="0"/>
          <w:color w:val="000000"/>
          <w:sz w:val="24"/>
        </w:rPr>
        <w:t>. El ciclo académico comprende 16 semanas lectivas, estructurándose de la siguiente forma: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5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N°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Actividad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 Principal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Insumo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Salida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Semana / Momento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Problema / Cuello de Botella Detectado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Matrícula regular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Estudiante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Ficha de matrícula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Padrón de inscritos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 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Solo registra asignaturas matriculadas; no captura situación laboral ni horas de trabajo del alumno.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Desarrollo de clases y prácticas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Docente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Registro auxiliar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Calificaciones en Excel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Semanas 1 a 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Las notas de prácticas se quedan en computadoras personales de los profesores; no suben al sistema central.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Exámenes parciales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Docente / Alumno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Examen físico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Actas preliminares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 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Primer punto formal de evaluación; el alumno ya acumula 2 meses de rezago sin que nadie lo advierta.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Carga oficial de notas parciales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Docente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Intranet docente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Acta consolidada en BD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Semanas 9 a 10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Latencia informacional severa: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Frecuentes demoras de los docentes en digitar notas a la intranet.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Identificación de casos críticos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Comité Tutoría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Reporte manual intranet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Lista en papel/hoja Excel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Semanas 10 a 11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El comité revisa manualmente promedios $&lt; 10.5$; labor lenta y sin criterios de priorización predictiva.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Citación a tutoría correctiva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Docente Tutor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Lista de citados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Sesión de asesoría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Semanas 11 a 12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Acción tardía: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El alumno es citado cuando ya desaprobó con notas irrecuperables ($05$ a $08$).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Examen final y cierre de actas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Docente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Sistema de actas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Condición final aprobada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Semanas 16 a 17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 constata el fracaso académico; el estudiante repite o cae en causal de matrícula condicionada (Ley 30220).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2.6. Diagrama AS-IS (Proceso Actual)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2.6.1. Diagrama de Flujo Visual (Flujo con Carriles y Puntos de Dolor)</w:t>
      </w:r>
    </w:p>
    <w:p>
      <w:pPr>
        <w:spacing w:line="240" w:lineRule="auto" w:before="80" w:after="120"/>
        <w:ind w:left="576" w:right="576"/>
      </w:pPr>
      <w:r>
        <w:rPr>
          <w:rFonts w:ascii="Times New Roman" w:hAnsi="Times New Roman"/>
          <w:b/>
          <w:color w:val="0E7490"/>
          <w:sz w:val="20"/>
        </w:rPr>
        <w:t>[Diagrama / Especificación de Proceso BPMN 2.0]</w:t>
        <w:br/>
      </w:r>
      <w:r>
        <w:rPr>
          <w:rFonts w:ascii="Consolas" w:hAnsi="Consolas"/>
          <w:color w:val="475569"/>
          <w:sz w:val="17"/>
        </w:rPr>
        <w:t>flowchart TD</w:t>
        <w:br/>
        <w:t xml:space="preserve">    subgraph ESTUDIANTE["Carril 1: Estudiante"]</w:t>
        <w:br/>
        <w:t xml:space="preserve">        E_Inicio([Inicio de Semestre]) --&gt; E_Matr[1. Realiza matrícula en asignaturas]</w:t>
        <w:br/>
        <w:t xml:space="preserve">        E_Matr --&gt; E_Clases[2. Asiste a clases y rinde prácticas]</w:t>
        <w:br/>
        <w:t xml:space="preserve">        E_Clases --&gt; E_Parcial[3. Rinde Examen Parcial - Sem. 8]</w:t>
        <w:br/>
        <w:t xml:space="preserve">        E_Parcial --&gt; E_Espera[4. Continúa cursando asignaturas]</w:t>
        <w:br/>
        <w:t xml:space="preserve">        E_Espera --&gt; E_Tarde[6. Citado tardíamente a tutoría - Sem. 11/12]</w:t>
        <w:br/>
        <w:t xml:space="preserve">        E_Tarde --&gt; E_Final[7. Rinde Examen Final - Sem. 16]</w:t>
        <w:br/>
        <w:t xml:space="preserve">        E_Final --&gt; E_Fin([Fin de Semestre: Rezago o Deserción])</w:t>
        <w:br/>
        <w:t xml:space="preserve">    end</w:t>
        <w:br/>
        <w:br/>
        <w:t xml:space="preserve">    subgraph DOCENTE["Carril 2: Docente de Asignatura"]</w:t>
        <w:br/>
        <w:t xml:space="preserve">        D_RegAux[2.1 Registra notas parciales en Excel local] -.-&gt; D_Dolor1["⚠️ DOLOR 1: Silos de notas desconectadas"]</w:t>
        <w:br/>
        <w:t xml:space="preserve">        D_Parcial[3.1 Califica examen parcial] --&gt; D_Carga[4.1 Sube notas a Intranet - Sem. 9/10]</w:t>
        <w:br/>
        <w:t xml:space="preserve">        D_Carga -.-&gt; D_Dolor2["⚠️ DOLOR 2: Latencia de 9 semanas para publicar datos"]</w:t>
        <w:br/>
        <w:t>... [Diagrama completo documentado: 33 líneas]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2.6.2. Guía Técnica Paso a Paso para Modelado en Bizagi Modeler (AS-IS)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Para construir el diagrama oficial BPMN 2.0 en Bizagi Modeler y exportarlo al informe final: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Crear Pool Principal: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Nombrar el proceso como </w:t>
      </w:r>
      <w:r>
        <w:rPr>
          <w:rFonts w:ascii="Consolas" w:hAnsi="Consolas"/>
          <w:color w:val="1E293B"/>
          <w:sz w:val="21"/>
        </w:rPr>
        <w:t>"Proceso AS-IS: Seguimiento Académico Tradicional en FIEI-UNFV"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Crear 3 Lanes (Carriles de Nado):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Estudiante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Docente de Asignatura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3: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Comité de Tutoría y Consejería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Insertar Elementos BPMN en cada Lane: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En Lane Estudiante: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Evento de Inicio (Círculo verde fino): </w:t>
      </w:r>
      <w:r>
        <w:rPr>
          <w:rFonts w:ascii="Consolas" w:hAnsi="Consolas"/>
          <w:color w:val="1E293B"/>
          <w:sz w:val="21"/>
        </w:rPr>
        <w:t>"Inicio del Semestre Académico"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"Realizar Matrícula Regular"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"Asistir a Clases y Rendir Evaluaciones"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"Rendir Examen Parcial (Semana 8)"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"Rendir Examen Final (Semana 16)"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Evento de Fin (Círculo rojo grueso): </w:t>
      </w:r>
      <w:r>
        <w:rPr>
          <w:rFonts w:ascii="Consolas" w:hAnsi="Consolas"/>
          <w:color w:val="1E293B"/>
          <w:sz w:val="21"/>
        </w:rPr>
        <w:t>"Deserción o Repitencia Consumada"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En Lane Docente de Asignatura: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Manual (✍️): </w:t>
      </w:r>
      <w:r>
        <w:rPr>
          <w:rFonts w:ascii="Consolas" w:hAnsi="Consolas"/>
          <w:color w:val="1E293B"/>
          <w:sz w:val="21"/>
        </w:rPr>
        <w:t>"Calificar Prácticas en Registro Auxiliar Excel"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Objeto de Datos (Documento con esquina doblada): </w:t>
      </w:r>
      <w:r>
        <w:rPr>
          <w:rFonts w:ascii="Consolas" w:hAnsi="Consolas"/>
          <w:color w:val="1E293B"/>
          <w:sz w:val="21"/>
        </w:rPr>
        <w:t>"Archivo Excel Aislado"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"Digitar Calificaciones en Intranet (Semanas 9-10)"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En Lane Comité de Tutoría: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"Revisar Manualmente Actas en Intranet"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Compuerta Exclusiva ($\times$): </w:t>
      </w:r>
      <w:r>
        <w:rPr>
          <w:rFonts w:ascii="Consolas" w:hAnsi="Consolas"/>
          <w:color w:val="1E293B"/>
          <w:sz w:val="21"/>
        </w:rPr>
        <w:t>"¿Promedio &lt; 10.5?"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Rama No: Flujo de secuencia hacia fin normal del semestre.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Rama Sí: Tarea de Usuario </w:t>
      </w:r>
      <w:r>
        <w:rPr>
          <w:rFonts w:ascii="Consolas" w:hAnsi="Consolas"/>
          <w:color w:val="1E293B"/>
          <w:sz w:val="21"/>
        </w:rPr>
        <w:t>"Citar a Estudiante a Tutoría Correctiva (Semana 11-12)"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3"/>
        </w:rPr>
        <w:t>Insertar Anotaciones de Texto (Puntos de Dolor en Bizagi):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1 (vinculada a Registro Excel):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"[DOLOR 1] Información aislada sin integración central"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2 (vinculada a Digitar Notas):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"[DOLOR 2] Latencia de 9 semanas en consolidación de datos"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3 (vinculada a Revisar Actas):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"[DOLOR 3] Detección tardía (post-mortem)"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4 (vinculada a Citar Estudiante):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"[DOLOR 4] Intervención sin diagnóstico de causas de fondo"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2.7. Propuesta TO-BE (Proceso Futuro Optimizado)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2.7.1. Diagrama de Flujo Visual (Flujo BPMN con Carriles y Mejoras Estratégicas)</w:t>
      </w:r>
    </w:p>
    <w:p>
      <w:pPr>
        <w:spacing w:line="240" w:lineRule="auto" w:before="80" w:after="120"/>
        <w:ind w:left="576" w:right="576"/>
      </w:pPr>
      <w:r>
        <w:rPr>
          <w:rFonts w:ascii="Times New Roman" w:hAnsi="Times New Roman"/>
          <w:b/>
          <w:color w:val="0E7490"/>
          <w:sz w:val="20"/>
        </w:rPr>
        <w:t>[Diagrama / Especificación de Proceso BPMN 2.0]</w:t>
        <w:br/>
      </w:r>
      <w:r>
        <w:rPr>
          <w:rFonts w:ascii="Consolas" w:hAnsi="Consolas"/>
          <w:color w:val="475569"/>
          <w:sz w:val="17"/>
        </w:rPr>
        <w:t>flowchart TD</w:t>
        <w:br/>
        <w:t xml:space="preserve">    subgraph LANE_EST["Carril 1: Estudiante"]</w:t>
        <w:br/>
        <w:t xml:space="preserve">        E2_Ini([Inicio de Semestre - Sem. 0]) --&gt; E2_Matr[1. Matrícula y Ficha de Contexto Digital]</w:t>
        <w:br/>
        <w:t xml:space="preserve">        E2_Matr --&gt; E2_Clases[2. Asiste a clases regulares]</w:t>
        <w:br/>
        <w:t xml:space="preserve">        E2_Clases --&gt; E2_Plan[4. Participa en Plan de Tutoría / Nivelación Asignado]</w:t>
        <w:br/>
        <w:t xml:space="preserve">        E2_Plan --&gt; E2_Exito([Fin de Semestre: Retención y Aprobación Exitosa])</w:t>
        <w:br/>
        <w:t xml:space="preserve">    end</w:t>
        <w:br/>
        <w:br/>
        <w:t xml:space="preserve">    subgraph LANE_DOC["Carril 2: Docente de Asignatura"]</w:t>
        <w:br/>
        <w:t xml:space="preserve">        D2_Notas[2.1 Registra notas continuas en sistema institucional]</w:t>
        <w:br/>
        <w:t xml:space="preserve">    end</w:t>
        <w:br/>
        <w:br/>
        <w:t xml:space="preserve">    subgraph LANE_SIST["Carril 3: Plataforma Automatizada BI + IA (SSIS / Python / SSAS)"]</w:t>
        <w:br/>
        <w:t xml:space="preserve">        S2_ETL[3.1 Ejecuta Pipeline ETL en SSIS] --&gt; S2_M1[3.2 Predicción Temprana M1 al Ingreso - Sem. 2]</w:t>
        <w:br/>
        <w:t xml:space="preserve">        S2_M1 -.-&gt; S2_Gain1["✅ MEJORA 1: Alerta en Sem. 2 (7 semanas antes)"]</w:t>
        <w:br/>
        <w:t>... [Diagrama completo documentado: 41 líneas]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2.7.2. Guía Técnica Paso a Paso para Modelado en Bizagi Modeler (TO-BE)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Crear Pool Principal: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"Proceso TO-BE: Sistema Inteligente de Evaluación Adaptativa y Personalización Académica"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Crear 4 Lanes en Bizagi: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Estudiante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Docente de Asignatura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3: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Plataforma Automatizada BI + IA (SSIS / SQL Server / Python / Power BI)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Lane 4: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Comité de Tutoría y Bienestar Universitario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Insertar Elementos BPMN en cada Lane: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Lane Estudiante: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Evento de Inicio: </w:t>
      </w:r>
      <w:r>
        <w:rPr>
          <w:rFonts w:ascii="Consolas" w:hAnsi="Consolas"/>
          <w:color w:val="1E293B"/>
          <w:sz w:val="21"/>
        </w:rPr>
        <w:t>"Inicio de Ciclo Académico (Semana 0)"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"Completar Matrícula y Ficha de Contexto Digital"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"Cursar Asignaturas con Soporte Continuo"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"Participar en Plan de Nivelación / Tutoría Asignada"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Evento de Fin: </w:t>
      </w:r>
      <w:r>
        <w:rPr>
          <w:rFonts w:ascii="Consolas" w:hAnsi="Consolas"/>
          <w:color w:val="1E293B"/>
          <w:sz w:val="21"/>
        </w:rPr>
        <w:t>"Retención Exitosa y Continuidad Curricular"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Lane Docente de Asignatura: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"Registrar Calificaciones Continuas en Sistema Centralizado"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Lane Plataforma Automatizada BI + IA: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Servicio (⚙️): </w:t>
      </w:r>
      <w:r>
        <w:rPr>
          <w:rFonts w:ascii="Consolas" w:hAnsi="Consolas"/>
          <w:color w:val="1E293B"/>
          <w:sz w:val="21"/>
        </w:rPr>
        <w:t>"Ejecutar Pipeline ETL Automatizado (Visual Studio SSIS)"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Servicio (⚙️): </w:t>
      </w:r>
      <w:r>
        <w:rPr>
          <w:rFonts w:ascii="Consolas" w:hAnsi="Consolas"/>
          <w:color w:val="1E293B"/>
          <w:sz w:val="21"/>
        </w:rPr>
        <w:t>"Calcular Probabilidad de Abandono (Momento 1: Ingreso - Python ML)"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Servicio (⚙️): </w:t>
      </w:r>
      <w:r>
        <w:rPr>
          <w:rFonts w:ascii="Consolas" w:hAnsi="Consolas"/>
          <w:color w:val="1E293B"/>
          <w:sz w:val="21"/>
        </w:rPr>
        <w:t>"Segmentar Estudiantes en Perfiles Socioacadémicos (K-Means)"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Servicio (⚙️): </w:t>
      </w:r>
      <w:r>
        <w:rPr>
          <w:rFonts w:ascii="Consolas" w:hAnsi="Consolas"/>
          <w:color w:val="1E293B"/>
          <w:sz w:val="21"/>
        </w:rPr>
        <w:t>"Re-evaluar Riesgo Adaptativamente (Momento 2: Cierre S1 - Python ML)"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Servicio (⚙️): </w:t>
      </w:r>
      <w:r>
        <w:rPr>
          <w:rFonts w:ascii="Consolas" w:hAnsi="Consolas"/>
          <w:color w:val="1E293B"/>
          <w:sz w:val="21"/>
        </w:rPr>
        <w:t>"Poblar dw.FactPrediccion y Actualizar Cubo SSAS"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Envío / Servicio (⚙️): </w:t>
      </w:r>
      <w:r>
        <w:rPr>
          <w:rFonts w:ascii="Consolas" w:hAnsi="Consolas"/>
          <w:color w:val="1E293B"/>
          <w:sz w:val="21"/>
        </w:rPr>
        <w:t>"Publicar Dashboard Power BI y Emitir Alertas Tempranas"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Lane Comité de Tutoría y Bienestar Universitario: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"Monitorear Semáforo Predictivo y Simular Escenarios What-If en Power BI"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Compuerta Exclusiva ($\times$): </w:t>
      </w:r>
      <w:r>
        <w:rPr>
          <w:rFonts w:ascii="Consolas" w:hAnsi="Consolas"/>
          <w:color w:val="1E293B"/>
          <w:sz w:val="21"/>
        </w:rPr>
        <w:t>"¿Riesgo Crítico (P &gt;= 60%)?"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Regla de Negocio (📋): </w:t>
      </w:r>
      <w:r>
        <w:rPr>
          <w:rFonts w:ascii="Consolas" w:hAnsi="Consolas"/>
          <w:color w:val="1E293B"/>
          <w:sz w:val="21"/>
        </w:rPr>
        <w:t>"Prescribir Intervención Personalizada según Matriz de Recomendación"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Tarea de Usuario (👤): </w:t>
      </w:r>
      <w:r>
        <w:rPr>
          <w:rFonts w:ascii="Consolas" w:hAnsi="Consolas"/>
          <w:color w:val="1E293B"/>
          <w:sz w:val="21"/>
        </w:rPr>
        <w:t>"Asignar y Ejecutar Tutoría / Ayuda Socioeconómica con el Estudiante"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3"/>
        </w:rPr>
        <w:t>Insertar Anotaciones de Mejora en Bizagi: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M1: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"[MEJORA 1] Detección temprana en semana 2 sin esperar al examen parcial"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M2: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"[MEJORA 2] Evaluación adaptativa por hitos cronológicos (M1 y M2)"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M3: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"[MEJORA 3] Intervención prescrita a la medida del perfil (Clustering)"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Anotación M4: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"[MEJORA 4] Simulador What-If para dimensionar la capacidad tutorial"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2.8. Matriz Comparativa Exhaustiva: Proceso AS-IS vs. Proceso TO-BE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6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Dimensión de Análisis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Situación Actual (AS-IS)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Situación Propuesta (TO-BE)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Componente Tecnológico Responsable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KPI Asociado de Impacto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Tiempo de Detección (Latencia)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Semana 9 a 11: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Tras digitar exámenes parciales. Detección reactiva ("post-mortem").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Semana 2 a 4 ($M_1$):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Diagnóstico preliminar al ingreso y re-evaluación adaptativa en $M_2$.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Pipelines SSIS + Modelo Predictivo en Python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Tiempo de respuesta $\le 4$ semanas; Recall $\ge 75\%$.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Integración de Fuentes de Datos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Hojas de cálculo Excel aisladas en PCs de docentes; intranet desarticulada.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DataMart Centralizado en SQL Server: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Ingesta de datos de trayectoria, catálogo y contexto ENAHO.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Pipeline ETL en Visual Studio SSIS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 de fuentes integradas; 0 duplicados en DataMart.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Criterio de Identificación del Riesgo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Promedio aritmético simple post examen ($&lt; 10.5$) sin análisis predictivo multivariable.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Modelo Multivariable de Machine Learning (Random Forest):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Cálculo de probabilidad continua de abandono.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Algoritmos Supervisados (</w:t>
            </w:r>
            <w:r>
              <w:rPr>
                <w:rFonts w:ascii="Consolas" w:hAnsi="Consolas"/>
                <w:color w:val="1E293B"/>
                <w:sz w:val="16"/>
              </w:rPr>
              <w:t>FactPrediccion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$F_1$-Macro $\ge 0.65$; ROC-AUC $\ge 0.85$.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Enfoque de la Evaluación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Estática y finalista; sin seguimiento temporal de la evolución del riesgo.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Evaluación Adaptativa Dinámica: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Re-evaluación del riesgo en dos hitos ($M_1$ Ingreso vs. $M_2$ Cierre S1).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dw.DimEtapa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en DataMart + Cubo SSAS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Variación del riesgo entre etapas ($\Delta P$).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Estrategia de Intervención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Genérica y uniforme para todos los reprobados (sanción o aviso estándar).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Personalización por Perfiles: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Prescripción diferenciada según clúster socioacadémico identificado.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Clustering K-Means + Matriz de Recomendación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Índice Silhouette $\ge 0.35$; Cobertura de tutoría.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Herramienta de Consumo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Actas impresas en papel y listados planos en Excel no interactivos.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Dashboard Inteligente en Power BI Desktop: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Semáforo predictivo interactivo y simulador What-If.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Power BI Desktop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 de actores consultando información en tiempo real.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Planificación Institucional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Empírica; sin capacidad de proyectar el impacto de las políticas de tutoría.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Simulación Interactiva What-If: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Análisis de escenarios modificando umbral, cobertura y efectividad.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Parámetros What-If en Power BI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Estudiantes Proyectados Retenidos (KPI-10).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5"/>
        </w:rPr>
        <w:t>CAPÍTULO II: MARCO TEÓRICO Y FUNDAMENTACIÓN CIENTÍFICA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 presente capítulo establece los fundamentos teóricos, metodológicos y tecnológicos que sustentan el diseño e implementación del </w:t>
      </w:r>
      <w:r>
        <w:rPr>
          <w:rFonts w:ascii="Times New Roman" w:hAnsi="Times New Roman"/>
          <w:b w:val="0"/>
          <w:i/>
          <w:color w:val="000000"/>
          <w:sz w:val="24"/>
        </w:rPr>
        <w:t>Sistema Inteligente de Evaluación Adaptativa y Personalización del Aprendizaje Universitario</w:t>
      </w:r>
      <w:r>
        <w:rPr>
          <w:rFonts w:ascii="Times New Roman" w:hAnsi="Times New Roman"/>
          <w:b w:val="0"/>
          <w:i w:val="0"/>
          <w:color w:val="000000"/>
          <w:sz w:val="24"/>
        </w:rPr>
        <w:t>. Conforme a las exigencias académicas de la cátedra, cada sección se estructura en dos componentes complementarios: (1) fundamentación conceptual respaldada por literatura científica indexada y obras clásicas de la disciplina, y (2) justificación y aplicación directa en los artefactos del sistema.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2.0. Antecedentes de la Investigación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predicción del rendimiento y la retención estudiantil mediante Inteligencia de Negocios y Aprendizaje Automático constituye un campo consolidado en la literatura internacional y nacional. A continuación, se sintetizan las investigaciones científicas directamente vinculadas a la problemática y arquitectura del proyecto: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7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N°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Autores y Año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Contexto y Muestra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Metodología / Técnicas de IA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Métricas Clave Obtenidas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Aporte Concreto Adoptado en este Proyecto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Realinho et al. (2022)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Instituto Politécnico de Portalegre (4,424 estudiantes, 37 atributos).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Random Forest, Gradient Boosting, CatBoost, SMOTE.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Accuracy: 77.1% (3 clases) y 87.2% (binario); F1-macro: 0.64–0.77.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Paper fundacional del dataset de referencia: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Provee la selección de variables de admisión y trayectoria, y la formulación multiclase (</w:t>
            </w:r>
            <w:r>
              <w:rPr>
                <w:rFonts w:ascii="Consolas" w:hAnsi="Consolas"/>
                <w:color w:val="1E293B"/>
                <w:sz w:val="16"/>
              </w:rPr>
              <w:t>Dropout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6"/>
              </w:rPr>
              <w:t>Enrolled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6"/>
              </w:rPr>
              <w:t>Graduate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Aparicio-Montenegro et al. (2026)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UNFV (Universidad Nacional Federico Villarreal, Perú)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, muestra institucional de pregrado.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Random Forest, Regresión Logística, Árboles C4.5, Naive Bayes.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RF Accuracy: 86.2%; Recall: 83.5%; F1-score: 0.84.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Evidencia empírica directa de la UNFV: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Valida la superioridad de Random Forest en la población estudiantil villarrealina y justifica la prioridad del Recall en alertas tempranas.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Aco Tito et al. (2023)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Universidad Nacional de San Agustín (UNSA, Perú).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Random Forest, Regresión Logística, SVM, Árboles CART.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RF Accuracy: 84.7%, F1: 0.83; LR Accuracy: 78.2%, F1: 0.76.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Antecedente nacional universitario: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Fundamenta la comparación técnica formal entre Regresión Logística (baseline) y Random Forest exigida en la rúbrica.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Almalawi et al. (2026)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Educación Superior Internacional (evaluación formativa adaptativa).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Modelos lineales generalizados, clustering adaptativo, árboles multivariados.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F1-Score: 0.79; Precisión adaptativa: 82.4%.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Pilar de Evaluación Adaptativa: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Fundamenta la Decisión D2: re-evaluación dinámica del riesgo por etapas temporales ($M_1$ Ingreso vs. $M_2$ Cierre del Primer Semestre).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Hidayat et al. (2026)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Análisis longitudinal de cohortes universitarias.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Random Forest, XGBoost, CatBoost, Regresión Logística, SMOTE-ENN.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RF ROC-AUC: 0.884; Recall Dropout: 84.1%; F1: 0.812.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Pilar Analítica Prescriptiva y What-If: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Sustenta el simulador interactivo de escenarios What-If en Power BI variando umbrales de riesgo y efectividad de tutoría.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Ali (2026)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Prince Sattam bin Abdulaziz University (PSAU).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Ensemble Stacking (RF + Gradient Boosting), SHAP values, XAI.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Accuracy: 88.6%; Recall: 86.4%; F1: 87.1%; AUC: 0.912.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Pilar de IA Explicable y Soporte Decisional: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Valida la articulación de modelos de Machine Learning con cuadros de mando ejecutivos para directores y comités tutoriales.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Navarro Peñaranda et al. (2025)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Facultad de Ingeniería de universidad pública (Colombia).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Regresión Logística binaria y árboles CART.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Accuracy: 79.3%; Odds Ratio (OR) en ciencias básicas = 3.42 (p &lt; 0.01).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Alineación con Facultades de Ingeniería: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Confirma que el rezago crítico en ingeniería se concentra en cursos troncales (Cálculo y Física), orientando la personalización.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08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Schmidt (2023)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Universidad estatal chilena (análisis longitudinal de cohortes).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Modelos de Supervivencia de Kaplan-Meier y Regresión de Cox.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73.8% de deserciones concentradas en los dos primeros semestres (HR = 2.87).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Justificación de Hitos Temporales: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Sustenta por qué el sistema concentra sus dos momentos de corte analítico ($M_1$ y $M_2$) en la transición del primer año académico.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2.1. Inteligencia de Negocios (Business Intelligence)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2.1.1.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Inteligencia de Negocios (BI) se define como el conjunto integral de arquitecturas, tecnologías, procesos y metodologías que permiten transformar datos transaccionales heterogéneos y dispersos en información estructurada, significativa y directamente aplicable a la toma de decisiones estratégicas, tácticas y operativas (Chaudhuri &amp; Dayal, 1997; Sharda et al., 2020). De acuerdo con Golfarelli y Rizzi (2009), el ciclo de vida de la Inteligencia de Negocios comprende cinco fases fundamentales: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Extracción e integración: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Captura de datos desde sistemas operacionales transaccionales (OLTP) y fuentes externas.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Limpieza y transformación (Staging):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Estandarización de formatos, tratamiento de datos nulos y normalización según reglas de calidad del negocio.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Modelado y almacenamiento: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Carga en almacenes de datos estructurados dimensionalmente (Data Warehouse / DataMart).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3"/>
        </w:rPr>
        <w:t>Análisis analítico multidimensional: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Procesamiento OLAP (</w:t>
      </w:r>
      <w:r>
        <w:rPr>
          <w:rFonts w:ascii="Times New Roman" w:hAnsi="Times New Roman"/>
          <w:b w:val="0"/>
          <w:i/>
          <w:color w:val="000000"/>
          <w:sz w:val="23"/>
        </w:rPr>
        <w:t>Online Analytical Processing</w:t>
      </w:r>
      <w:r>
        <w:rPr>
          <w:rFonts w:ascii="Times New Roman" w:hAnsi="Times New Roman"/>
          <w:b w:val="0"/>
          <w:i w:val="0"/>
          <w:color w:val="000000"/>
          <w:sz w:val="23"/>
        </w:rPr>
        <w:t>) que permite cálculos agregados instantáneos.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3"/>
        </w:rPr>
        <w:t>Visualización y consumo: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Publicación en paneles ejecutivos interactivos (</w:t>
      </w:r>
      <w:r>
        <w:rPr>
          <w:rFonts w:ascii="Times New Roman" w:hAnsi="Times New Roman"/>
          <w:b w:val="0"/>
          <w:i/>
          <w:color w:val="000000"/>
          <w:sz w:val="23"/>
        </w:rPr>
        <w:t>Dashboards</w:t>
      </w:r>
      <w:r>
        <w:rPr>
          <w:rFonts w:ascii="Times New Roman" w:hAnsi="Times New Roman"/>
          <w:b w:val="0"/>
          <w:i w:val="0"/>
          <w:color w:val="000000"/>
          <w:sz w:val="23"/>
        </w:rPr>
        <w:t>) que soportan la monitorización de indicadores clave de rendimiento (KPIs) (Martín-Caro Álamo &amp; Segovia-García, 2025).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2.1.2. Aplicación Concreta en el Proyecto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 la gestión académica tradicional de la FIEI-UNFV, la información se encuentra fragmentada en registros personales de docentes y reportes planos de intranet. La implementación de la plataforma de BI unifica estas fuentes en una arquitectura gobernada: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8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Componente de BI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Tecnología / Herramienta Seleccionada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Artefacto Concreto en el Proyecto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Capa Transaccional / Fuente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Archivos CSV planos y extractos relacionales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Datos de trayectoria académica (UCI Benchmark), contexto socioeconómico (ENAHO 2023) y catálogo institucional (TUNI SUNEDU).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Extracción y Transformación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Visual Studio SQL Server Integration Services (SSIS)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Proyecto </w:t>
            </w:r>
            <w:r>
              <w:rPr>
                <w:rFonts w:ascii="Consolas" w:hAnsi="Consolas"/>
                <w:color w:val="1E293B"/>
                <w:sz w:val="16"/>
              </w:rPr>
              <w:t>ETL_UNFV_Retencion.sln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con paquetes independientes para carga de Staging, Dimensiones y Hechos.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Almacenamiento Dimensional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Microsoft SQL Server (Motor Relacional)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Base de datos </w:t>
            </w:r>
            <w:r>
              <w:rPr>
                <w:rFonts w:ascii="Consolas" w:hAnsi="Consolas"/>
                <w:color w:val="1E293B"/>
                <w:sz w:val="16"/>
              </w:rPr>
              <w:t>DM_RetencionAcademica_FIEI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con esquemas segregados </w:t>
            </w:r>
            <w:r>
              <w:rPr>
                <w:rFonts w:ascii="Consolas" w:hAnsi="Consolas"/>
                <w:color w:val="1E293B"/>
                <w:sz w:val="16"/>
              </w:rPr>
              <w:t>stg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6"/>
              </w:rPr>
              <w:t>dw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y </w:t>
            </w:r>
            <w:r>
              <w:rPr>
                <w:rFonts w:ascii="Consolas" w:hAnsi="Consolas"/>
                <w:color w:val="1E293B"/>
                <w:sz w:val="16"/>
              </w:rPr>
              <w:t>audit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Capa Semántica y OLAP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Microsoft SQL Server Analysis Services (SSAS)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Cubo Multidimensional </w:t>
            </w:r>
            <w:r>
              <w:rPr>
                <w:rFonts w:ascii="Consolas" w:hAnsi="Consolas"/>
                <w:color w:val="1E293B"/>
                <w:sz w:val="16"/>
              </w:rPr>
              <w:t>Cubo_RiesgoAcademico.asdatabase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con medidas precalculadas en MDX y DAX.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Capa de Consumo y Visualización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Microsoft Power BI Desktop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Dashboard interactivo </w:t>
            </w:r>
            <w:r>
              <w:rPr>
                <w:rFonts w:ascii="Consolas" w:hAnsi="Consolas"/>
                <w:color w:val="1E293B"/>
                <w:sz w:val="16"/>
              </w:rPr>
              <w:t>Dashboard_Retencion_FIEI.pbix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estructurado en 4 páginas con navegación ejecutiva y simulador What-If.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2.2. Data Warehouse y DataMart (Metodología Kimball)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2.2.1. Fundamentación Teórica: Inmon vs. Kimball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 la ingeniería de almacenes de datos coexisten dos paradigmas arquitectónicos consolidados: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El enfoque corporativo Top-Down (Bill Inmon - Corporate Information Factory):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Plantea la construcción previa de un Data Warehouse corporativo unificado, altamente normalizado en Tercera Forma Normal (3FN), a partir del cual se desprenden posteriormente DataMarts temáticos dependientes. Si bien asegura máxima consistencia global, demanda tiempos excesivos de diseño e inversión institucional que dificultan entregas ágiles.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El enfoque dimensional Bottom-Up (Ralph Kimball - Dimensional Data Warehouse):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Plantea la construcción evolutiva e incremental de </w:t>
      </w:r>
      <w:r>
        <w:rPr>
          <w:rFonts w:ascii="Times New Roman" w:hAnsi="Times New Roman"/>
          <w:b/>
          <w:i w:val="0"/>
          <w:color w:val="000000"/>
          <w:sz w:val="23"/>
        </w:rPr>
        <w:t>DataMarts orientados a procesos de negocio específicos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, diseñados directamente bajo modelado dimensional (esquemas estrella o constelación), los cuales se integran horizontalmente mediante el uso riguroso de </w:t>
      </w:r>
      <w:r>
        <w:rPr>
          <w:rFonts w:ascii="Times New Roman" w:hAnsi="Times New Roman"/>
          <w:b/>
          <w:i w:val="0"/>
          <w:color w:val="000000"/>
          <w:sz w:val="23"/>
        </w:rPr>
        <w:t>Dimensiones Conformadas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w:r>
        <w:rPr>
          <w:rFonts w:ascii="Times New Roman" w:hAnsi="Times New Roman"/>
          <w:b w:val="0"/>
          <w:i/>
          <w:color w:val="000000"/>
          <w:sz w:val="23"/>
        </w:rPr>
        <w:t>Conformed Dimensions</w:t>
      </w:r>
      <w:r>
        <w:rPr>
          <w:rFonts w:ascii="Times New Roman" w:hAnsi="Times New Roman"/>
          <w:b w:val="0"/>
          <w:i w:val="0"/>
          <w:color w:val="000000"/>
          <w:sz w:val="23"/>
        </w:rPr>
        <w:t>) a través de una Matriz Bus de Negocio (Kimball &amp; Ross, 2013).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2.2.2. Decisión de Ingeniería y Aplicación en el Proyecto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Se adopta formalmente el enfoque Bottom-Up de Ralph Kimball.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Justificación Metodológica: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El alcance del proyecto está delimitado al proceso de negocio prioritario de la FIEI: </w:t>
      </w:r>
      <w:r>
        <w:rPr>
          <w:rFonts w:ascii="Times New Roman" w:hAnsi="Times New Roman"/>
          <w:b w:val="0"/>
          <w:i/>
          <w:color w:val="000000"/>
          <w:sz w:val="24"/>
        </w:rPr>
        <w:t>"Seguimiento Académico, Alerta Temprana y Retención Estudiantil"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. Implementar un Data Warehouse corporativo para toda la universidad requeriría integrar nóminas docentes, infraestructura física, compras y presupuesto estatal, lo cual desvirtuaría los objetivos del curso. El diseño de un </w:t>
      </w:r>
      <w:r>
        <w:rPr>
          <w:rFonts w:ascii="Times New Roman" w:hAnsi="Times New Roman"/>
          <w:b/>
          <w:i w:val="0"/>
          <w:color w:val="000000"/>
          <w:sz w:val="24"/>
        </w:rPr>
        <w:t>DataMart Departamental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en SQL Server asegura una arquitectura ágil, granular y optimizada para consultas analíticas de lectura masiva.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Para garantizar la integridad y auditoría del flujo de datos, se definen tres esquemas lógicos segregados dentro de la base de datos: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Consolas" w:hAnsi="Consolas"/>
          <w:color w:val="1E293B"/>
          <w:sz w:val="21"/>
        </w:rPr>
        <w:t>stg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w:r>
        <w:rPr>
          <w:rFonts w:ascii="Times New Roman" w:hAnsi="Times New Roman"/>
          <w:b/>
          <w:i w:val="0"/>
          <w:color w:val="000000"/>
          <w:sz w:val="23"/>
        </w:rPr>
        <w:t>Staging Area</w:t>
      </w:r>
      <w:r>
        <w:rPr>
          <w:rFonts w:ascii="Times New Roman" w:hAnsi="Times New Roman"/>
          <w:b w:val="0"/>
          <w:i w:val="0"/>
          <w:color w:val="000000"/>
          <w:sz w:val="23"/>
        </w:rPr>
        <w:t>): Área de aterrizaje volátil donde los datos en bruto se insertan sin restricciones de clave foránea para su perfilado y limpieza.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Consolas" w:hAnsi="Consolas"/>
          <w:color w:val="1E293B"/>
          <w:sz w:val="21"/>
        </w:rPr>
        <w:t>dw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w:r>
        <w:rPr>
          <w:rFonts w:ascii="Times New Roman" w:hAnsi="Times New Roman"/>
          <w:b/>
          <w:i w:val="0"/>
          <w:color w:val="000000"/>
          <w:sz w:val="23"/>
        </w:rPr>
        <w:t>DataMart Dimensional</w:t>
      </w:r>
      <w:r>
        <w:rPr>
          <w:rFonts w:ascii="Times New Roman" w:hAnsi="Times New Roman"/>
          <w:b w:val="0"/>
          <w:i w:val="0"/>
          <w:color w:val="000000"/>
          <w:sz w:val="23"/>
        </w:rPr>
        <w:t>): Área de producción analítica donde residen las tablas de dimensiones conformadas y las tablas de hechos con integridad referencial estricta.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Consolas" w:hAnsi="Consolas"/>
          <w:color w:val="1E293B"/>
          <w:sz w:val="21"/>
        </w:rPr>
        <w:t>audit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w:r>
        <w:rPr>
          <w:rFonts w:ascii="Times New Roman" w:hAnsi="Times New Roman"/>
          <w:b/>
          <w:i w:val="0"/>
          <w:color w:val="000000"/>
          <w:sz w:val="23"/>
        </w:rPr>
        <w:t>Auditoría y Trazabilidad</w:t>
      </w:r>
      <w:r>
        <w:rPr>
          <w:rFonts w:ascii="Times New Roman" w:hAnsi="Times New Roman"/>
          <w:b w:val="0"/>
          <w:i w:val="0"/>
          <w:color w:val="000000"/>
          <w:sz w:val="23"/>
        </w:rPr>
        <w:t>): Almacena bitácoras de ejecución de los paquetes SSIS, registrando timestamps, conteo de filas leídas, cargadas y rechazadas.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2.3. Modelos Dimensionales y Matriz Bus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2.3.1.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modelado dimensional estructura los datos en dos clases de tablas: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Tablas de Hechos (Fact Tables):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Representan eventos de negocio cuantitativos numéricos (medidas). Contienen claves foráneas hacia las dimensiones y métricas asociadas al evento.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Tablas de Dimensiones (Dimension Tables):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Representan el contexto del negocio (</w:t>
      </w:r>
      <w:r>
        <w:rPr>
          <w:rFonts w:ascii="Times New Roman" w:hAnsi="Times New Roman"/>
          <w:b w:val="0"/>
          <w:i/>
          <w:color w:val="000000"/>
          <w:sz w:val="23"/>
        </w:rPr>
        <w:t>quién, qué, cuándo, dónde y por qué</w:t>
      </w:r>
      <w:r>
        <w:rPr>
          <w:rFonts w:ascii="Times New Roman" w:hAnsi="Times New Roman"/>
          <w:b w:val="0"/>
          <w:i w:val="0"/>
          <w:color w:val="000000"/>
          <w:sz w:val="23"/>
        </w:rPr>
        <w:t>). Contienen atributos descriptivos textuales utilizados para filtrar, agrupar y rotar la información.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Los esquemas dimensionales estándar se clasifican en: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Esquema Estrella (Star Schema):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Estructura donde una tabla de hechos central se conecta directamente a tablas de dimensiones completamente desnormalizadas en un único nivel.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Esquema Copo de Nieve (Snowflake Schema):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Normaliza parcialmente las dimensiones en subtables jerárquicas, reduciendo redundancia a costa de degradar el rendimiento por excesivos </w:t>
      </w:r>
      <w:r>
        <w:rPr>
          <w:rFonts w:ascii="Consolas" w:hAnsi="Consolas"/>
          <w:color w:val="1E293B"/>
          <w:sz w:val="21"/>
        </w:rPr>
        <w:t>JOIN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Esquema Constelación de Hechos (Fact Constellation Schema):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Arquitectura avanzada donde </w:t>
      </w:r>
      <w:r>
        <w:rPr>
          <w:rFonts w:ascii="Times New Roman" w:hAnsi="Times New Roman"/>
          <w:b/>
          <w:i w:val="0"/>
          <w:color w:val="000000"/>
          <w:sz w:val="23"/>
        </w:rPr>
        <w:t>múltiples tablas de hechos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coexisten e interactúan compartiendo dimensiones conformadas comunes.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2.3.2. Decisión de Ingeniería y Matriz Bus Preliminar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Se implementa una Constelación de Hechos (Fact Constellation).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Justificación: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El proceso analítico requiere modelar dos realidades con periodicidades y granos distintos: el progreso académico transaccional (notas y créditos) y las inferencias generadas por la Inteligencia Artificial (probabilidades y clústeres). Intentar consolidar ambos conceptos en una sola tabla de hechos violaría la regla fundamental del grano de Kimball.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continuación, se formaliza la </w:t>
      </w:r>
      <w:r>
        <w:rPr>
          <w:rFonts w:ascii="Times New Roman" w:hAnsi="Times New Roman"/>
          <w:b/>
          <w:i w:val="0"/>
          <w:color w:val="000000"/>
          <w:sz w:val="24"/>
        </w:rPr>
        <w:t>Matriz Bus Preliminar (Kimball Bus Matrix)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que articula las tablas de hechos con las dimensiones conformadas: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9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Proceso de Negocio / Tabla de Hechos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7"/>
              </w:rPr>
              <w:t>DimEstudiante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7"/>
              </w:rPr>
              <w:t>DimCurso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7"/>
              </w:rPr>
              <w:t>DimTiempo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7"/>
              </w:rPr>
              <w:t>DimEtapa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7"/>
              </w:rPr>
              <w:t>DimPerfilSocioec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7"/>
              </w:rPr>
              <w:t>DimInstitucion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1. Registro y Rendimiento Académico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6"/>
              </w:rPr>
              <w:t>dw.FactProgreso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2. Inferencia y Alerta Temprana por IA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6"/>
              </w:rPr>
              <w:t>dw.FactPrediccion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3. Contexto Nacional de Educación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6"/>
              </w:rPr>
              <w:t>dw.FactContextoNac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X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Nota: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color w:val="1E293B"/>
          <w:sz w:val="22"/>
        </w:rPr>
        <w:t>DimEstudiante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color w:val="1E293B"/>
          <w:sz w:val="22"/>
        </w:rPr>
        <w:t>DimTiempo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color w:val="1E293B"/>
          <w:sz w:val="22"/>
        </w:rPr>
        <w:t>DimEtapa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y </w:t>
      </w:r>
      <w:r>
        <w:rPr>
          <w:rFonts w:ascii="Consolas" w:hAnsi="Consolas"/>
          <w:color w:val="1E293B"/>
          <w:sz w:val="22"/>
        </w:rPr>
        <w:t>DimPerfilSocioec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son </w:t>
      </w:r>
      <w:r>
        <w:rPr>
          <w:rFonts w:ascii="Times New Roman" w:hAnsi="Times New Roman"/>
          <w:b/>
          <w:i w:val="0"/>
          <w:color w:val="000000"/>
          <w:sz w:val="24"/>
        </w:rPr>
        <w:t>dimensiones conformadas</w:t>
      </w:r>
      <w:r>
        <w:rPr>
          <w:rFonts w:ascii="Times New Roman" w:hAnsi="Times New Roman"/>
          <w:b w:val="0"/>
          <w:i w:val="0"/>
          <w:color w:val="000000"/>
          <w:sz w:val="24"/>
        </w:rPr>
        <w:t>, lo que permite realizar consultas cruzadas (</w:t>
      </w:r>
      <w:r>
        <w:rPr>
          <w:rFonts w:ascii="Times New Roman" w:hAnsi="Times New Roman"/>
          <w:b w:val="0"/>
          <w:i/>
          <w:color w:val="000000"/>
          <w:sz w:val="24"/>
        </w:rPr>
        <w:t>Drill-across</w:t>
      </w:r>
      <w:r>
        <w:rPr>
          <w:rFonts w:ascii="Times New Roman" w:hAnsi="Times New Roman"/>
          <w:b w:val="0"/>
          <w:i w:val="0"/>
          <w:color w:val="000000"/>
          <w:sz w:val="24"/>
        </w:rPr>
        <w:t>) entre el rendimiento real del alumno y las probabilidades estimadas por los modelos predictivos.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2.4. Datos, Información y Conocimiento (Pirámide DIKW)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2.4.1.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jerarquía DIKW (</w:t>
      </w:r>
      <w:r>
        <w:rPr>
          <w:rFonts w:ascii="Times New Roman" w:hAnsi="Times New Roman"/>
          <w:b w:val="0"/>
          <w:i/>
          <w:color w:val="000000"/>
          <w:sz w:val="24"/>
        </w:rPr>
        <w:t>Data, Information, Knowledge, Wisdom</w:t>
      </w:r>
      <w:r>
        <w:rPr>
          <w:rFonts w:ascii="Times New Roman" w:hAnsi="Times New Roman"/>
          <w:b w:val="0"/>
          <w:i w:val="0"/>
          <w:color w:val="000000"/>
          <w:sz w:val="24"/>
        </w:rPr>
        <w:t>) formalizada por Ackoff (1989) y refinada por Rowley (2007) establece que los datos crudos carecen de significado por sí mismos hasta que son estructurados contextualmente (información), interpretados mediante patrones analíticos (conocimiento) y utilizados éticamente para guiar acciones de intervención humana (sabiduría y decisión).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2.4.2. Aplicación Concreta en el Proyecto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 siguiente cuadro explicita la transformación del dato a lo largo de las capas tecnológicas del proyecto, utilizando exclusivamente </w:t>
      </w:r>
      <w:r>
        <w:rPr>
          <w:rFonts w:ascii="Times New Roman" w:hAnsi="Times New Roman"/>
          <w:b/>
          <w:i w:val="0"/>
          <w:color w:val="000000"/>
          <w:sz w:val="24"/>
        </w:rPr>
        <w:t>variables reales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del sistema: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10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Nivel DIKW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Definición Conceptual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Variable / Elemento Real en el Proyecto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Artefacto Tecnológico Responsable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DATO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Símbolos o registros crudos sin contexto interpretativo.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Valor numérico crudo </w:t>
            </w:r>
            <w:r>
              <w:rPr>
                <w:rFonts w:ascii="Consolas" w:hAnsi="Consolas"/>
                <w:color w:val="1E293B"/>
                <w:sz w:val="16"/>
              </w:rPr>
              <w:t>Curricular units 1st sem (approved) =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6"/>
              </w:rPr>
              <w:t>Curricular units 1st sem (grade) = 0.0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6"/>
              </w:rPr>
              <w:t>Debtor = 1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en el archivo </w:t>
            </w:r>
            <w:r>
              <w:rPr>
                <w:rFonts w:ascii="Consolas" w:hAnsi="Consolas"/>
                <w:color w:val="1E293B"/>
                <w:sz w:val="16"/>
              </w:rPr>
              <w:t>data.csv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Archivo fuente transaccional / Tabla staging en SQL Server (</w:t>
            </w:r>
            <w:r>
              <w:rPr>
                <w:rFonts w:ascii="Consolas" w:hAnsi="Consolas"/>
                <w:color w:val="1E293B"/>
                <w:sz w:val="16"/>
              </w:rPr>
              <w:t>stg.Staging_Estudiante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INFORMACIÓN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Datos estructurados, limpios y contextualizados con significado de negocio.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Registro dimensional que indica que el estudiante </w:t>
            </w:r>
            <w:r>
              <w:rPr>
                <w:rFonts w:ascii="Consolas" w:hAnsi="Consolas"/>
                <w:color w:val="1E293B"/>
                <w:sz w:val="16"/>
              </w:rPr>
              <w:t>E-2024-0142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tiene un Ratio de Eficiencia Crediticia ($REC = 0\%$) y condición de deuda financiera al término del primer semestre.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DataMart en SQL Server (</w:t>
            </w:r>
            <w:r>
              <w:rPr>
                <w:rFonts w:ascii="Consolas" w:hAnsi="Consolas"/>
                <w:color w:val="1E293B"/>
                <w:sz w:val="16"/>
              </w:rPr>
              <w:t>dw.FactProgreso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enlazada a </w:t>
            </w:r>
            <w:r>
              <w:rPr>
                <w:rFonts w:ascii="Consolas" w:hAnsi="Consolas"/>
                <w:color w:val="1E293B"/>
                <w:sz w:val="16"/>
              </w:rPr>
              <w:t>dw.DimEtapa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y </w:t>
            </w:r>
            <w:r>
              <w:rPr>
                <w:rFonts w:ascii="Consolas" w:hAnsi="Consolas"/>
                <w:color w:val="1E293B"/>
                <w:sz w:val="16"/>
              </w:rPr>
              <w:t>dw.DimPerfilSocioec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CONOCIMIENTO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Patrones inferidos, modelos probabilísticos y relaciones causales multivariables.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El modelo supervisado (Random Forest) asigna al estudiante una probabilidad de abandono $P(\text{Dropout}) = 84.7\%$ y el algoritmo no supervisado (K-Means) lo clasifica en el Clúster 1: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"Perfil Socioeconómico Crítico"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Pipeline de Machine Learning en Python Scikit-Learn (</w:t>
            </w:r>
            <w:r>
              <w:rPr>
                <w:rFonts w:ascii="Consolas" w:hAnsi="Consolas"/>
                <w:color w:val="1E293B"/>
                <w:sz w:val="16"/>
              </w:rPr>
              <w:t>dw.FactPrediccion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SABIDURÍA (DECISIÓN)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Juicio humano y acción institucional orientada a resolver el problema detectado.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El Comité de Tutoría y Bienestar Universitario aprueba una intervención integral inmediata: asignación de Beca Comedor, flexibilización de matrícula y tutoría remedial de pares.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Dashboard interactivo en Power BI Desktop (</w:t>
            </w:r>
            <w:r>
              <w:rPr>
                <w:rFonts w:ascii="Consolas" w:hAnsi="Consolas"/>
                <w:color w:val="1E293B"/>
                <w:sz w:val="16"/>
              </w:rPr>
              <w:t>Página 4: Matriz de Acción y What-If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2.5. Dimensiones, Medidas, Jerarquías y Granularidad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2.5.1.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Según Kimball y Ross (2013), el paso más crítico del diseño dimensional es la </w:t>
      </w:r>
      <w:r>
        <w:rPr>
          <w:rFonts w:ascii="Times New Roman" w:hAnsi="Times New Roman"/>
          <w:b/>
          <w:i w:val="0"/>
          <w:color w:val="000000"/>
          <w:sz w:val="24"/>
        </w:rPr>
        <w:t>declaración formal de la granularidad</w:t>
      </w:r>
      <w:r>
        <w:rPr>
          <w:rFonts w:ascii="Times New Roman" w:hAnsi="Times New Roman"/>
          <w:b w:val="0"/>
          <w:i w:val="0"/>
          <w:color w:val="000000"/>
          <w:sz w:val="24"/>
        </w:rPr>
        <w:t>, la cual define qué representa exactamente una fila individual dentro de la tabla de hechos. Asimismo, las medidas cuantitativas se clasifican según su comportamiento frente a las agregaciones dimensionales: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Medidas Totalmente Aditivas: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Pueden sumarse a través de todas las dimensiones y jerarquías (ej. conteo de estudiantes, créditos acumulados).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Medidas Semiaditivas: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Pueden sumarse a través de algunas dimensiones, pero no de otras (típicamente no pueden sumarse a través del tiempo, como los saldos deudores).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Medidas No Aditivas: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No pueden sumarse bajo ninguna dimensión porque representan ratios, porcentajes o promedios ponderados. En DAX y MDX, deben calcularse como </w:t>
      </w:r>
      <w:r>
        <w:rPr>
          <w:rFonts w:ascii="Times New Roman" w:hAnsi="Times New Roman"/>
          <w:b/>
          <w:i w:val="0"/>
          <w:color w:val="000000"/>
          <w:sz w:val="23"/>
        </w:rPr>
        <w:t>cocientes de sumas de componentes aditivos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2.5.2. Aplicación Concreta en el Proyecto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Declaración del Grano para `dw.FactProgreso`: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"Un registro por cada estudiante individual evaluado en un curso y etapa académica específica ($M_1$ o $M_2$) dentro de un semestre lectivo."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Declaración del Grano para `dw.FactPrediccion`: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"Un registro por cada estudiante individual evaluado por un modelo analítico específico en un hito temporal ($M_1$ Ingreso vs. $M_2$ Cierre del Primer Semestre)."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continuación se detalla la estructura dimensional y el catálogo de medidas del proyecto: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11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Tabla de Hechos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Medida Numérica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Tipo de Aditividad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Fórmula de Agregación en DAX / MDX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dw.FactProgreso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creditos_matriculados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Totalmente Aditiva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SUM(dw.FactProgreso[creditos_matriculados])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dw.FactProgreso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creditos_aprobados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Totalmente Aditiva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SUM(dw.FactProgreso[creditos_aprobados])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dw.FactProgreso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Ratio de Eficiencia Crediticia ($REC$)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No Aditiva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DIVIDE(SUM([creditos_aprobados]), SUM([creditos_matriculados]), 0) * 100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dw.FactProgreso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Promedio Vigesimal Ponderado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No Aditiva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DIVIDE(SUM([nota_vigesimal_x_creditos]), SUM([creditos_matriculados]), 0)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dw.FactPrediccion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probabilidad_dropout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Semiaditiva (Promediable)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AVERAGE(dw.FactPrediccion[prob_dropout])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dw.FactPrediccion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Total Alumnos en Riesgo Crítico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Totalmente Aditiva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onsolas" w:hAnsi="Consolas"/>
                <w:color w:val="1E293B"/>
                <w:sz w:val="16"/>
              </w:rPr>
              <w:t>CALCULATE(DISTINCTCOUNT([estudiante_key]), [prob_dropout] &gt;= 0.60)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Jerarquías de Análisis Diseñadas: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Jerarquía Institucional (TUNI/SUNEDU):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Tipo_Gestion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$\to$ </w:t>
      </w:r>
      <w:r>
        <w:rPr>
          <w:rFonts w:ascii="Consolas" w:hAnsi="Consolas"/>
          <w:color w:val="1E293B"/>
          <w:sz w:val="21"/>
        </w:rPr>
        <w:t>Universidad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$\to$ </w:t>
      </w:r>
      <w:r>
        <w:rPr>
          <w:rFonts w:ascii="Consolas" w:hAnsi="Consolas"/>
          <w:color w:val="1E293B"/>
          <w:sz w:val="21"/>
        </w:rPr>
        <w:t>Facultad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$\to$ </w:t>
      </w:r>
      <w:r>
        <w:rPr>
          <w:rFonts w:ascii="Consolas" w:hAnsi="Consolas"/>
          <w:color w:val="1E293B"/>
          <w:sz w:val="21"/>
        </w:rPr>
        <w:t>Escuela Profesional</w:t>
      </w:r>
      <w:r>
        <w:rPr>
          <w:rFonts w:ascii="Times New Roman" w:hAnsi="Times New Roman"/>
          <w:b w:val="0"/>
          <w:i w:val="0"/>
          <w:color w:val="000000"/>
          <w:sz w:val="23"/>
        </w:rPr>
        <w:t>. Permite a las autoridades navegar desde el macro-entorno nacional hasta el aula de clase en la FIEI.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Jerarquía Temporal de Evaluación: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color w:val="1E293B"/>
          <w:sz w:val="21"/>
        </w:rPr>
        <w:t>Periodo_Lectivo (2026)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$\to$ </w:t>
      </w:r>
      <w:r>
        <w:rPr>
          <w:rFonts w:ascii="Consolas" w:hAnsi="Consolas"/>
          <w:color w:val="1E293B"/>
          <w:sz w:val="21"/>
        </w:rPr>
        <w:t>Semestre (2026-I)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$\to$ </w:t>
      </w:r>
      <w:r>
        <w:rPr>
          <w:rFonts w:ascii="Consolas" w:hAnsi="Consolas"/>
          <w:color w:val="1E293B"/>
          <w:sz w:val="21"/>
        </w:rPr>
        <w:t>Etapa_Evaluacion (M1 / M2)</w:t>
      </w:r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2.6. Cubos OLAP y Procesamiento Multidimensional (SSAS)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2.6.1.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Procesamiento Analítico en Línea (OLAP), formalizado originalmente por Codd et al. (1993), permite consultas analíticas de alta velocidad sobre grandes volúmenes de datos mediante el precalculo y la indexación multidimensional. Las arquitecturas OLAP comprenden: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MOLAP (Multidimensional OLAP):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Almacena tanto los datos detallados como las agregaciones en estructuras de cubos multidimensionales optimizadas. Ofrece el máximo rendimiento en tiempos de respuesta.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ROLAP (Relational OLAP):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Mantiene los datos en el motor relacional y resuelve las consultas mediante SQL dinámico. Menor velocidad de respuesta frente a esquemas complejos.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HOLAP (Hybrid OLAP):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Combina el detalle en relacional con las agregaciones precalculadas en cubos multidimensionales.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Las cinco operaciones analíticas fundamentales sobre estructuras multidimensionales son: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Roll-up (Drill-up):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Agregación de datos hacia un nivel jerárquico superior (ej. de escuela a facultad).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Drill-down: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Desglose detallado hacia niveles inferiores de la jerarquía (ej. de facultad a curso o estudiante).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Slice: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Filtrado por una condición fija en una dimensión específica (ej. analizar solo alumnos con beca).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3"/>
        </w:rPr>
        <w:t>Dice: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Subdivisión del cubo seleccionando rangos específicos en dos o más dimensiones simultáneas (ej. estudiantes becados en condición de riesgo crítico en la Escuela de Informática).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3"/>
        </w:rPr>
        <w:t>Pivot (Rotate):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Rotación de las dimensiones en los ejes de visualización (cambio de filas por columnas).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2.6.2. Decisión de Ingeniería y Aplicación en el Proyecto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Se implementa un Cubo Multidimensional en Microsoft SQL Server Analysis Services (SSAS) bajo modo MOLAP.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Justificación: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Permite que directores de escuela y tutores exploren interactivamente la población estudiantil en Power BI con tiempos de respuesta inferiores a un segundo, delegando el cómputo pesado de agregaciones en el servicio de SSAS.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siguiente cuadro mapea las 5 operaciones OLAP con las Preguntas de Negocio formalizadas en la Fase B1: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12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Operación OLAP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Pregunta de Negocio (Fase B1) que Resuelve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Dimensiones y Jerarquías Involucradas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Roll-up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PN-01: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¿Cuál es la tasa global de deserción de la FIEI comparada entre sus cuatro escuelas profesionales?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Agregación desde </w:t>
            </w:r>
            <w:r>
              <w:rPr>
                <w:rFonts w:ascii="Consolas" w:hAnsi="Consolas"/>
                <w:color w:val="1E293B"/>
                <w:sz w:val="16"/>
              </w:rPr>
              <w:t>DimCurso[Escuela]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hacia </w:t>
            </w:r>
            <w:r>
              <w:rPr>
                <w:rFonts w:ascii="Consolas" w:hAnsi="Consolas"/>
                <w:color w:val="1E293B"/>
                <w:sz w:val="16"/>
              </w:rPr>
              <w:t>DimInstitucion[Facultad]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Drill-down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PN-02: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Dentro de la Escuela de Informática, ¿cuáles son las tres asignaturas específicas con mayor índice de desaprobación?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Desglose desde </w:t>
            </w:r>
            <w:r>
              <w:rPr>
                <w:rFonts w:ascii="Consolas" w:hAnsi="Consolas"/>
                <w:color w:val="1E293B"/>
                <w:sz w:val="16"/>
              </w:rPr>
              <w:t>DimCurso[Escuela]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hacia </w:t>
            </w:r>
            <w:r>
              <w:rPr>
                <w:rFonts w:ascii="Consolas" w:hAnsi="Consolas"/>
                <w:color w:val="1E293B"/>
                <w:sz w:val="16"/>
              </w:rPr>
              <w:t>DimCurso[NombreAsignatura]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Slice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PN-06: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¿Qué porcentaje de estudiantes con beca universitaria mantienen un promedio aprobatorio?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Corte fijo sobre </w:t>
            </w:r>
            <w:r>
              <w:rPr>
                <w:rFonts w:ascii="Consolas" w:hAnsi="Consolas"/>
                <w:color w:val="1E293B"/>
                <w:sz w:val="16"/>
              </w:rPr>
              <w:t>DimEstudiante[Tiene_Beca = 'Sí']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PN-03 y PN-08: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¿Cuántos estudiantes trabajadores ($&gt; 20$ horas) se encuentran en riesgo crítico ($P \ge 60\%$) en la etapa $M_1$?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Filtro cruzado simultáneo: </w:t>
            </w:r>
            <w:r>
              <w:rPr>
                <w:rFonts w:ascii="Consolas" w:hAnsi="Consolas"/>
                <w:color w:val="1E293B"/>
                <w:sz w:val="16"/>
              </w:rPr>
              <w:t>DimPerfilSocioec[Horas_Trabajo &gt; 20]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$\times$ </w:t>
            </w:r>
            <w:r>
              <w:rPr>
                <w:rFonts w:ascii="Consolas" w:hAnsi="Consolas"/>
                <w:color w:val="1E293B"/>
                <w:sz w:val="16"/>
              </w:rPr>
              <w:t>DimEtapa[M1_Ingreso]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$\times$ </w:t>
            </w:r>
            <w:r>
              <w:rPr>
                <w:rFonts w:ascii="Consolas" w:hAnsi="Consolas"/>
                <w:color w:val="1E293B"/>
                <w:sz w:val="16"/>
              </w:rPr>
              <w:t>DimResultado[Riesgo = 'Crítico']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Pivot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PN-04: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Comparar la distribución de clústeres de riesgo en filas cruzada contra las 4 escuelas profesionales en columnas.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Eje filas: </w:t>
            </w:r>
            <w:r>
              <w:rPr>
                <w:rFonts w:ascii="Consolas" w:hAnsi="Consolas"/>
                <w:color w:val="1E293B"/>
                <w:sz w:val="16"/>
              </w:rPr>
              <w:t>DimPerfilSocioec[Cluster_KMeans]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; Eje columnas: </w:t>
            </w:r>
            <w:r>
              <w:rPr>
                <w:rFonts w:ascii="Consolas" w:hAnsi="Consolas"/>
                <w:color w:val="1E293B"/>
                <w:sz w:val="16"/>
              </w:rPr>
              <w:t>DimCurso[Escuela]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2.7. Indicadores de Gestión y KPIs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2.7.1.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Un Indicador Clave de Rendimiento (KPI) es una métrica cuantificable formalmente ligada a los objetivos estratégicos de la organización, que permite evaluar el desempeño, identificar desviaciones operativas y desencadenar intervenciones correctivas oportunas (Parmenter, 2015). A diferencia de una métrica operativa ordinaria, un KPI institucional debe poseer: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Nombre oficial no ambiguo y alineado a la misión institucional.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Fórmula matemática formalmente expresada.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Periodicidad de cálculo y fuente primaria de datos.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Meta cuantitativa (</w:t>
      </w:r>
      <w:r>
        <w:rPr>
          <w:rFonts w:ascii="Times New Roman" w:hAnsi="Times New Roman"/>
          <w:b w:val="0"/>
          <w:i/>
          <w:color w:val="000000"/>
          <w:sz w:val="23"/>
        </w:rPr>
        <w:t>Target</w:t>
      </w:r>
      <w:r>
        <w:rPr>
          <w:rFonts w:ascii="Times New Roman" w:hAnsi="Times New Roman"/>
          <w:b w:val="0"/>
          <w:i w:val="0"/>
          <w:color w:val="000000"/>
          <w:sz w:val="23"/>
        </w:rPr>
        <w:t>) y umbrales de semaforización (Verde, Amarillo, Rojo).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3"/>
        </w:rPr>
        <w:t>Responsable directo de su monitoreo y gestión (matriz RACI).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2.7.2. Fichas Técnicas de los KPIs Oficiales del Proyecto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partir del alineamiento estratégico con el Estatuto UNFV y los requerimientos de la Fase B1, se formalizan los 8 KPIs rectores del sistema: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\textbf{KPI-01} &amp; \textbf{Tasa de Abandono Histórico (TA)}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TA = \left( \frac{\text{Conteo de Estudiantes en condición Dropout}}{\text{Total de Estudiantes Matriculados}} \right) \times 100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\le 18.0\% \text{ (Semáforo: Verde } \le 18\% \mid \text{Amarillo } 18.1\% \text{--} 25\% \mid \text{Rojo } &gt; 25\%)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\text{Director de Escuela Profesional / Decano FIEI}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\textbf{KPI-02} &amp; \textbf{Ratio de Eficiencia Crediticia (REC)}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REC = \left( \frac{\sum \text{Créditos Aprobados en el Semestre}}{\sum \text{Créditos Matriculados en el Semestre}} \right) \times 100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\ge 85.0\% \text{ (Semáforo: Verde } \ge 85\% \mid \text{Amarillo } 70\% \text{--} 84.9\% \mid \text{Rojo } &lt; 70\%)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\text{Comité de Tutoría y Consejería Universitaria}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\textbf{KPI-03} &amp; \textbf{Rendimiento Vigesimal Promedio (RVP)}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RVP = \frac{\sum (\text{Calificación Vigesimal } [0\text{--}20] \times \text{Créditos})}{\sum \text{Créditos Evaluados}}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\ge 13.5 \text{ pts (Semáforo: Verde } \ge 13.5 \mid \text{Amarillo } 11.0 \text{--} 13.4 \mid \text{Rojo } &lt; 11.0)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\text{Docentes Tutores y Directores de Escuela}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\textbf{KPI-04} &amp; \textbf{Índice de Estudiantes en Riesgo Crítico por IA (IRC)}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IRC = \sum [1 \text{ si } P(\text{Dropout}) \ge 0.60 \text{ else } 0]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\le 15.0\% \text{ del padrón matriculado}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\text{Comité de Tutoría / Plataforma BI+IA}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\textbf{KPI-05} &amp; \textbf{Sensibilidad / Recall del Modelo de Alerta Temprana en Dropout}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\text{Recall}_{\text{Dropout}} = \frac{VP_{\text{Dropout}}}{VP_{\text{Dropout}} + FN_{\text{Dropout}}}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\ge 75.0\% \text{ en Momento 1 } (M_1) \text{ y } \ge 82.0\% \text{ en Momento 2 } (M_2)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\text{Equipo de Ingeniería de Datos y Machine Learning}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\textbf{KPI-06} &amp; \textbf{Cobertura de Acompañamiento Tutorial a Población Crítica (CAT)}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CAT = \left( \frac{\text{Estudiantes Críticos con Tutor Asignado}}{\text{Total de Estudiantes con } P(\text{Dropout}) \ge 0.60} \right) \times 100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100.0\% \text{ (Semáforo: Verde } 100\% \mid \text{Amarillo } 80\% \text{--} 99\% \mid \text{Rojo } &lt; 80\%)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\text{Coordinador de Tutoría FIEI}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\textbf{KPI-07} &amp; \textbf{Calidad de Cohesión de Perfiles Socioacadémicos (Silhouette Score)}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s(i) = \frac{b(i) - a(i)}{\max(a(i), b(i))}, \quad \bar{s} = \frac{1}{N}\sum_{i=1}^{N} s(i)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\bar{s} \ge 0.35 \text{ (Estructura de agrupamiento sustancial en K-Means)}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\text{Módulo Analítico de Personalización (Python)}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$$\begin{array}{|l|l|}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\textbf{KPI-08} &amp; \textbf{Estudiantes Proyectados Retenidos por Simulación What-If (EPR)}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\text{Fórmula} &amp; EPR = \sum_{i \in \text{Críticos}} [P_i(\text{Dropout}) \ge U] \times \text{Cobertura}_{\text{Tutor}} \times \text{Efectividad}_{\text{Intervención}}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\text{Meta} &amp; \text{Maximizar la retención institucional simulada bajo restricciones presupuestales}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\text{Responsable} &amp; \text{Decanato FIEI y Comité de Gestión de Calidad} \\ \hline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\end{array}$$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2.8. Machine Learning e Inteligencia Artificial Educativa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2.8.1.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Minería de Datos Educativa (</w:t>
      </w:r>
      <w:r>
        <w:rPr>
          <w:rFonts w:ascii="Times New Roman" w:hAnsi="Times New Roman"/>
          <w:b w:val="0"/>
          <w:i/>
          <w:color w:val="000000"/>
          <w:sz w:val="24"/>
        </w:rPr>
        <w:t>Educational Data Mining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- EDM) y la Analítica del Aprendizaje (</w:t>
      </w:r>
      <w:r>
        <w:rPr>
          <w:rFonts w:ascii="Times New Roman" w:hAnsi="Times New Roman"/>
          <w:b w:val="0"/>
          <w:i/>
          <w:color w:val="000000"/>
          <w:sz w:val="24"/>
        </w:rPr>
        <w:t>Learning Analytics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- LA) aplican modelos matemáticos y algoritmos computacionales para descubrir patrones ocultos en grandes volúmenes de datos académicos (Baker &amp; Inventado, 2014; Ali, 2026).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Formulación del Problema: ¿Por qué Clasificación Multiclase y no Regresión?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Intentar predecir la calificación vigesimal continua exacta con modelos de regresión lineal (ej. predecir si el alumno obtendrá $11.3$ o $11.7$) introduce severo ruido estocástico y carece de utilidad gerencial directa. La toma de decisiones en la FIEI-UNFV exige categorizar al estudiante en un estado de riesgo institucional accionable (</w:t>
      </w:r>
      <w:r>
        <w:rPr>
          <w:rFonts w:ascii="Consolas" w:hAnsi="Consolas"/>
          <w:color w:val="1E293B"/>
          <w:sz w:val="22"/>
        </w:rPr>
        <w:t>Dropout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color w:val="1E293B"/>
          <w:sz w:val="22"/>
        </w:rPr>
        <w:t>Enrolled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color w:val="1E293B"/>
          <w:sz w:val="22"/>
        </w:rPr>
        <w:t>Graduate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). Por lo tanto, el problema se formula rigurosamente como </w:t>
      </w:r>
      <w:r>
        <w:rPr>
          <w:rFonts w:ascii="Times New Roman" w:hAnsi="Times New Roman"/>
          <w:b/>
          <w:i w:val="0"/>
          <w:color w:val="000000"/>
          <w:sz w:val="24"/>
        </w:rPr>
        <w:t>Clasificación Supervisada Multiclase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Algoritmos Comparados (Exigencia del Criterio 5 de la Cátedra):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 w:val="0"/>
          <w:i/>
          <w:color w:val="000000"/>
          <w:sz w:val="23"/>
        </w:rPr>
        <w:t>Regresión Logística Multinomial (Baseline Lineal):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Modela el logaritmo de la razón de probabilidades (</w:t>
      </w:r>
      <w:r>
        <w:rPr>
          <w:rFonts w:ascii="Times New Roman" w:hAnsi="Times New Roman"/>
          <w:b w:val="0"/>
          <w:i/>
          <w:color w:val="000000"/>
          <w:sz w:val="23"/>
        </w:rPr>
        <w:t>log-odds</w:t>
      </w:r>
      <w:r>
        <w:rPr>
          <w:rFonts w:ascii="Times New Roman" w:hAnsi="Times New Roman"/>
          <w:b w:val="0"/>
          <w:i w:val="0"/>
          <w:color w:val="000000"/>
          <w:sz w:val="23"/>
        </w:rPr>
        <w:t>) mediante combinaciones lineales de los predictores normalizados (Hosmer et al., 2013). Se selecciona como línea base por su velocidad, robustez computacional y alta interpretabilidad a través de los coeficientes de regresión.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 w:val="0"/>
          <w:i/>
          <w:color w:val="000000"/>
          <w:sz w:val="23"/>
        </w:rPr>
        <w:t>Random Forest Classifier (Ensamble No Lineal):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Ensamble de árboles de decisión independientes construidos mediante agregación por remuestreo (</w:t>
      </w:r>
      <w:r>
        <w:rPr>
          <w:rFonts w:ascii="Times New Roman" w:hAnsi="Times New Roman"/>
          <w:b w:val="0"/>
          <w:i/>
          <w:color w:val="000000"/>
          <w:sz w:val="23"/>
        </w:rPr>
        <w:t>Bootstrap Aggregating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o </w:t>
      </w:r>
      <w:r>
        <w:rPr>
          <w:rFonts w:ascii="Times New Roman" w:hAnsi="Times New Roman"/>
          <w:b w:val="0"/>
          <w:i/>
          <w:color w:val="000000"/>
          <w:sz w:val="23"/>
        </w:rPr>
        <w:t>Bagging</w:t>
      </w:r>
      <w:r>
        <w:rPr>
          <w:rFonts w:ascii="Times New Roman" w:hAnsi="Times New Roman"/>
          <w:b w:val="0"/>
          <w:i w:val="0"/>
          <w:color w:val="000000"/>
          <w:sz w:val="23"/>
        </w:rPr>
        <w:t>) y selección aleatoria de subespacios de características (Breiman, 2001). Se selecciona porque captura relaciones no lineales complejas, interacciones entre variables socioeconómicas y resiste el sobreajuste (</w:t>
      </w:r>
      <w:r>
        <w:rPr>
          <w:rFonts w:ascii="Times New Roman" w:hAnsi="Times New Roman"/>
          <w:b w:val="0"/>
          <w:i/>
          <w:color w:val="000000"/>
          <w:sz w:val="23"/>
        </w:rPr>
        <w:t>overfitting</w:t>
      </w:r>
      <w:r>
        <w:rPr>
          <w:rFonts w:ascii="Times New Roman" w:hAnsi="Times New Roman"/>
          <w:b w:val="0"/>
          <w:i w:val="0"/>
          <w:color w:val="000000"/>
          <w:sz w:val="23"/>
        </w:rPr>
        <w:t>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Aprendizaje No Supervisado: K-Means Clustering: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Agrupa observaciones multidimensionales en $k$ conglomerados homogéneos minimizando la inercia o suma de distancias cuadradas intra-clúster. Permite segmentar a la población estudiantil en perfiles de vulnerabilidad sin etiquetas previas, alimentando la matriz de personalización.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2.8.2. Protocolo de Validación, Desbalance de Clases y Métricas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Tratamiento del Desbalance de Clases: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 las universidades, la tasa de deserción es una clase minoritaria en comparación con los alumnos regulares. Guiarse únicamente por la Exactitud (</w:t>
      </w:r>
      <w:r>
        <w:rPr>
          <w:rFonts w:ascii="Times New Roman" w:hAnsi="Times New Roman"/>
          <w:b w:val="0"/>
          <w:i/>
          <w:color w:val="000000"/>
          <w:sz w:val="24"/>
        </w:rPr>
        <w:t>Accuracy</w:t>
      </w:r>
      <w:r>
        <w:rPr>
          <w:rFonts w:ascii="Times New Roman" w:hAnsi="Times New Roman"/>
          <w:b w:val="0"/>
          <w:i w:val="0"/>
          <w:color w:val="000000"/>
          <w:sz w:val="24"/>
        </w:rPr>
        <w:t>) constituye un error metodológico severo: un modelo trivial que predijera que ningún alumno desertará alcanzaría más del $70\%$ de Accuracy cometiendo un $100\%$ de error en la detección de alumnos en riesgo.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Métrica Prioritaria de Negocio: Recall en la Clase Dropout: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$$\text{Recall} = \frac{VP}{VP + FN}$$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En el contexto universitario, el costo de un </w:t>
      </w:r>
      <w:r>
        <w:rPr>
          <w:rFonts w:ascii="Times New Roman" w:hAnsi="Times New Roman"/>
          <w:b/>
          <w:i w:val="0"/>
          <w:color w:val="000000"/>
          <w:sz w:val="24"/>
        </w:rPr>
        <w:t>Falso Negativo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(un estudiante en abandono real que el sistema clasifica como exitoso y no recibe ayuda) es catastrófico, pues deriva en la pérdida de gratuidad o deserción consumada. El costo de un </w:t>
      </w:r>
      <w:r>
        <w:rPr>
          <w:rFonts w:ascii="Times New Roman" w:hAnsi="Times New Roman"/>
          <w:b/>
          <w:i w:val="0"/>
          <w:color w:val="000000"/>
          <w:sz w:val="24"/>
        </w:rPr>
        <w:t>Falso Positivo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(citar a tutoría preventiva a un alumno que no iba a desertar) es marginal y pedagógicamente inofensivo. Por ende, la métrica de optimización es el </w:t>
      </w:r>
      <w:r>
        <w:rPr>
          <w:rFonts w:ascii="Times New Roman" w:hAnsi="Times New Roman"/>
          <w:b/>
          <w:i w:val="0"/>
          <w:color w:val="000000"/>
          <w:sz w:val="24"/>
        </w:rPr>
        <w:t>Recall de la clase *Dropout</w:t>
      </w:r>
      <w:r>
        <w:rPr>
          <w:rFonts w:ascii="Times New Roman" w:hAnsi="Times New Roman"/>
          <w:b w:val="0"/>
          <w:i w:val="0"/>
          <w:color w:val="000000"/>
          <w:sz w:val="24"/>
        </w:rPr>
        <w:t>*.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$F_1\text{-score}$ Macro: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$$F_1\text{-macro} = \frac{1}{|C|} \sum_{c \in C} 2 \times \frac{\text{Precision}_c \times \text{Recall}_c}{\text{Precision}_c + \text{Recall}_c}$$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Promedia armónicamente el desempeño equitativo entre las clases sin favorecer a la clase mayoritaria.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Prevención de Fuga de Datos (*Data Leakage*):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Se garantiza que ninguna variable perteneciente al segundo semestre académico ni el estado final del alumno (</w:t>
      </w:r>
      <w:r>
        <w:rPr>
          <w:rFonts w:ascii="Times New Roman" w:hAnsi="Times New Roman"/>
          <w:b w:val="0"/>
          <w:i/>
          <w:color w:val="000000"/>
          <w:sz w:val="24"/>
        </w:rPr>
        <w:t>target</w:t>
      </w:r>
      <w:r>
        <w:rPr>
          <w:rFonts w:ascii="Times New Roman" w:hAnsi="Times New Roman"/>
          <w:b w:val="0"/>
          <w:i w:val="0"/>
          <w:color w:val="000000"/>
          <w:sz w:val="24"/>
        </w:rPr>
        <w:t>) ingrese como predictor en los modelos de admisión o primer semestre ($M_1$ y $M_2$).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Estrategia de Validación y Población del Dashboard: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entrenamiento y calibración se efectúan mediante validación cruzada estratificada (</w:t>
      </w:r>
      <w:r>
        <w:rPr>
          <w:rFonts w:ascii="Times New Roman" w:hAnsi="Times New Roman"/>
          <w:b w:val="0"/>
          <w:i/>
          <w:color w:val="000000"/>
          <w:sz w:val="24"/>
        </w:rPr>
        <w:t>Stratified K-Fold</w:t>
      </w:r>
      <w:r>
        <w:rPr>
          <w:rFonts w:ascii="Times New Roman" w:hAnsi="Times New Roman"/>
          <w:b w:val="0"/>
          <w:i w:val="0"/>
          <w:color w:val="000000"/>
          <w:sz w:val="24"/>
        </w:rPr>
        <w:t>, $k=5$). Para evitar exponer un dashboard incompleto con solo el subconjunto de prueba (</w:t>
      </w:r>
      <w:r>
        <w:rPr>
          <w:rFonts w:ascii="Times New Roman" w:hAnsi="Times New Roman"/>
          <w:b w:val="0"/>
          <w:i/>
          <w:color w:val="000000"/>
          <w:sz w:val="24"/>
        </w:rPr>
        <w:t>test split</w:t>
      </w:r>
      <w:r>
        <w:rPr>
          <w:rFonts w:ascii="Times New Roman" w:hAnsi="Times New Roman"/>
          <w:b w:val="0"/>
          <w:i w:val="0"/>
          <w:color w:val="000000"/>
          <w:sz w:val="24"/>
        </w:rPr>
        <w:t>), las probabilidades continuas de toda la matrícula (4,424 casos) se calculan mediante predicciones fuera de muestra (</w:t>
      </w:r>
      <w:r>
        <w:rPr>
          <w:rFonts w:ascii="Times New Roman" w:hAnsi="Times New Roman"/>
          <w:b w:val="0"/>
          <w:i/>
          <w:color w:val="000000"/>
          <w:sz w:val="24"/>
        </w:rPr>
        <w:t>out-of-fold predictions</w:t>
      </w:r>
      <w:r>
        <w:rPr>
          <w:rFonts w:ascii="Times New Roman" w:hAnsi="Times New Roman"/>
          <w:b w:val="0"/>
          <w:i w:val="0"/>
          <w:color w:val="000000"/>
          <w:sz w:val="24"/>
        </w:rPr>
        <w:t>), garantizando que ningún dato sea predicho con el modelo que lo entrenó.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2.9. Evaluación Adaptativa, Analítica del Aprendizaje y Personalización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2.9.1. Marco Conceptual y Delimitación Operativa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literatura en tecnología educativa vincula la "evaluación adaptativa" tanto a pruebas reactivo por reactivo (</w:t>
      </w:r>
      <w:r>
        <w:rPr>
          <w:rFonts w:ascii="Times New Roman" w:hAnsi="Times New Roman"/>
          <w:b w:val="0"/>
          <w:i/>
          <w:color w:val="000000"/>
          <w:sz w:val="24"/>
        </w:rPr>
        <w:t>Computerized Adaptive Testing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- CAT basado en Teoría de Respuesta al Ítem) como a sistemas de alerta temprana basados en analítica de cohortes dinámicas (Almalawi et al., 2026; Siemens &amp; Baker, 2012). Ante la naturaleza del curso (orientado a Business Intelligence y Data Warehousing) y la disponibilidad de datos de trayectoria en educación superior, se adoptan formalmente las </w:t>
      </w:r>
      <w:r>
        <w:rPr>
          <w:rFonts w:ascii="Times New Roman" w:hAnsi="Times New Roman"/>
          <w:b/>
          <w:i w:val="0"/>
          <w:color w:val="000000"/>
          <w:sz w:val="24"/>
        </w:rPr>
        <w:t>Definiciones Operativas aprobadas en la Fase A0</w:t>
      </w:r>
      <w:r>
        <w:rPr>
          <w:rFonts w:ascii="Times New Roman" w:hAnsi="Times New Roman"/>
          <w:b w:val="0"/>
          <w:i w:val="0"/>
          <w:color w:val="000000"/>
          <w:sz w:val="24"/>
        </w:rPr>
        <w:t>: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/>
          <w:i/>
          <w:color w:val="000000"/>
          <w:sz w:val="22"/>
        </w:rPr>
        <w:t>Definición Operativa de Evaluación Adaptativa (Decisión D2):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"Proceso analítico dinámico de re-evaluación del riesgo académico del estudiante ejecutado en etapas sucesivas ($M_1$: Admisión e Ingreso vs. $M_2$: Cierre del Primer Semestre), ajustando el pronóstico institucional conforme se consolida su rendimiento académico real."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/>
          <w:i/>
          <w:color w:val="000000"/>
          <w:sz w:val="22"/>
        </w:rPr>
        <w:t>Definición Operativa de Personalización del Aprendizaje (Decisión D3):</w:t>
      </w:r>
    </w:p>
    <w:p>
      <w:pPr>
        <w:spacing w:line="276" w:lineRule="auto" w:before="80" w:after="120"/>
        <w:ind w:left="720" w:right="288" w:firstLine="0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"Segmentación de la población estudiantil en perfiles multidimensionales homogéneos mediante aprendizaje no supervisado (K-Means Clustering), articulada con una matriz institucional de recomendaciones pedagógicas y tutoriales diferenciadas según la causa raíz del riesgo."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2.9.2. Ciclo Adaptativo-Prescriptivo del Sistema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diferencia de los enfoques estáticos tradicionales, el sistema opera bajo un ciclo proactivo cerrado:</w:t>
      </w:r>
    </w:p>
    <w:p>
      <w:pPr>
        <w:spacing w:line="240" w:lineRule="auto" w:before="80" w:after="120"/>
        <w:ind w:left="576" w:right="576"/>
      </w:pPr>
      <w:r>
        <w:rPr>
          <w:rFonts w:ascii="Times New Roman" w:hAnsi="Times New Roman"/>
          <w:b/>
          <w:color w:val="0E7490"/>
          <w:sz w:val="20"/>
        </w:rPr>
        <w:t>[Diagrama / Especificación de Proceso BPMN 2.0]</w:t>
        <w:br/>
      </w:r>
      <w:r>
        <w:rPr>
          <w:rFonts w:ascii="Consolas" w:hAnsi="Consolas"/>
          <w:color w:val="475569"/>
          <w:sz w:val="17"/>
        </w:rPr>
        <w:t>flowchart LR</w:t>
        <w:br/>
        <w:t xml:space="preserve">    A["1. Evaluación M1&lt;br&gt;(Al Ingreso)"] --&gt; B["2. Segmentación K-Means&lt;br&gt;(Perfiles Socioacadémicos)"]</w:t>
        <w:br/>
        <w:t xml:space="preserve">    B --&gt; C["3. Prescripción Focalizada&lt;br&gt;(Taller / Beca / Tutor)"]</w:t>
        <w:br/>
        <w:t xml:space="preserve">    C --&gt; D["4. Re-evaluación M2&lt;br&gt;(Cierre Semestre 1)"]</w:t>
        <w:br/>
        <w:t xml:space="preserve">    D --&gt; E["5. Ajuste Dinámico de Alerta&lt;br&gt;(Delta de Probabilidad)"]</w:t>
        <w:br/>
        <w:t xml:space="preserve">    E --&gt; F["6. Retención Exitosa&lt;br&gt;(Continuidad Curricular)"]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2.9.3. Matriz de Personalización según Clúster Socioacadémico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clustering no supervisado identifica tres perfiles arquetípicos en la facultad: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3"/>
        </w:rPr>
        <w:t>Clúster 1: Vulnerabilidad Socioeconómica Integral: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Características: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Estudiante becado o de bajos ingresos, padres sin educación superior, dificultad de financiamiento.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Prescripción Personalizada: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Priorización automática para Beca Comedor, carné de medio pasaje, apoyo de Bienestar Universitario y subsidio de materiales.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3"/>
        </w:rPr>
        <w:t>Clúster 2: Sobrecarga Laboral y Desbalance Horario: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Características: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Estudiante trabajador ($&gt; 20$ horas semanales), edad superior a la media, menor tasa de asistencia presencial.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Prescripción Personalizada: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Asesoría en matrícula balanceada (reducción de carga de 22 a 16 créditos), acceso a grabaciones y tutoría nocturna asincrónica.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3"/>
        </w:rPr>
        <w:t>Clúster 3: Rezago Específico en Ciencias Básicas: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Características: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Adecuado soporte socioeconómico pero bajo rendimiento concentrado en Matemática Básica, Cálculo I o Física.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 w:val="0"/>
          <w:i/>
          <w:color w:val="000000"/>
          <w:sz w:val="23"/>
        </w:rPr>
        <w:t>Prescripción Personalizada: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Asignación a talleres de nivelación intensiva en ciencias básicas y emparejamiento con tutores de pares de ciclos superiores.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2.9.4. Consideraciones Éticas, Privacidad y Mitigación de Sesgos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Conforme a la Ley de Protección de Datos Personales (Ley N° 29733) y las directrices éticas de Inteligencia Artificial en Educación (Ali, 2026):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No Estigmatización: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Las probabilidades de riesgo se presentan a directores y tutores como </w:t>
      </w:r>
      <w:r>
        <w:rPr>
          <w:rFonts w:ascii="Times New Roman" w:hAnsi="Times New Roman"/>
          <w:b w:val="0"/>
          <w:i/>
          <w:color w:val="000000"/>
          <w:sz w:val="23"/>
        </w:rPr>
        <w:t>indicadores de necesidad de apoyo institucional</w:t>
      </w:r>
      <w:r>
        <w:rPr>
          <w:rFonts w:ascii="Times New Roman" w:hAnsi="Times New Roman"/>
          <w:b w:val="0"/>
          <w:i w:val="0"/>
          <w:color w:val="000000"/>
          <w:sz w:val="23"/>
        </w:rPr>
        <w:t>, nunca como etiquetas deterministas o punitivas para condicionar la matrícula del alumno.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Privacidad y Agregación: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Se eliminan identificadores directos sensibles (DNI, nombres) y se aplica la regla de supresión de celdas pequeñas ($k \ge 5$) en visualizaciones públicas para evitar la re-identificación de estudiantes vulnerables.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2.10. Procesos ETL y Calidad de Datos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2.10.1. Fundamentación Teórica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 proceso de Extracción, Transformación y Carga (ETL) representa el núcleo de la ingeniería de datos en una arquitectura Kimball, siendo responsable de extraer datos heterogéneos, garantizar su calidad, resolver inconsistencias y cargarlos en las dimensiones y tablas de hechos (Kimball &amp; Caserta, 2004). En la suite de Microsoft SQL Server, esta labor se ejecuta mediante </w:t>
      </w:r>
      <w:r>
        <w:rPr>
          <w:rFonts w:ascii="Times New Roman" w:hAnsi="Times New Roman"/>
          <w:b/>
          <w:i w:val="0"/>
          <w:color w:val="000000"/>
          <w:sz w:val="24"/>
        </w:rPr>
        <w:t>SQL Server Integration Services (SSIS)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articulando dos componentes: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Flujo de Control (Control Flow):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Orquesta la secuencia de ejecución lógica, transacciones, contenedores de bucle y llamadas a tareas auxiliares (ejecución de scripts Python y procedimientos almacenados).</w:t>
      </w:r>
    </w:p>
    <w:p>
      <w:pPr>
        <w:spacing w:line="300" w:lineRule="auto" w:before="20" w:after="40"/>
        <w:ind w:left="504" w:hanging="288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Flujo de Datos (Data Flow):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Ejecuta la extracción de filas, transformaciones en memoria (conversión de tipos de datos, derivaciones matemáticas, búsquedas </w:t>
      </w:r>
      <w:r>
        <w:rPr>
          <w:rFonts w:ascii="Times New Roman" w:hAnsi="Times New Roman"/>
          <w:b w:val="0"/>
          <w:i/>
          <w:color w:val="000000"/>
          <w:sz w:val="23"/>
        </w:rPr>
        <w:t>Lookup</w:t>
      </w:r>
      <w:r>
        <w:rPr>
          <w:rFonts w:ascii="Times New Roman" w:hAnsi="Times New Roman"/>
          <w:b w:val="0"/>
          <w:i w:val="0"/>
          <w:color w:val="000000"/>
          <w:sz w:val="23"/>
        </w:rPr>
        <w:t>) y destino relacional.</w:t>
      </w:r>
    </w:p>
    <w:p>
      <w:pPr>
        <w:keepNext/>
        <w:spacing w:before="18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2.10.2. Catálogo de Reglas de Calidad y Transformación en SSIS</w:t>
      </w:r>
    </w:p>
    <w:p>
      <w:pPr>
        <w:spacing w:line="360" w:lineRule="auto" w:before="0" w:after="8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Para mitigar riesgos técnicos durante la ingesta de las fuentes (UCI, ENAHO y TUNI), se establecen formalmente las siguientes reglas de calidad implementadas en el proyecto:</w:t>
      </w:r>
    </w:p>
    <w:p>
      <w:pPr>
        <w:keepNext/>
        <w:spacing w:before="160" w:after="20"/>
        <w:ind w:firstLine="0"/>
      </w:pPr>
      <w:r>
        <w:rPr>
          <w:rFonts w:ascii="Times New Roman" w:hAnsi="Times New Roman"/>
          <w:b/>
          <w:sz w:val="22"/>
        </w:rPr>
        <w:t>Tabla 13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Matriz de datos y especificación analítica 13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N°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Regla de Calidad de Datos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Problema de Origen Detectado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Transformación y Tratamiento en SSIS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000000"/>
              <w:bottom w:val="single" w:sz="6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Artefacto Afectado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RC-01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Estandarización de Codificación (Code Page)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Fuentes con caracteres especiales (tildes y ñ) codificados en UTF-8 o Windows-1252.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Configurar </w:t>
            </w:r>
            <w:r>
              <w:rPr>
                <w:rFonts w:ascii="Consolas" w:hAnsi="Consolas"/>
                <w:color w:val="1E293B"/>
                <w:sz w:val="16"/>
              </w:rPr>
              <w:t>CodePage = 1252 (ANSI - Latino)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en el Flat File Connection Manager de SSIS para evitar truncamientos y errores de metadatos.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Paquetes de ingesta staging en SSIS.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RC-02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Normalización a Escala Vigesimal Oficial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Las notas en el dataset UCI están registradas en escala portuguesa ($0\text{ a }20$ puntos continuos con promedio $10.0$ aprobatorio).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Validar la consistencia con la escala vigesimal peruana ($0\text{ a }20$ reglamentada en UNFV donde la nota mínima aprobatoria es $11$). Derivar campo flag </w:t>
            </w:r>
            <w:r>
              <w:rPr>
                <w:rFonts w:ascii="Consolas" w:hAnsi="Consolas"/>
                <w:color w:val="1E293B"/>
                <w:sz w:val="16"/>
              </w:rPr>
              <w:t>es_aprobado = IF(nota &gt;= 10.5, 1, 0)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Columna calculada en </w:t>
            </w:r>
            <w:r>
              <w:rPr>
                <w:rFonts w:ascii="Consolas" w:hAnsi="Consolas"/>
                <w:color w:val="1E293B"/>
                <w:sz w:val="16"/>
              </w:rPr>
              <w:t>dw.FactProgreso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RC-03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Distinción de Calificaciones Cero vs. Abandono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Estudiantes que abandonaron la asignatura registran nota $0$ pero cero evaluaciones rendidas.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Regla de derivación: Si </w:t>
            </w:r>
            <w:r>
              <w:rPr>
                <w:rFonts w:ascii="Consolas" w:hAnsi="Consolas"/>
                <w:color w:val="1E293B"/>
                <w:sz w:val="16"/>
              </w:rPr>
              <w:t>evaluaciones_rendidas =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y </w:t>
            </w:r>
            <w:r>
              <w:rPr>
                <w:rFonts w:ascii="Consolas" w:hAnsi="Consolas"/>
                <w:color w:val="1E293B"/>
                <w:sz w:val="16"/>
              </w:rPr>
              <w:t>nota =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, tipificar la condición como </w:t>
            </w:r>
            <w:r>
              <w:rPr>
                <w:rFonts w:ascii="Consolas" w:hAnsi="Consolas"/>
                <w:color w:val="1E293B"/>
                <w:sz w:val="16"/>
              </w:rPr>
              <w:t>"No se presentó / Abandono no formal"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para no sesgar el promedio de notas reales.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Transformación de columna derivada en SSIS.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RC-04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Tratamiento de Miembro Desconocido (Inferencia de Nulos)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Datos socioeconómicos o institucionales con valores nulos o claves huérfanas en dimensiones.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Crear obligatoriamente la fila con clave sustituta </w:t>
            </w:r>
            <w:r>
              <w:rPr>
                <w:rFonts w:ascii="Consolas" w:hAnsi="Consolas"/>
                <w:color w:val="1E293B"/>
                <w:sz w:val="16"/>
              </w:rPr>
              <w:t>-1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(o miembro desconocido: </w:t>
            </w:r>
            <w:r>
              <w:rPr>
                <w:rFonts w:ascii="Consolas" w:hAnsi="Consolas"/>
                <w:color w:val="1E293B"/>
                <w:sz w:val="16"/>
              </w:rPr>
              <w:t>"No Especificado" / "Desconocido"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) en cada dimensión para no violar la integridad referencial de las tablas de hechos.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Dimensiones conformadas en </w:t>
            </w:r>
            <w:r>
              <w:rPr>
                <w:rFonts w:ascii="Consolas" w:hAnsi="Consolas"/>
                <w:color w:val="1E293B"/>
                <w:sz w:val="16"/>
              </w:rPr>
              <w:t>dw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RC-05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Gestión de Dimensiones de Cambio Lento (SCD)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Cambios en la situación laboral o estado de beca del alumno entre el ingreso y el primer ciclo.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Implementar </w:t>
            </w: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SCD Tipo 1 (Sobrescribir)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para atributos estáticos y </w:t>
            </w: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SCD Tipo 2 (Versionamiento histórico con fechas de vigencia)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si se requiere registrar la transición de estado socioeconómico.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Componente Slowly Changing Dimension en SSIS.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RC-06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Trazabilidad y Conciliación de Cargas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Pérdida de filas silenciosa por fallos en conversiones de tipos de datos.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Implementar en cada paquete la fórmula de conciliación en </w:t>
            </w:r>
            <w:r>
              <w:rPr>
                <w:rFonts w:ascii="Consolas" w:hAnsi="Consolas"/>
                <w:color w:val="1E293B"/>
                <w:sz w:val="16"/>
              </w:rPr>
              <w:t>audit.Auditoria_Carga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: $$\text{Filas Origen} = \text{Filas Insertadas} + \text{Filas Rechazadas}$$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Tabla de auditoría en SQL Server.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7"/>
        </w:rPr>
        <w:t>Nota. Fuente: Elaboración propia basada en el diseño institucional y analítico del proyecto.</w:t>
      </w:r>
    </w:p>
    <w:p>
      <w:r>
        <w:br w:type="page"/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5"/>
        </w:rPr>
        <w:t>REFERENCIAS BIBLIOGRÁFICAS OFICIALES (FORMATO APA 7ma EDICIÓN)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Fuentes Científicas Internacionales en Idioma Inglés (20%)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Ali, G. M. (2026). An explainable AI framework for multimodal student performance prediction and institutional decision support at PSAU. </w:t>
      </w:r>
      <w:r>
        <w:rPr>
          <w:rFonts w:ascii="Times New Roman" w:hAnsi="Times New Roman"/>
          <w:b w:val="0"/>
          <w:i/>
          <w:color w:val="000000"/>
          <w:sz w:val="22"/>
        </w:rPr>
        <w:t>Decision Science Letters</w:t>
      </w:r>
      <w:r>
        <w:rPr>
          <w:rFonts w:ascii="Times New Roman" w:hAnsi="Times New Roman"/>
          <w:b w:val="0"/>
          <w:i w:val="0"/>
          <w:color w:val="000000"/>
          <w:sz w:val="22"/>
        </w:rPr>
        <w:t>, 15(6), 995–1012. https://doi.org/10.5267/j.dsl.2026.8.010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Almalawi, A., Soh, B., Li, A., Alanazi, A., &amp; Samra, H. (2026). An exploratory feasibility study of adaptive assessment: a multivariate, data-driven approach to formative evaluation. </w:t>
      </w:r>
      <w:r>
        <w:rPr>
          <w:rFonts w:ascii="Times New Roman" w:hAnsi="Times New Roman"/>
          <w:b w:val="0"/>
          <w:i/>
          <w:color w:val="000000"/>
          <w:sz w:val="22"/>
        </w:rPr>
        <w:t>Frontiers in Education</w:t>
      </w:r>
      <w:r>
        <w:rPr>
          <w:rFonts w:ascii="Times New Roman" w:hAnsi="Times New Roman"/>
          <w:b w:val="0"/>
          <w:i w:val="0"/>
          <w:color w:val="000000"/>
          <w:sz w:val="22"/>
        </w:rPr>
        <w:t>, 11, Article 1849701. https://doi.org/10.3389/feduc.2026.1849701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Hidayat, N., Afuan, L., &amp; Jannah, H. R. (2026). Prescriptive Learning Analytics for Student Dropout: Integrating Temporal Velocity and Counterfactual Explanations in Longitudinal Data. </w:t>
      </w:r>
      <w:r>
        <w:rPr>
          <w:rFonts w:ascii="Times New Roman" w:hAnsi="Times New Roman"/>
          <w:b w:val="0"/>
          <w:i/>
          <w:color w:val="000000"/>
          <w:sz w:val="22"/>
        </w:rPr>
        <w:t>Journal of Computing Theories and Applications</w:t>
      </w:r>
      <w:r>
        <w:rPr>
          <w:rFonts w:ascii="Times New Roman" w:hAnsi="Times New Roman"/>
          <w:b w:val="0"/>
          <w:i w:val="0"/>
          <w:color w:val="000000"/>
          <w:sz w:val="22"/>
        </w:rPr>
        <w:t>, 3(1), Article 15920. https://doi.org/10.62411/jcta.15920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Realinho, V., Machado, J., Baptista, L., &amp; Martins, M. V. (2022). Predicting Student Dropout and Academic Success. </w:t>
      </w:r>
      <w:r>
        <w:rPr>
          <w:rFonts w:ascii="Times New Roman" w:hAnsi="Times New Roman"/>
          <w:b w:val="0"/>
          <w:i/>
          <w:color w:val="000000"/>
          <w:sz w:val="22"/>
        </w:rPr>
        <w:t>Data</w:t>
      </w:r>
      <w:r>
        <w:rPr>
          <w:rFonts w:ascii="Times New Roman" w:hAnsi="Times New Roman"/>
          <w:b w:val="0"/>
          <w:i w:val="0"/>
          <w:color w:val="000000"/>
          <w:sz w:val="22"/>
        </w:rPr>
        <w:t>, 7(11), Article 146. https://doi.org/10.3390/data7110146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Fuentes Científicas en Idioma Español (80%)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Aco Tito, A. E., Hancco Condori, B. O., &amp; Pérez Vera, Y. (2023). Análisis comparativo de Técnicas de Machine Learning para la predicción de casos de deserción universitaria. </w:t>
      </w:r>
      <w:r>
        <w:rPr>
          <w:rFonts w:ascii="Times New Roman" w:hAnsi="Times New Roman"/>
          <w:b w:val="0"/>
          <w:i/>
          <w:color w:val="000000"/>
          <w:sz w:val="22"/>
        </w:rPr>
        <w:t>RISTI - Revista Ibérica de Sistemas e Tecnologias de Informação</w:t>
      </w:r>
      <w:r>
        <w:rPr>
          <w:rFonts w:ascii="Times New Roman" w:hAnsi="Times New Roman"/>
          <w:b w:val="0"/>
          <w:i w:val="0"/>
          <w:color w:val="000000"/>
          <w:sz w:val="22"/>
        </w:rPr>
        <w:t>, 51, 84–98. https://doi.org/10.17013/risti.51.84-98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Angulo Quiñonez, A. Á. (2022). La autoestima, su relación con el rendimiento académico y la deserción universitaria. </w:t>
      </w:r>
      <w:r>
        <w:rPr>
          <w:rFonts w:ascii="Times New Roman" w:hAnsi="Times New Roman"/>
          <w:b w:val="0"/>
          <w:i/>
          <w:color w:val="000000"/>
          <w:sz w:val="22"/>
        </w:rPr>
        <w:t>Sapienza: International Journal of Interdisciplinary Studies</w:t>
      </w:r>
      <w:r>
        <w:rPr>
          <w:rFonts w:ascii="Times New Roman" w:hAnsi="Times New Roman"/>
          <w:b w:val="0"/>
          <w:i w:val="0"/>
          <w:color w:val="000000"/>
          <w:sz w:val="22"/>
        </w:rPr>
        <w:t>, 3(6), 514–529. https://doi.org/10.51798/sijis.v3i6.514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Aparicio-Montenegro, P., Esparza Silva, M. R., Huapaya Sotero, A., Garcia-Alvarez, M. Y., &amp; De La Cruz Garcia, A. (2026). Predictive model based on machine learning for the early identification of student dropout in a public university. </w:t>
      </w:r>
      <w:r>
        <w:rPr>
          <w:rFonts w:ascii="Times New Roman" w:hAnsi="Times New Roman"/>
          <w:b w:val="0"/>
          <w:i/>
          <w:color w:val="000000"/>
          <w:sz w:val="22"/>
        </w:rPr>
        <w:t>Proceedings of the 24th LACCEI International Multi-Conference for Engineering, Education, and Technology</w:t>
      </w:r>
      <w:r>
        <w:rPr>
          <w:rFonts w:ascii="Times New Roman" w:hAnsi="Times New Roman"/>
          <w:b w:val="0"/>
          <w:i w:val="0"/>
          <w:color w:val="000000"/>
          <w:sz w:val="22"/>
        </w:rPr>
        <w:t>, 1–10. https://doi.org/10.18687/LACCEI2026.1.1.721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Barrera-Liévano, J. A., Barrera-Liévano, D. C., Beltrán-Virgüez, J. E., &amp; Castillo-Sánchez, M. (2025). Correlación entre variables de deserción universitaria en programas en modalidad a distancia en Colombia. </w:t>
      </w:r>
      <w:r>
        <w:rPr>
          <w:rFonts w:ascii="Times New Roman" w:hAnsi="Times New Roman"/>
          <w:b w:val="0"/>
          <w:i/>
          <w:color w:val="000000"/>
          <w:sz w:val="22"/>
        </w:rPr>
        <w:t>Estudios Pedagógicos</w:t>
      </w:r>
      <w:r>
        <w:rPr>
          <w:rFonts w:ascii="Times New Roman" w:hAnsi="Times New Roman"/>
          <w:b w:val="0"/>
          <w:i w:val="0"/>
          <w:color w:val="000000"/>
          <w:sz w:val="22"/>
        </w:rPr>
        <w:t>, 51(2), 161–175. https://doi.org/10.4067/S0718-07052025000200161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Castro-Martínez, J. A., &amp; Machuca-Téllez, G. (2023). La deserción universitaria en América Latina: una perspectiva ecológica. </w:t>
      </w:r>
      <w:r>
        <w:rPr>
          <w:rFonts w:ascii="Times New Roman" w:hAnsi="Times New Roman"/>
          <w:b w:val="0"/>
          <w:i/>
          <w:color w:val="000000"/>
          <w:sz w:val="22"/>
        </w:rPr>
        <w:t>Estudios Pedagógicos</w:t>
      </w:r>
      <w:r>
        <w:rPr>
          <w:rFonts w:ascii="Times New Roman" w:hAnsi="Times New Roman"/>
          <w:b w:val="0"/>
          <w:i w:val="0"/>
          <w:color w:val="000000"/>
          <w:sz w:val="22"/>
        </w:rPr>
        <w:t>, 49(2), 87–108. https://doi.org/10.4067/S0718-07052023000200087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Contreras-Bravo, L. E., Nieves-Pimiento, N., &amp; Fuentes-Contreras, J. A. (2022). Predicción del Rendimiento Académico a Nivel Universitario Mediante Mecanismos de Machine Learning y Métodos Supervisados. </w:t>
      </w:r>
      <w:r>
        <w:rPr>
          <w:rFonts w:ascii="Times New Roman" w:hAnsi="Times New Roman"/>
          <w:b w:val="0"/>
          <w:i/>
          <w:color w:val="000000"/>
          <w:sz w:val="22"/>
        </w:rPr>
        <w:t>Ingeniería</w:t>
      </w:r>
      <w:r>
        <w:rPr>
          <w:rFonts w:ascii="Times New Roman" w:hAnsi="Times New Roman"/>
          <w:b w:val="0"/>
          <w:i w:val="0"/>
          <w:color w:val="000000"/>
          <w:sz w:val="22"/>
        </w:rPr>
        <w:t>, 27(3), Article e19514. https://doi.org/10.14483/23448393.19514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González, J. A., Carvajal, C. M., Rebolledo, R. A., &amp; González, F. A. (2024). Grado de logro de la competencia digital (GLCD) en relación a la deserción de estudiantes universitarios. </w:t>
      </w:r>
      <w:r>
        <w:rPr>
          <w:rFonts w:ascii="Times New Roman" w:hAnsi="Times New Roman"/>
          <w:b w:val="0"/>
          <w:i/>
          <w:color w:val="000000"/>
          <w:sz w:val="22"/>
        </w:rPr>
        <w:t>Formación Universitaria</w:t>
      </w:r>
      <w:r>
        <w:rPr>
          <w:rFonts w:ascii="Times New Roman" w:hAnsi="Times New Roman"/>
          <w:b w:val="0"/>
          <w:i w:val="0"/>
          <w:color w:val="000000"/>
          <w:sz w:val="22"/>
        </w:rPr>
        <w:t>, 17(3), 153–166. https://doi.org/10.4067/S0718-50062024000300153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Martín-Caro Álamo, E., &amp; Segovia-García, N. (2025). Analítica de Aprendizaje y Retención Estudiantil: un Estudio Longitudinal en Educación Superior Virtual. </w:t>
      </w:r>
      <w:r>
        <w:rPr>
          <w:rFonts w:ascii="Times New Roman" w:hAnsi="Times New Roman"/>
          <w:b w:val="0"/>
          <w:i/>
          <w:color w:val="000000"/>
          <w:sz w:val="22"/>
        </w:rPr>
        <w:t>Revista Fuentes</w:t>
      </w:r>
      <w:r>
        <w:rPr>
          <w:rFonts w:ascii="Times New Roman" w:hAnsi="Times New Roman"/>
          <w:b w:val="0"/>
          <w:i w:val="0"/>
          <w:color w:val="000000"/>
          <w:sz w:val="22"/>
        </w:rPr>
        <w:t>, 27(1), 1–12. https://doi.org/10.12795/revistafuentes.2025.27592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Navarro Peñaranda, J. A., Pérez Castro, J. D., &amp; Rodríguez Rojas, L. A. (2025). Determinants of University Dropout: A Study in the Engineering Faculty of a Public University in Colombia. </w:t>
      </w:r>
      <w:r>
        <w:rPr>
          <w:rFonts w:ascii="Times New Roman" w:hAnsi="Times New Roman"/>
          <w:b w:val="0"/>
          <w:i/>
          <w:color w:val="000000"/>
          <w:sz w:val="22"/>
        </w:rPr>
        <w:t>Proceedings of the 23rd LACCEI International Multi-Conference for Engineering, Education, and Technology</w:t>
      </w:r>
      <w:r>
        <w:rPr>
          <w:rFonts w:ascii="Times New Roman" w:hAnsi="Times New Roman"/>
          <w:b w:val="0"/>
          <w:i w:val="0"/>
          <w:color w:val="000000"/>
          <w:sz w:val="22"/>
        </w:rPr>
        <w:t>, 1–8. https://doi.org/10.18687/LACCEI2025.1.1.2431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Ochoa Cedeño, E. G., Rodríguez Magaña, A., &amp; García Bejar, L. (2024). Implementación y Evaluación del Programa de Mejora Académica en una Universidad Privada del Occidente de México. </w:t>
      </w:r>
      <w:r>
        <w:rPr>
          <w:rFonts w:ascii="Times New Roman" w:hAnsi="Times New Roman"/>
          <w:b w:val="0"/>
          <w:i/>
          <w:color w:val="000000"/>
          <w:sz w:val="22"/>
        </w:rPr>
        <w:t>European Public &amp; Social Innovation Review</w:t>
      </w:r>
      <w:r>
        <w:rPr>
          <w:rFonts w:ascii="Times New Roman" w:hAnsi="Times New Roman"/>
          <w:b w:val="0"/>
          <w:i w:val="0"/>
          <w:color w:val="000000"/>
          <w:sz w:val="22"/>
        </w:rPr>
        <w:t>, 9(1), 45–65. https://doi.org/10.31637/epsir-2024-555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Parra-Sánchez, J. S., Torres Pardo, I. D., &amp; Martínez de Merino, C. Y. (2023). Factores explicativos de la deserción universitaria abordados mediante inteligencia artificial. </w:t>
      </w:r>
      <w:r>
        <w:rPr>
          <w:rFonts w:ascii="Times New Roman" w:hAnsi="Times New Roman"/>
          <w:b w:val="0"/>
          <w:i/>
          <w:color w:val="000000"/>
          <w:sz w:val="22"/>
        </w:rPr>
        <w:t>Revista Electrónica de Investigación Educativa (REDIE)</w:t>
      </w:r>
      <w:r>
        <w:rPr>
          <w:rFonts w:ascii="Times New Roman" w:hAnsi="Times New Roman"/>
          <w:b w:val="0"/>
          <w:i w:val="0"/>
          <w:color w:val="000000"/>
          <w:sz w:val="22"/>
        </w:rPr>
        <w:t>, 25, Article e18. https://doi.org/10.24320/REDIE.2023.25.E18.4455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Romero-Tenorio, J.-M., Riccardi, D., &amp; de Yzaguirre, F. (2026). Teatro del oprimido y sociograma. Acción colectiva contra la deserción universitaria. </w:t>
      </w:r>
      <w:r>
        <w:rPr>
          <w:rFonts w:ascii="Times New Roman" w:hAnsi="Times New Roman"/>
          <w:b w:val="0"/>
          <w:i/>
          <w:color w:val="000000"/>
          <w:sz w:val="22"/>
        </w:rPr>
        <w:t>Revista Iberoamericana de Educación Superior</w:t>
      </w:r>
      <w:r>
        <w:rPr>
          <w:rFonts w:ascii="Times New Roman" w:hAnsi="Times New Roman"/>
          <w:b w:val="0"/>
          <w:i w:val="0"/>
          <w:color w:val="000000"/>
          <w:sz w:val="22"/>
        </w:rPr>
        <w:t>, 17(49), 112–131. https://doi.org/10.22201/iisue.20072872e.2026.49.1985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Salazar Alberto, R. A., Guzman Aquije, E. H., &amp; Lozada Flores, R. M. (2024). Application of artificial intelligence to predict academic performance in order to prevent dropout in high school students: Systematic Literature Review. </w:t>
      </w:r>
      <w:r>
        <w:rPr>
          <w:rFonts w:ascii="Times New Roman" w:hAnsi="Times New Roman"/>
          <w:b w:val="0"/>
          <w:i/>
          <w:color w:val="000000"/>
          <w:sz w:val="22"/>
        </w:rPr>
        <w:t>Proceedings of the 22nd LACCEI International Multi-Conference for Engineering, Education, and Technology</w:t>
      </w:r>
      <w:r>
        <w:rPr>
          <w:rFonts w:ascii="Times New Roman" w:hAnsi="Times New Roman"/>
          <w:b w:val="0"/>
          <w:i w:val="0"/>
          <w:color w:val="000000"/>
          <w:sz w:val="22"/>
        </w:rPr>
        <w:t>, 1–8. https://doi.org/10.18687/LACCEI2024.1.1.1426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Schmidt, B. J. (2023). Factores que influyen en la deserción universitaria: El caso de una universidad estatal chilena. </w:t>
      </w:r>
      <w:r>
        <w:rPr>
          <w:rFonts w:ascii="Times New Roman" w:hAnsi="Times New Roman"/>
          <w:b w:val="0"/>
          <w:i/>
          <w:color w:val="000000"/>
          <w:sz w:val="22"/>
        </w:rPr>
        <w:t>Revista Portuguesa de Educação</w:t>
      </w:r>
      <w:r>
        <w:rPr>
          <w:rFonts w:ascii="Times New Roman" w:hAnsi="Times New Roman"/>
          <w:b w:val="0"/>
          <w:i w:val="0"/>
          <w:color w:val="000000"/>
          <w:sz w:val="22"/>
        </w:rPr>
        <w:t>, 36(1), Article e23002. https://doi.org/10.21814/rpe.23401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Torres, H. V., et al. (2023). Modelo de clasificación para la deserción estudiantil en una universidad pública del Perú. </w:t>
      </w:r>
      <w:r>
        <w:rPr>
          <w:rFonts w:ascii="Times New Roman" w:hAnsi="Times New Roman"/>
          <w:b w:val="0"/>
          <w:i/>
          <w:color w:val="000000"/>
          <w:sz w:val="22"/>
        </w:rPr>
        <w:t>Salud, Ciencia y Tecnología - Serie de Conferencias</w:t>
      </w:r>
      <w:r>
        <w:rPr>
          <w:rFonts w:ascii="Times New Roman" w:hAnsi="Times New Roman"/>
          <w:b w:val="0"/>
          <w:i w:val="0"/>
          <w:color w:val="000000"/>
          <w:sz w:val="22"/>
        </w:rPr>
        <w:t>, 2(2), Article 175. https://doi.org/10.56294/sctconf2023175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Vega Velásquez, M., Bastardo Contreras, X., &amp; Giraldo de López, M. (2025). Factores Socioemocionales y Deserción Universitaria. Análisis correlacional en grupos desertores en los años 2021 y 2022. </w:t>
      </w:r>
      <w:r>
        <w:rPr>
          <w:rFonts w:ascii="Times New Roman" w:hAnsi="Times New Roman"/>
          <w:b w:val="0"/>
          <w:i/>
          <w:color w:val="000000"/>
          <w:sz w:val="22"/>
        </w:rPr>
        <w:t>European Public &amp; Social Innovation Review</w:t>
      </w:r>
      <w:r>
        <w:rPr>
          <w:rFonts w:ascii="Times New Roman" w:hAnsi="Times New Roman"/>
          <w:b w:val="0"/>
          <w:i w:val="0"/>
          <w:color w:val="000000"/>
          <w:sz w:val="22"/>
        </w:rPr>
        <w:t>, 10(1), 1–14. https://doi.org/10.31637/epsir-2025-1173</w:t>
      </w:r>
    </w:p>
    <w:p>
      <w:pPr>
        <w:keepNext/>
        <w:spacing w:before="22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 Obras Clásicas y Fundacionales de la Disciplina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Ackoff, R. L. (1989). From data to wisdom. </w:t>
      </w:r>
      <w:r>
        <w:rPr>
          <w:rFonts w:ascii="Times New Roman" w:hAnsi="Times New Roman"/>
          <w:b w:val="0"/>
          <w:i/>
          <w:color w:val="000000"/>
          <w:sz w:val="22"/>
        </w:rPr>
        <w:t>Journal of Applied Systems Analysis</w:t>
      </w:r>
      <w:r>
        <w:rPr>
          <w:rFonts w:ascii="Times New Roman" w:hAnsi="Times New Roman"/>
          <w:b w:val="0"/>
          <w:i w:val="0"/>
          <w:color w:val="000000"/>
          <w:sz w:val="22"/>
        </w:rPr>
        <w:t>, 16(1), 3–9.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Baker, R. S., &amp; Inventado, P. S. (2014). Educational Data Mining and Learning Analytics. En J. Larusson &amp; B. White (Eds.), </w:t>
      </w:r>
      <w:r>
        <w:rPr>
          <w:rFonts w:ascii="Times New Roman" w:hAnsi="Times New Roman"/>
          <w:b w:val="0"/>
          <w:i/>
          <w:color w:val="000000"/>
          <w:sz w:val="22"/>
        </w:rPr>
        <w:t>Learning Analytics: From Research to Practice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(pp. 61–75). Springer.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Breiman, L. (2001). Random Forests. </w:t>
      </w:r>
      <w:r>
        <w:rPr>
          <w:rFonts w:ascii="Times New Roman" w:hAnsi="Times New Roman"/>
          <w:b w:val="0"/>
          <w:i/>
          <w:color w:val="000000"/>
          <w:sz w:val="22"/>
        </w:rPr>
        <w:t>Machine Learning</w:t>
      </w:r>
      <w:r>
        <w:rPr>
          <w:rFonts w:ascii="Times New Roman" w:hAnsi="Times New Roman"/>
          <w:b w:val="0"/>
          <w:i w:val="0"/>
          <w:color w:val="000000"/>
          <w:sz w:val="22"/>
        </w:rPr>
        <w:t>, 45(1), 5–32. https://doi.org/10.1023/A:1010933404324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Chaudhuri, S., &amp; Dayal, U. (1997). An overview of data warehousing and OLAP technology. </w:t>
      </w:r>
      <w:r>
        <w:rPr>
          <w:rFonts w:ascii="Times New Roman" w:hAnsi="Times New Roman"/>
          <w:b w:val="0"/>
          <w:i/>
          <w:color w:val="000000"/>
          <w:sz w:val="22"/>
        </w:rPr>
        <w:t>ACM SIGMOD Record</w:t>
      </w:r>
      <w:r>
        <w:rPr>
          <w:rFonts w:ascii="Times New Roman" w:hAnsi="Times New Roman"/>
          <w:b w:val="0"/>
          <w:i w:val="0"/>
          <w:color w:val="000000"/>
          <w:sz w:val="22"/>
        </w:rPr>
        <w:t>, 26(1), 65–74. https://doi.org/10.1145/248603.248616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Codd, E. F., Codd, S. B., &amp; Salley, C. T. (1993). </w:t>
      </w:r>
      <w:r>
        <w:rPr>
          <w:rFonts w:ascii="Times New Roman" w:hAnsi="Times New Roman"/>
          <w:b w:val="0"/>
          <w:i/>
          <w:color w:val="000000"/>
          <w:sz w:val="22"/>
        </w:rPr>
        <w:t>Providing OLAP to User-Analysts: An IT Mandate</w:t>
      </w:r>
      <w:r>
        <w:rPr>
          <w:rFonts w:ascii="Times New Roman" w:hAnsi="Times New Roman"/>
          <w:b w:val="0"/>
          <w:i w:val="0"/>
          <w:color w:val="000000"/>
          <w:sz w:val="22"/>
        </w:rPr>
        <w:t>. E. F. Codd &amp; Associates.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Golfarelli, M., &amp; Rizzi, S. (2009). </w:t>
      </w:r>
      <w:r>
        <w:rPr>
          <w:rFonts w:ascii="Times New Roman" w:hAnsi="Times New Roman"/>
          <w:b w:val="0"/>
          <w:i/>
          <w:color w:val="000000"/>
          <w:sz w:val="22"/>
        </w:rPr>
        <w:t>Data Warehouse Design: Modern Principles and Methodologies</w:t>
      </w:r>
      <w:r>
        <w:rPr>
          <w:rFonts w:ascii="Times New Roman" w:hAnsi="Times New Roman"/>
          <w:b w:val="0"/>
          <w:i w:val="0"/>
          <w:color w:val="000000"/>
          <w:sz w:val="22"/>
        </w:rPr>
        <w:t>. McGraw-Hill.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Hosmer, D. W., Lemeshow, S., &amp; Sturdivant, R. X. (2013). </w:t>
      </w:r>
      <w:r>
        <w:rPr>
          <w:rFonts w:ascii="Times New Roman" w:hAnsi="Times New Roman"/>
          <w:b w:val="0"/>
          <w:i/>
          <w:color w:val="000000"/>
          <w:sz w:val="22"/>
        </w:rPr>
        <w:t>Applied Logistic Regression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(3rd ed.). John Wiley &amp; Sons.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Inmon, W. H. (2005). </w:t>
      </w:r>
      <w:r>
        <w:rPr>
          <w:rFonts w:ascii="Times New Roman" w:hAnsi="Times New Roman"/>
          <w:b w:val="0"/>
          <w:i/>
          <w:color w:val="000000"/>
          <w:sz w:val="22"/>
        </w:rPr>
        <w:t>Building the Data Warehouse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(4th ed.). John Wiley &amp; Sons.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Kaplan, R. S., &amp; Norton, D. P. (1996). </w:t>
      </w:r>
      <w:r>
        <w:rPr>
          <w:rFonts w:ascii="Times New Roman" w:hAnsi="Times New Roman"/>
          <w:b w:val="0"/>
          <w:i/>
          <w:color w:val="000000"/>
          <w:sz w:val="22"/>
        </w:rPr>
        <w:t>The Balanced Scorecard: Translating Strategy into Action</w:t>
      </w:r>
      <w:r>
        <w:rPr>
          <w:rFonts w:ascii="Times New Roman" w:hAnsi="Times New Roman"/>
          <w:b w:val="0"/>
          <w:i w:val="0"/>
          <w:color w:val="000000"/>
          <w:sz w:val="22"/>
        </w:rPr>
        <w:t>. Harvard Business School Press.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Kimball, R., &amp; Caserta, J. (2004). </w:t>
      </w:r>
      <w:r>
        <w:rPr>
          <w:rFonts w:ascii="Times New Roman" w:hAnsi="Times New Roman"/>
          <w:b w:val="0"/>
          <w:i/>
          <w:color w:val="000000"/>
          <w:sz w:val="22"/>
        </w:rPr>
        <w:t>The Data Warehouse ETL Toolkit: Practical Techniques for Extracting, Cleaning, Conforming, and Delivering Data</w:t>
      </w:r>
      <w:r>
        <w:rPr>
          <w:rFonts w:ascii="Times New Roman" w:hAnsi="Times New Roman"/>
          <w:b w:val="0"/>
          <w:i w:val="0"/>
          <w:color w:val="000000"/>
          <w:sz w:val="22"/>
        </w:rPr>
        <w:t>. Wiley.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Kimball, R., &amp; Ross, M. (2013). </w:t>
      </w:r>
      <w:r>
        <w:rPr>
          <w:rFonts w:ascii="Times New Roman" w:hAnsi="Times New Roman"/>
          <w:b w:val="0"/>
          <w:i/>
          <w:color w:val="000000"/>
          <w:sz w:val="22"/>
        </w:rPr>
        <w:t>The Data Warehouse Toolkit: The Definitive Guide to Dimensional Modeling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(3rd ed.). Wiley.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Parmenter, D. (2015). </w:t>
      </w:r>
      <w:r>
        <w:rPr>
          <w:rFonts w:ascii="Times New Roman" w:hAnsi="Times New Roman"/>
          <w:b w:val="0"/>
          <w:i/>
          <w:color w:val="000000"/>
          <w:sz w:val="22"/>
        </w:rPr>
        <w:t>Key Performance Indicators: Developing, Implementing, and Using Winning KPIs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(3rd ed.). John Wiley &amp; Sons.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Rowley, J. (2007). The wisdom hierarchy: representations of the DIKW hierarchy. </w:t>
      </w:r>
      <w:r>
        <w:rPr>
          <w:rFonts w:ascii="Times New Roman" w:hAnsi="Times New Roman"/>
          <w:b w:val="0"/>
          <w:i/>
          <w:color w:val="000000"/>
          <w:sz w:val="22"/>
        </w:rPr>
        <w:t>Journal of Information Science</w:t>
      </w:r>
      <w:r>
        <w:rPr>
          <w:rFonts w:ascii="Times New Roman" w:hAnsi="Times New Roman"/>
          <w:b w:val="0"/>
          <w:i w:val="0"/>
          <w:color w:val="000000"/>
          <w:sz w:val="22"/>
        </w:rPr>
        <w:t>, 33(2), 163–180. https://doi.org/10.1177/0165551506070706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Sharda, R., Delen, D., &amp; Turban, E. (2020). </w:t>
      </w:r>
      <w:r>
        <w:rPr>
          <w:rFonts w:ascii="Times New Roman" w:hAnsi="Times New Roman"/>
          <w:b w:val="0"/>
          <w:i/>
          <w:color w:val="000000"/>
          <w:sz w:val="22"/>
        </w:rPr>
        <w:t>Analytics, Data Science, &amp; Artificial Intelligence: Systems for Decision Support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(11th ed.). Pearson.</w:t>
      </w:r>
    </w:p>
    <w:p>
      <w:pPr>
        <w:spacing w:line="276" w:lineRule="auto" w:before="0" w:after="120"/>
        <w:ind w:left="720" w:hanging="7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Siemens, G., &amp; Baker, R. S. (2012). Learning analytics and educational data mining: towards a public conversation. </w:t>
      </w:r>
      <w:r>
        <w:rPr>
          <w:rFonts w:ascii="Times New Roman" w:hAnsi="Times New Roman"/>
          <w:b w:val="0"/>
          <w:i/>
          <w:color w:val="000000"/>
          <w:sz w:val="22"/>
        </w:rPr>
        <w:t>Proceedings of the 2nd International Conference on Learning Analytics and Knowledge (LAK '12)</w:t>
      </w:r>
      <w:r>
        <w:rPr>
          <w:rFonts w:ascii="Times New Roman" w:hAnsi="Times New Roman"/>
          <w:b w:val="0"/>
          <w:i w:val="0"/>
          <w:color w:val="000000"/>
          <w:sz w:val="22"/>
        </w:rPr>
        <w:t>, 252–254. https://doi.org/10.1145/2330601.2330661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