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b/>
          <w:bCs/>
          <w:color w:val="0F766E"/>
          <w:sz w:val="40"/>
          <w:szCs w:val="40"/>
        </w:rPr>
        <w:t xml:space="preserve">The Fibromyalgia Diet Guide</w:t>
      </w:r>
    </w:p>
    <w:p>
      <w:pPr>
        <w:pStyle w:val="Heading2"/>
        <w:spacing w:after="140" w:before="320"/>
      </w:pPr>
      <w:r>
        <w:rPr>
          <w:b/>
          <w:bCs/>
          <w:color w:val="0F766E"/>
          <w:sz w:val="30"/>
          <w:szCs w:val="30"/>
        </w:rPr>
        <w:t xml:space="preserve">A Root Health Condition Guide</w:t>
      </w:r>
    </w:p>
    <w:p>
      <w:pPr>
        <w:spacing w:after="160" w:before="0" w:line="300"/>
      </w:pPr>
      <w:r>
        <w:rPr>
          <w:b/>
          <w:bCs/>
          <w:color w:val="1A2E35"/>
          <w:sz w:val="22"/>
          <w:szCs w:val="22"/>
        </w:rPr>
        <w:t xml:space="preserve">Dr. Adam Seay, DC · Root Health · Garner, NC · roothealthnc.com</w:t>
      </w:r>
    </w:p>
    <w:p>
      <w:pPr>
        <w:pBdr>
          <w:bottom w:val="single" w:color="D8E0E2" w:sz="6"/>
        </w:pBdr>
        <w:spacing w:after="200" w:before="120"/>
      </w:pPr>
      <w:r>
        <w:t xml:space="preserve"/>
      </w:r>
    </w:p>
    <w:p>
      <w:pPr>
        <w:pBdr>
          <w:left w:val="single" w:color="0F766E" w:sz="18" w:space="12"/>
        </w:pBdr>
        <w:shd w:fill="F4F9F9" w:val="clear"/>
        <w:spacing w:after="200" w:before="160" w:line="300"/>
        <w:ind w:left="360"/>
      </w:pPr>
      <w:r>
        <w:rPr>
          <w:color w:val="1A2E35"/>
          <w:sz w:val="22"/>
          <w:szCs w:val="22"/>
        </w:rPr>
        <w:t xml:space="preserve">### Please read this first This guide is educational. It is not medical advice, it does not diagnose anything, and it does not replace your own clinician. No eating pattern described here treats, cures, or reverses fibromyalgia. Food can support how you feel. It is not a substitute for care. </w:t>
      </w:r>
      <w:r>
        <w:rPr>
          <w:b/>
          <w:bCs/>
          <w:color w:val="1A2E35"/>
          <w:sz w:val="22"/>
          <w:szCs w:val="22"/>
        </w:rPr>
        <w:t xml:space="preserve">Talk with your prescriber or a registered dietitian before making major dietary changes</w:t>
      </w:r>
      <w:r>
        <w:rPr>
          <w:color w:val="1A2E35"/>
          <w:sz w:val="22"/>
          <w:szCs w:val="22"/>
        </w:rPr>
        <w:t xml:space="preserve">, particularly if you have diabetes or take medication that lowers blood sugar, take a blood thinner (vitamin K intake matters), have kidney or liver disease, are pregnant or nursing, have celiac disease, or have any history of an eating disorder. Restrictive eating is not a neutral intervention. </w:t>
      </w:r>
      <w:r>
        <w:rPr>
          <w:b/>
          <w:bCs/>
          <w:color w:val="1A2E35"/>
          <w:sz w:val="22"/>
          <w:szCs w:val="22"/>
        </w:rPr>
        <w:t xml:space="preserve">If you have not been tested for celiac disease, do not remove gluten before testing.</w:t>
      </w:r>
      <w:r>
        <w:rPr>
          <w:color w:val="1A2E35"/>
          <w:sz w:val="22"/>
          <w:szCs w:val="22"/>
        </w:rPr>
        <w:t xml:space="preserve"> Going gluten-free first can make celiac testing come back falsely normal, and celiac disease is a real diagnosis with real consequences that you want identified properly. Unexplained weight loss, difficulty swallowing, blood in the stool, persistent vomiting, or nighttime symptoms that wake you are not diet-experiment territory. They need a clinician.</w:t>
      </w:r>
    </w:p>
    <w:p>
      <w:pPr>
        <w:pBdr>
          <w:bottom w:val="single" w:color="D8E0E2" w:sz="6"/>
        </w:pBdr>
        <w:spacing w:after="200" w:before="120"/>
      </w:pPr>
      <w:r>
        <w:t xml:space="preserve"/>
      </w:r>
    </w:p>
    <w:p>
      <w:pPr>
        <w:pStyle w:val="Heading2"/>
        <w:spacing w:after="140" w:before="320"/>
      </w:pPr>
      <w:r>
        <w:rPr>
          <w:b/>
          <w:bCs/>
          <w:color w:val="0F766E"/>
          <w:sz w:val="30"/>
          <w:szCs w:val="30"/>
        </w:rPr>
        <w:t xml:space="preserve">What you are actually working toward</w:t>
      </w:r>
    </w:p>
    <w:p>
      <w:pPr>
        <w:spacing w:after="160" w:before="0" w:line="300"/>
      </w:pPr>
      <w:r>
        <w:rPr>
          <w:color w:val="1A2E35"/>
          <w:sz w:val="22"/>
          <w:szCs w:val="22"/>
        </w:rPr>
        <w:t xml:space="preserve">Not a "clean eating" identity. Not a moral scorecard about food. Something much more specific and much more useful:</w:t>
      </w:r>
    </w:p>
    <w:p>
      <w:pPr>
        <w:spacing w:after="160" w:before="0" w:line="300"/>
      </w:pPr>
      <w:r>
        <w:rPr>
          <w:color w:val="1A2E35"/>
          <w:sz w:val="22"/>
          <w:szCs w:val="22"/>
        </w:rPr>
        <w:t xml:space="preserve">Steadier energy across the afternoon instead of a wall at two o'clock. Fewer of the nights where your gut keeps you awake and then your pain is worse the next day. A body that is less reactive to ordinary meals. Fewer flare days in a month than you had before.</w:t>
      </w:r>
    </w:p>
    <w:p>
      <w:pPr>
        <w:spacing w:after="160" w:before="0" w:line="300"/>
      </w:pPr>
      <w:r>
        <w:rPr>
          <w:color w:val="1A2E35"/>
          <w:sz w:val="22"/>
          <w:szCs w:val="22"/>
        </w:rPr>
        <w:t xml:space="preserve">Food will not do this alone. It also will not do nothing.</w:t>
      </w:r>
    </w:p>
    <w:p>
      <w:pPr>
        <w:pStyle w:val="Heading2"/>
        <w:spacing w:after="140" w:before="320"/>
      </w:pPr>
      <w:r>
        <w:rPr>
          <w:b/>
          <w:bCs/>
          <w:color w:val="0F766E"/>
          <w:sz w:val="30"/>
          <w:szCs w:val="30"/>
        </w:rPr>
        <w:t xml:space="preserve">What the evidence actually shows</w:t>
      </w:r>
    </w:p>
    <w:p>
      <w:pPr>
        <w:spacing w:after="160" w:before="0" w:line="300"/>
      </w:pPr>
      <w:r>
        <w:rPr>
          <w:color w:val="1A2E35"/>
          <w:sz w:val="22"/>
          <w:szCs w:val="22"/>
        </w:rPr>
        <w:t xml:space="preserve">I want to be honest with you here, because most fibromyalgia diet content is not.</w:t>
      </w:r>
    </w:p>
    <w:p>
      <w:pPr>
        <w:spacing w:after="160" w:before="0" w:line="300"/>
      </w:pPr>
      <w:r>
        <w:rPr>
          <w:color w:val="1A2E35"/>
          <w:sz w:val="22"/>
          <w:szCs w:val="22"/>
        </w:rPr>
        <w:t xml:space="preserve">There is no proven fibromyalgia diet. A systematic review and best-evidence synthesis of 22 studies covering 17 different nutritional interventions found signals for several approaches, including vegan eating and low FODMAP eating, and concluded that the study quality was frequently poor, the heterogeneity wide, the samples small, and the bias high, leaving insufficient evidence to recommend any one nutritional intervention for fibromyalgia (PMID 32878326). A second systematic review of seven clinical trials reached a similar place: pain and function improved in five of seven studies, and the statistical quality was poor enough that firm conclusions were not possible (PMID 30735059).</w:t>
      </w:r>
    </w:p>
    <w:p>
      <w:pPr>
        <w:spacing w:after="160" w:before="0" w:line="300"/>
      </w:pPr>
      <w:r>
        <w:rPr>
          <w:color w:val="1A2E35"/>
          <w:sz w:val="22"/>
          <w:szCs w:val="22"/>
        </w:rPr>
        <w:t xml:space="preserve">So what is the point of a diet guide?</w:t>
      </w:r>
    </w:p>
    <w:p>
      <w:pPr>
        <w:spacing w:after="160" w:before="0" w:line="300"/>
      </w:pPr>
      <w:r>
        <w:rPr>
          <w:color w:val="1A2E35"/>
          <w:sz w:val="22"/>
          <w:szCs w:val="22"/>
        </w:rPr>
        <w:t xml:space="preserve">Two things the reviews also show. First, the direction of effect across these small studies is mostly favorable, and the interventions themselves are low risk compared with most alternatives. Second, several of the mechanisms that food touches are genuinely part of the fibromyalgia picture: gut symptoms, sleep, body weight, blood sugar stability, and the composition of the gut microbiome (PMID 38279728).</w:t>
      </w:r>
    </w:p>
    <w:p>
      <w:pPr>
        <w:spacing w:after="160" w:before="0" w:line="300"/>
      </w:pPr>
      <w:r>
        <w:rPr>
          <w:color w:val="1A2E35"/>
          <w:sz w:val="22"/>
          <w:szCs w:val="22"/>
        </w:rPr>
        <w:t xml:space="preserve">That is what makes food worth your attention. Not because it is a cure, but because it is a lever you control every day, at low risk, with a reasonable chance of a modest gain.</w:t>
      </w:r>
    </w:p>
    <w:p>
      <w:pPr>
        <w:spacing w:after="160" w:before="0" w:line="300"/>
      </w:pPr>
      <w:r>
        <w:rPr>
          <w:color w:val="1A2E35"/>
          <w:sz w:val="22"/>
          <w:szCs w:val="22"/>
        </w:rPr>
        <w:t xml:space="preserve">Here is how I want you to hold it: </w:t>
      </w:r>
      <w:r>
        <w:rPr>
          <w:b/>
          <w:bCs/>
          <w:color w:val="1A2E35"/>
          <w:sz w:val="22"/>
          <w:szCs w:val="22"/>
        </w:rPr>
        <w:t xml:space="preserve">eating well is the foundation, and the specific experiments sit on top of it.</w:t>
      </w:r>
      <w:r>
        <w:rPr>
          <w:color w:val="1A2E35"/>
          <w:sz w:val="22"/>
          <w:szCs w:val="22"/>
        </w:rPr>
        <w:t xml:space="preserve"> Do not start with the experiments.</w:t>
      </w:r>
    </w:p>
    <w:p>
      <w:pPr>
        <w:pBdr>
          <w:bottom w:val="single" w:color="D8E0E2" w:sz="6"/>
        </w:pBdr>
        <w:spacing w:after="200" w:before="120"/>
      </w:pPr>
      <w:r>
        <w:t xml:space="preserve"/>
      </w:r>
    </w:p>
    <w:p>
      <w:pPr>
        <w:pStyle w:val="Heading2"/>
        <w:spacing w:after="140" w:before="320"/>
      </w:pPr>
      <w:r>
        <w:rPr>
          <w:b/>
          <w:bCs/>
          <w:color w:val="0F766E"/>
          <w:sz w:val="30"/>
          <w:szCs w:val="30"/>
        </w:rPr>
        <w:t xml:space="preserve">Part one: the foundation</w:t>
      </w:r>
    </w:p>
    <w:p>
      <w:pPr>
        <w:spacing w:after="160" w:before="0" w:line="300"/>
      </w:pPr>
      <w:r>
        <w:rPr>
          <w:color w:val="1A2E35"/>
          <w:sz w:val="22"/>
          <w:szCs w:val="22"/>
        </w:rPr>
        <w:t xml:space="preserve">If you do nothing else in this guide, do this part. It is the most supported and the least restrictive, and it is the base every other section assumes.</w:t>
      </w:r>
    </w:p>
    <w:p>
      <w:pPr>
        <w:pStyle w:val="Heading3"/>
        <w:spacing w:after="120" w:before="240"/>
      </w:pPr>
      <w:r>
        <w:rPr>
          <w:b/>
          <w:bCs/>
          <w:color w:val="1A2E35"/>
          <w:sz w:val="24"/>
          <w:szCs w:val="24"/>
        </w:rPr>
        <w:t xml:space="preserve">The pattern, described plainly</w:t>
      </w:r>
    </w:p>
    <w:p>
      <w:pPr>
        <w:spacing w:after="160" w:before="0" w:line="300"/>
      </w:pPr>
      <w:r>
        <w:rPr>
          <w:color w:val="1A2E35"/>
          <w:sz w:val="22"/>
          <w:szCs w:val="22"/>
        </w:rPr>
        <w:t xml:space="preserve">A Mediterranean-style, mostly whole-food pattern. In practice:</w:t>
      </w:r>
    </w:p>
    <w:p>
      <w:pPr>
        <w:pStyle w:val="ListParagraph"/>
        <w:numPr>
          <w:ilvl w:val="0"/>
          <w:numId w:val="1"/>
        </w:numPr>
        <w:spacing w:after="100" w:before="0" w:line="300"/>
      </w:pPr>
      <w:r>
        <w:rPr>
          <w:b/>
          <w:bCs/>
          <w:color w:val="1A2E35"/>
          <w:sz w:val="22"/>
          <w:szCs w:val="22"/>
        </w:rPr>
        <w:t xml:space="preserve">Vegetables and fruit at most meals.</w:t>
      </w:r>
      <w:r>
        <w:rPr>
          <w:color w:val="1A2E35"/>
          <w:sz w:val="22"/>
          <w:szCs w:val="22"/>
        </w:rPr>
        <w:t xml:space="preserve"> Aim for color variety across a week rather than</w:t>
      </w:r>
    </w:p>
    <w:p>
      <w:pPr>
        <w:spacing w:after="160" w:before="0" w:line="300"/>
      </w:pPr>
      <w:r>
        <w:rPr>
          <w:color w:val="1A2E35"/>
          <w:sz w:val="22"/>
          <w:szCs w:val="22"/>
        </w:rPr>
        <w:t xml:space="preserve">perfection in a day.</w:t>
      </w:r>
    </w:p>
    <w:p>
      <w:pPr>
        <w:pStyle w:val="ListParagraph"/>
        <w:numPr>
          <w:ilvl w:val="0"/>
          <w:numId w:val="1"/>
        </w:numPr>
        <w:spacing w:after="100" w:before="0" w:line="300"/>
      </w:pPr>
      <w:r>
        <w:rPr>
          <w:b/>
          <w:bCs/>
          <w:color w:val="1A2E35"/>
          <w:sz w:val="22"/>
          <w:szCs w:val="22"/>
        </w:rPr>
        <w:t xml:space="preserve">Olive oil as your main fat.</w:t>
      </w:r>
      <w:r>
        <w:rPr>
          <w:color w:val="1A2E35"/>
          <w:sz w:val="22"/>
          <w:szCs w:val="22"/>
        </w:rPr>
        <w:t xml:space="preserve"> In a preliminary randomized study, women with fibromyalgia who</w:t>
      </w:r>
    </w:p>
    <w:p>
      <w:pPr>
        <w:spacing w:after="160" w:before="0" w:line="300"/>
      </w:pPr>
      <w:r>
        <w:rPr>
          <w:color w:val="1A2E35"/>
          <w:sz w:val="22"/>
          <w:szCs w:val="22"/>
        </w:rPr>
        <w:t xml:space="preserve">consumed extra virgin olive oil daily for three weeks showed improvements in markers of oxidative stress along with Fibromyalgia Impact Questionnaire and mental health summary scores compared with a refined olive oil group (PMID 27443526). Small study, short duration, but an easy and pleasant change to make.</w:t>
      </w:r>
    </w:p>
    <w:p>
      <w:pPr>
        <w:pStyle w:val="ListParagraph"/>
        <w:numPr>
          <w:ilvl w:val="0"/>
          <w:numId w:val="1"/>
        </w:numPr>
        <w:spacing w:after="100" w:before="0" w:line="300"/>
      </w:pPr>
      <w:r>
        <w:rPr>
          <w:b/>
          <w:bCs/>
          <w:color w:val="1A2E35"/>
          <w:sz w:val="22"/>
          <w:szCs w:val="22"/>
        </w:rPr>
        <w:t xml:space="preserve">Fish two or three times a week</w:t>
      </w:r>
      <w:r>
        <w:rPr>
          <w:color w:val="1A2E35"/>
          <w:sz w:val="22"/>
          <w:szCs w:val="22"/>
        </w:rPr>
        <w:t xml:space="preserve">, especially oily fish (salmon, sardines, mackerel, trout).</w:t>
      </w:r>
    </w:p>
    <w:p>
      <w:pPr>
        <w:pStyle w:val="ListParagraph"/>
        <w:numPr>
          <w:ilvl w:val="0"/>
          <w:numId w:val="1"/>
        </w:numPr>
        <w:spacing w:after="100" w:before="0" w:line="300"/>
      </w:pPr>
      <w:r>
        <w:rPr>
          <w:b/>
          <w:bCs/>
          <w:color w:val="1A2E35"/>
          <w:sz w:val="22"/>
          <w:szCs w:val="22"/>
        </w:rPr>
        <w:t xml:space="preserve">Legumes, nuts, and seeds</w:t>
      </w:r>
      <w:r>
        <w:rPr>
          <w:color w:val="1A2E35"/>
          <w:sz w:val="22"/>
          <w:szCs w:val="22"/>
        </w:rPr>
        <w:t xml:space="preserve"> as regular protein and fiber sources, adjusted if you are also</w:t>
      </w:r>
    </w:p>
    <w:p>
      <w:pPr>
        <w:spacing w:after="160" w:before="0" w:line="300"/>
      </w:pPr>
      <w:r>
        <w:rPr>
          <w:color w:val="1A2E35"/>
          <w:sz w:val="22"/>
          <w:szCs w:val="22"/>
        </w:rPr>
        <w:t xml:space="preserve">doing the FODMAP work below.</w:t>
      </w:r>
    </w:p>
    <w:p>
      <w:pPr>
        <w:pStyle w:val="ListParagraph"/>
        <w:numPr>
          <w:ilvl w:val="0"/>
          <w:numId w:val="1"/>
        </w:numPr>
        <w:spacing w:after="100" w:before="0" w:line="300"/>
      </w:pPr>
      <w:r>
        <w:rPr>
          <w:b/>
          <w:bCs/>
          <w:color w:val="1A2E35"/>
          <w:sz w:val="22"/>
          <w:szCs w:val="22"/>
        </w:rPr>
        <w:t xml:space="preserve">Whole grains</w:t>
      </w:r>
      <w:r>
        <w:rPr>
          <w:color w:val="1A2E35"/>
          <w:sz w:val="22"/>
          <w:szCs w:val="22"/>
        </w:rPr>
        <w:t xml:space="preserve"> in reasonable portions if you tolerate them.</w:t>
      </w:r>
    </w:p>
    <w:p>
      <w:pPr>
        <w:pStyle w:val="ListParagraph"/>
        <w:numPr>
          <w:ilvl w:val="0"/>
          <w:numId w:val="1"/>
        </w:numPr>
        <w:spacing w:after="100" w:before="0" w:line="300"/>
      </w:pPr>
      <w:r>
        <w:rPr>
          <w:b/>
          <w:bCs/>
          <w:color w:val="1A2E35"/>
          <w:sz w:val="22"/>
          <w:szCs w:val="22"/>
        </w:rPr>
        <w:t xml:space="preserve">Poultry and eggs</w:t>
      </w:r>
      <w:r>
        <w:rPr>
          <w:color w:val="1A2E35"/>
          <w:sz w:val="22"/>
          <w:szCs w:val="22"/>
        </w:rPr>
        <w:t xml:space="preserve"> in moderation, red meat less often.</w:t>
      </w:r>
    </w:p>
    <w:p>
      <w:pPr>
        <w:pStyle w:val="ListParagraph"/>
        <w:numPr>
          <w:ilvl w:val="0"/>
          <w:numId w:val="1"/>
        </w:numPr>
        <w:spacing w:after="100" w:before="0" w:line="300"/>
      </w:pPr>
      <w:r>
        <w:rPr>
          <w:b/>
          <w:bCs/>
          <w:color w:val="1A2E35"/>
          <w:sz w:val="22"/>
          <w:szCs w:val="22"/>
        </w:rPr>
        <w:t xml:space="preserve">Much less ultra-processed food.</w:t>
      </w:r>
      <w:r>
        <w:rPr>
          <w:color w:val="1A2E35"/>
          <w:sz w:val="22"/>
          <w:szCs w:val="22"/>
        </w:rPr>
        <w:t xml:space="preserve"> More on that in a moment.</w:t>
      </w:r>
    </w:p>
    <w:p>
      <w:pPr>
        <w:pStyle w:val="Heading3"/>
        <w:spacing w:after="120" w:before="240"/>
      </w:pPr>
      <w:r>
        <w:rPr>
          <w:b/>
          <w:bCs/>
          <w:color w:val="1A2E35"/>
          <w:sz w:val="24"/>
          <w:szCs w:val="24"/>
        </w:rPr>
        <w:t xml:space="preserve">Why this pattern and not another</w:t>
      </w:r>
    </w:p>
    <w:p>
      <w:pPr>
        <w:spacing w:after="160" w:before="0" w:line="300"/>
      </w:pPr>
      <w:r>
        <w:rPr>
          <w:color w:val="1A2E35"/>
          <w:sz w:val="22"/>
          <w:szCs w:val="22"/>
        </w:rPr>
        <w:t xml:space="preserve">In a study of 100 outpatients with fibromyalgia, a personalized Mediterranean diet followed for eight weeks was associated with improvement in most fibromyalgia parameters, including disability scores, fatigue, and anxiety, compared with a general balanced diet (PMID 38683449). A systematic review of Mediterranean diet studies in fibromyalgia found that adherence was associated with improvements in widespread pain, fatigue, sleep disturbance, and cognitive symptoms, while describing the likely effect size as low to moderate (PMID 40576703). Broader reviews of chronic pain nutrition arrive at a similar structure: an eating pattern built around anti-inflammatory and antioxidant-rich whole foods rather than any single food or nutrient (PMID 29679994).</w:t>
      </w:r>
    </w:p>
    <w:p>
      <w:pPr>
        <w:pStyle w:val="Heading3"/>
        <w:spacing w:after="120" w:before="240"/>
      </w:pPr>
      <w:r>
        <w:rPr>
          <w:b/>
          <w:bCs/>
          <w:color w:val="1A2E35"/>
          <w:sz w:val="24"/>
          <w:szCs w:val="24"/>
        </w:rPr>
        <w:t xml:space="preserve">The ultra-processed food question</w:t>
      </w:r>
    </w:p>
    <w:p>
      <w:pPr>
        <w:spacing w:after="160" w:before="0" w:line="300"/>
      </w:pPr>
      <w:r>
        <w:rPr>
          <w:color w:val="1A2E35"/>
          <w:sz w:val="22"/>
          <w:szCs w:val="22"/>
        </w:rPr>
        <w:t xml:space="preserve">A case-control study comparing 45 adults with fibromyalgia to 44 healthy controls found that the fibromyalgia group got a significantly higher share of total energy from ultra-processed foods (34.5% versus 26.7%), scored higher on a dietary inflammatory index, and had lower intakes of magnesium, vitamin C, and polyphenols alongside higher saturated fat and refined carbohydrate intake (PMID 41021618).</w:t>
      </w:r>
    </w:p>
    <w:p>
      <w:pPr>
        <w:spacing w:after="160" w:before="0" w:line="300"/>
      </w:pPr>
      <w:r>
        <w:rPr>
          <w:color w:val="1A2E35"/>
          <w:sz w:val="22"/>
          <w:szCs w:val="22"/>
        </w:rPr>
        <w:t xml:space="preserve">Read the study design honestly: this shows an association, not that ultra-processed food caused anyone's fibromyalgia. But the practical takeaway holds up regardless of direction. Packaged food crowds out the nutrients the rest of this guide depends on. If you want one change with the best ratio of benefit to effort, it is cooking more of your own food, even simply.</w:t>
      </w:r>
    </w:p>
    <w:p>
      <w:pPr>
        <w:pStyle w:val="Heading3"/>
        <w:spacing w:after="120" w:before="240"/>
      </w:pPr>
      <w:r>
        <w:rPr>
          <w:b/>
          <w:bCs/>
          <w:color w:val="1A2E35"/>
          <w:sz w:val="24"/>
          <w:szCs w:val="24"/>
        </w:rPr>
        <w:t xml:space="preserve">What "cooking more" can honestly look like</w:t>
      </w:r>
    </w:p>
    <w:p>
      <w:pPr>
        <w:spacing w:after="160" w:before="0" w:line="300"/>
      </w:pPr>
      <w:r>
        <w:rPr>
          <w:color w:val="1A2E35"/>
          <w:sz w:val="22"/>
          <w:szCs w:val="22"/>
        </w:rPr>
        <w:t xml:space="preserve">Fibromyalgia fatigue is real, and a plan that assumes you have energy to cook from scratch nightly will fail. So:</w:t>
      </w:r>
    </w:p>
    <w:p>
      <w:pPr>
        <w:pStyle w:val="ListParagraph"/>
        <w:numPr>
          <w:ilvl w:val="0"/>
          <w:numId w:val="1"/>
        </w:numPr>
        <w:spacing w:after="100" w:before="0" w:line="300"/>
      </w:pPr>
      <w:r>
        <w:rPr>
          <w:color w:val="1A2E35"/>
          <w:sz w:val="22"/>
          <w:szCs w:val="22"/>
        </w:rPr>
        <w:t xml:space="preserve">Frozen vegetables and frozen fish count. They are nutritionally fine and they do not spoil while</w:t>
      </w:r>
    </w:p>
    <w:p>
      <w:pPr>
        <w:spacing w:after="160" w:before="0" w:line="300"/>
      </w:pPr>
      <w:r>
        <w:rPr>
          <w:color w:val="1A2E35"/>
          <w:sz w:val="22"/>
          <w:szCs w:val="22"/>
        </w:rPr>
        <w:t xml:space="preserve">you are having a bad week.</w:t>
      </w:r>
    </w:p>
    <w:p>
      <w:pPr>
        <w:pStyle w:val="ListParagraph"/>
        <w:numPr>
          <w:ilvl w:val="0"/>
          <w:numId w:val="1"/>
        </w:numPr>
        <w:spacing w:after="100" w:before="0" w:line="300"/>
      </w:pPr>
      <w:r>
        <w:rPr>
          <w:color w:val="1A2E35"/>
          <w:sz w:val="22"/>
          <w:szCs w:val="22"/>
        </w:rPr>
        <w:t xml:space="preserve">Canned beans, canned fish, and pre-cooked grains count.</w:t>
      </w:r>
    </w:p>
    <w:p>
      <w:pPr>
        <w:pStyle w:val="ListParagraph"/>
        <w:numPr>
          <w:ilvl w:val="0"/>
          <w:numId w:val="1"/>
        </w:numPr>
        <w:spacing w:after="100" w:before="0" w:line="300"/>
      </w:pPr>
      <w:r>
        <w:rPr>
          <w:color w:val="1A2E35"/>
          <w:sz w:val="22"/>
          <w:szCs w:val="22"/>
        </w:rPr>
        <w:t xml:space="preserve">Bagged salad counts.</w:t>
      </w:r>
    </w:p>
    <w:p>
      <w:pPr>
        <w:pStyle w:val="ListParagraph"/>
        <w:numPr>
          <w:ilvl w:val="0"/>
          <w:numId w:val="1"/>
        </w:numPr>
        <w:spacing w:after="100" w:before="0" w:line="300"/>
      </w:pPr>
      <w:r>
        <w:rPr>
          <w:color w:val="1A2E35"/>
          <w:sz w:val="22"/>
          <w:szCs w:val="22"/>
        </w:rPr>
        <w:t xml:space="preserve">One cooking session on a better day can cover several worse days.</w:t>
      </w:r>
    </w:p>
    <w:p>
      <w:pPr>
        <w:pStyle w:val="ListParagraph"/>
        <w:numPr>
          <w:ilvl w:val="0"/>
          <w:numId w:val="1"/>
        </w:numPr>
        <w:spacing w:after="100" w:before="0" w:line="300"/>
      </w:pPr>
      <w:r>
        <w:rPr>
          <w:color w:val="1A2E35"/>
          <w:sz w:val="22"/>
          <w:szCs w:val="22"/>
        </w:rPr>
        <w:t xml:space="preserve">A repeated meal you can make without thinking is worth more than variety you never execute.</w:t>
      </w:r>
    </w:p>
    <w:p>
      <w:pPr>
        <w:pBdr>
          <w:bottom w:val="single" w:color="D8E0E2" w:sz="6"/>
        </w:pBdr>
        <w:spacing w:after="200" w:before="120"/>
      </w:pPr>
      <w:r>
        <w:t xml:space="preserve"/>
      </w:r>
    </w:p>
    <w:p>
      <w:pPr>
        <w:pStyle w:val="Heading2"/>
        <w:spacing w:after="140" w:before="320"/>
      </w:pPr>
      <w:r>
        <w:rPr>
          <w:b/>
          <w:bCs/>
          <w:color w:val="0F766E"/>
          <w:sz w:val="30"/>
          <w:szCs w:val="30"/>
        </w:rPr>
        <w:t xml:space="preserve">Part two: the gut connection</w:t>
      </w:r>
    </w:p>
    <w:p>
      <w:pPr>
        <w:spacing w:after="160" w:before="0" w:line="300"/>
      </w:pPr>
      <w:r>
        <w:rPr>
          <w:color w:val="1A2E35"/>
          <w:sz w:val="22"/>
          <w:szCs w:val="22"/>
        </w:rPr>
        <w:t xml:space="preserve">This is where fibromyalgia diet work gets genuinely interesting, because the gut overlap is not speculation.</w:t>
      </w:r>
    </w:p>
    <w:p>
      <w:pPr>
        <w:spacing w:after="160" w:before="0" w:line="300"/>
      </w:pPr>
      <w:r>
        <w:rPr>
          <w:color w:val="1A2E35"/>
          <w:sz w:val="22"/>
          <w:szCs w:val="22"/>
        </w:rPr>
        <w:t xml:space="preserve">Irritable bowel syndrome and fibromyalgia overlap substantially, and research has documented this in both directions for decades (PMID 10606316). More recently, work comparing the gut bacterial communities of people with fibromyalgia against matched controls found meaningful differences in composition, with some of those differences correlating with symptom severity (PMID 31219947). A 2025 study went further, showing in mice that transferring gut bacteria from people with fibromyalgia produced pain and immune changes that paralleled the human condition, and that replacing that microbiota substantially reduced the pain response (PMID 40280127).</w:t>
      </w:r>
    </w:p>
    <w:p>
      <w:pPr>
        <w:spacing w:after="160" w:before="0" w:line="300"/>
      </w:pPr>
      <w:r>
        <w:rPr>
          <w:color w:val="1A2E35"/>
          <w:sz w:val="22"/>
          <w:szCs w:val="22"/>
        </w:rPr>
        <w:t xml:space="preserve">Two cautions about that last one. It is largely animal work, and the human component was a small open-label trial. Fecal transplantation is a research procedure, not something to attempt or to purchase. What it does justify is taking the gut seriously as part of your fibromyalgia picture rather than treating it as a separate complaint.</w:t>
      </w:r>
    </w:p>
    <w:p>
      <w:pPr>
        <w:pStyle w:val="Heading3"/>
        <w:spacing w:after="120" w:before="240"/>
      </w:pPr>
      <w:r>
        <w:rPr>
          <w:b/>
          <w:bCs/>
          <w:color w:val="1A2E35"/>
          <w:sz w:val="24"/>
          <w:szCs w:val="24"/>
        </w:rPr>
        <w:t xml:space="preserve">The low FODMAP approach</w:t>
      </w:r>
    </w:p>
    <w:p>
      <w:pPr>
        <w:spacing w:after="160" w:before="0" w:line="300"/>
      </w:pPr>
      <w:r>
        <w:rPr>
          <w:color w:val="1A2E35"/>
          <w:sz w:val="22"/>
          <w:szCs w:val="22"/>
        </w:rPr>
        <w:t xml:space="preserve">FODMAPs are fermentable carbohydrates found in foods including wheat, onion, garlic, certain fruits, some legumes, milk products containing lactose, and sugar alcohols. In sensitive people they draw water into the bowel and ferment rapidly, producing gas, bloating, pain, and irregular stools.</w:t>
      </w:r>
    </w:p>
    <w:p>
      <w:pPr>
        <w:spacing w:after="160" w:before="0" w:line="300"/>
      </w:pPr>
      <w:r>
        <w:rPr>
          <w:b/>
          <w:bCs/>
          <w:color w:val="1A2E35"/>
          <w:sz w:val="22"/>
          <w:szCs w:val="22"/>
        </w:rPr>
        <w:t xml:space="preserve">What the fibromyalgia research shows.</w:t>
      </w:r>
      <w:r>
        <w:rPr>
          <w:color w:val="1A2E35"/>
          <w:sz w:val="22"/>
          <w:szCs w:val="22"/>
        </w:rPr>
        <w:t xml:space="preserve"> In a four-week study of 38 women with fibromyalgia, a low FODMAP diet was followed by significant declines in pain scores, fibromyalgia severity, and fibromyalgia impact scores, along with roughly a 50% reduction in irritable bowel severity scores, and the improvement in fibromyalgia impact correlated with the improvement in gastrointestinal scores (PMID 28850525). In a randomized controlled trial, 46 women with fibromyalgia were assigned either to general healthy eating advice or to an anti-inflammatory diet excluding gluten, dairy, added sugar, and ultra-processed foods, with low FODMAP restriction in the first month. After three months, the intervention group improved significantly more on fibromyalgia impact, pain, pain inventory, fatigue, gastrointestinal symptoms, sleep quality, and quality of life. Notably, blood inflammatory markers did not change in either group (PMID 36091254).</w:t>
      </w:r>
    </w:p>
    <w:p>
      <w:pPr>
        <w:spacing w:after="160" w:before="0" w:line="300"/>
      </w:pPr>
      <w:r>
        <w:rPr>
          <w:color w:val="1A2E35"/>
          <w:sz w:val="22"/>
          <w:szCs w:val="22"/>
        </w:rPr>
        <w:t xml:space="preserve">A long-term follow-up study of irritable bowel patients with and without fibromyalgia found that an adapted, personalized version of the low FODMAP diet was sustainable over several years and that having fibromyalgia did not reduce adherence or the relief obtained (PMID 39408383).</w:t>
      </w:r>
    </w:p>
    <w:p>
      <w:pPr>
        <w:spacing w:after="160" w:before="0" w:line="300"/>
      </w:pPr>
      <w:r>
        <w:rPr>
          <w:b/>
          <w:bCs/>
          <w:color w:val="1A2E35"/>
          <w:sz w:val="22"/>
          <w:szCs w:val="22"/>
        </w:rPr>
        <w:t xml:space="preserve">How to do it without wrecking your diet.</w:t>
      </w:r>
      <w:r>
        <w:rPr>
          <w:color w:val="1A2E35"/>
          <w:sz w:val="22"/>
          <w:szCs w:val="22"/>
        </w:rPr>
        <w:t xml:space="preserve"> The single biggest mistake is treating low FODMAP as a permanent way of eating. It is not, and staying in the restriction phase long term narrows your nutrition and can hurt your gut bacteria.</w:t>
      </w:r>
    </w:p>
    <w:p>
      <w:pPr>
        <w:pStyle w:val="ListParagraph"/>
        <w:numPr>
          <w:ilvl w:val="0"/>
          <w:numId w:val="2"/>
        </w:numPr>
        <w:spacing w:after="100" w:before="0" w:line="300"/>
      </w:pPr>
      <w:r>
        <w:rPr>
          <w:b/>
          <w:bCs/>
          <w:color w:val="1A2E35"/>
          <w:sz w:val="22"/>
          <w:szCs w:val="22"/>
        </w:rPr>
        <w:t xml:space="preserve">Restrict for two to six weeks.</w:t>
      </w:r>
      <w:r>
        <w:rPr>
          <w:color w:val="1A2E35"/>
          <w:sz w:val="22"/>
          <w:szCs w:val="22"/>
        </w:rPr>
        <w:t xml:space="preserve"> Not longer.</w:t>
      </w:r>
    </w:p>
    <w:p>
      <w:pPr>
        <w:pStyle w:val="ListParagraph"/>
        <w:numPr>
          <w:ilvl w:val="0"/>
          <w:numId w:val="2"/>
        </w:numPr>
        <w:spacing w:after="100" w:before="0" w:line="300"/>
      </w:pPr>
      <w:r>
        <w:rPr>
          <w:b/>
          <w:bCs/>
          <w:color w:val="1A2E35"/>
          <w:sz w:val="22"/>
          <w:szCs w:val="22"/>
        </w:rPr>
        <w:t xml:space="preserve">Reintroduce systematically.</w:t>
      </w:r>
      <w:r>
        <w:rPr>
          <w:color w:val="1A2E35"/>
          <w:sz w:val="22"/>
          <w:szCs w:val="22"/>
        </w:rPr>
        <w:t xml:space="preserve"> One FODMAP group at a time, over two or three days, with a rest</w:t>
      </w:r>
    </w:p>
    <w:p>
      <w:pPr>
        <w:spacing w:after="160" w:before="0" w:line="300"/>
      </w:pPr>
      <w:r>
        <w:rPr>
          <w:color w:val="1A2E35"/>
          <w:sz w:val="22"/>
          <w:szCs w:val="22"/>
        </w:rPr>
        <w:t xml:space="preserve">period before the next one.</w:t>
      </w:r>
    </w:p>
    <w:p>
      <w:pPr>
        <w:pStyle w:val="ListParagraph"/>
        <w:numPr>
          <w:ilvl w:val="0"/>
          <w:numId w:val="2"/>
        </w:numPr>
        <w:spacing w:after="100" w:before="0" w:line="300"/>
      </w:pPr>
      <w:r>
        <w:rPr>
          <w:b/>
          <w:bCs/>
          <w:color w:val="1A2E35"/>
          <w:sz w:val="22"/>
          <w:szCs w:val="22"/>
        </w:rPr>
        <w:t xml:space="preserve">Personalize and expand.</w:t>
      </w:r>
      <w:r>
        <w:rPr>
          <w:color w:val="1A2E35"/>
          <w:sz w:val="22"/>
          <w:szCs w:val="22"/>
        </w:rPr>
        <w:t xml:space="preserve"> You end at a personalized diet that includes everything you</w:t>
      </w:r>
    </w:p>
    <w:p>
      <w:pPr>
        <w:spacing w:after="160" w:before="0" w:line="300"/>
      </w:pPr>
      <w:r>
        <w:rPr>
          <w:color w:val="1A2E35"/>
          <w:sz w:val="22"/>
          <w:szCs w:val="22"/>
        </w:rPr>
        <w:t xml:space="preserve">tolerate, which is usually far more than the restriction phase suggests (PMID 39408383).</w:t>
      </w:r>
    </w:p>
    <w:p>
      <w:pPr>
        <w:spacing w:after="160" w:before="0" w:line="300"/>
      </w:pPr>
      <w:r>
        <w:rPr>
          <w:color w:val="1A2E35"/>
          <w:sz w:val="22"/>
          <w:szCs w:val="22"/>
        </w:rPr>
        <w:t xml:space="preserve">Do this with a dietitian if you can. It is the part of this guide where professional help most clearly pays for itself.</w:t>
      </w:r>
    </w:p>
    <w:p>
      <w:pPr>
        <w:pBdr>
          <w:bottom w:val="single" w:color="D8E0E2" w:sz="6"/>
        </w:pBdr>
        <w:spacing w:after="200" w:before="120"/>
      </w:pPr>
      <w:r>
        <w:t xml:space="preserve"/>
      </w:r>
    </w:p>
    <w:p>
      <w:pPr>
        <w:pStyle w:val="Heading2"/>
        <w:spacing w:after="140" w:before="320"/>
      </w:pPr>
      <w:r>
        <w:rPr>
          <w:b/>
          <w:bCs/>
          <w:color w:val="0F766E"/>
          <w:sz w:val="30"/>
          <w:szCs w:val="30"/>
        </w:rPr>
        <w:t xml:space="preserve">Part three: the specific experiments</w:t>
      </w:r>
    </w:p>
    <w:p>
      <w:pPr>
        <w:spacing w:after="160" w:before="0" w:line="300"/>
      </w:pPr>
      <w:r>
        <w:rPr>
          <w:color w:val="1A2E35"/>
          <w:sz w:val="22"/>
          <w:szCs w:val="22"/>
        </w:rPr>
        <w:t xml:space="preserve">These are worth testing, one at a time, if the foundation is in place and you still have symptoms you want to chase. Each gets an honest strength-of-evidence label.</w:t>
      </w:r>
    </w:p>
    <w:p>
      <w:pPr>
        <w:pStyle w:val="Heading3"/>
        <w:spacing w:after="120" w:before="240"/>
      </w:pPr>
      <w:r>
        <w:rPr>
          <w:b/>
          <w:bCs/>
          <w:color w:val="1A2E35"/>
          <w:sz w:val="24"/>
          <w:szCs w:val="24"/>
        </w:rPr>
        <w:t xml:space="preserve">Gluten</w:t>
      </w:r>
    </w:p>
    <w:p>
      <w:pPr>
        <w:spacing w:after="160" w:before="0" w:line="300"/>
      </w:pPr>
      <w:r>
        <w:rPr>
          <w:b/>
          <w:bCs/>
          <w:color w:val="1A2E35"/>
          <w:sz w:val="22"/>
          <w:szCs w:val="22"/>
        </w:rPr>
        <w:t xml:space="preserve">Evidence strength: mixed, with the better-designed study being the more cautious one.</w:t>
      </w:r>
    </w:p>
    <w:p>
      <w:pPr>
        <w:spacing w:after="160" w:before="0" w:line="300"/>
      </w:pPr>
      <w:r>
        <w:rPr>
          <w:color w:val="1A2E35"/>
          <w:sz w:val="22"/>
          <w:szCs w:val="22"/>
        </w:rPr>
        <w:t xml:space="preserve">In a prospective study of 142 patients with fibromyalgia, the prevalence of non-celiac gluten sensitivity was 5.6%, which is similar to estimates in the general population. About 21.8% of patients responded to a six-week gluten-free diet through improvement in intestinal symptoms, and notably 74.2% of those responders did not meet the formal diagnostic criteria for gluten sensitivity. The authors concluded that a gluten-free diet cannot be systematically recommended for everyone with fibromyalgia, though it may be worth evaluating in those with diarrhea or specific intestinal findings (PMID 35900154).</w:t>
      </w:r>
    </w:p>
    <w:p>
      <w:pPr>
        <w:spacing w:after="160" w:before="0" w:line="300"/>
      </w:pPr>
      <w:r>
        <w:rPr>
          <w:color w:val="1A2E35"/>
          <w:sz w:val="22"/>
          <w:szCs w:val="22"/>
        </w:rPr>
        <w:t xml:space="preserve">A smaller study of 20 postmenopausal women with fibromyalgia and no celiac disease used a more telling design: six months gluten-free, then three months of unrestricted gluten, then gluten-free again. Widespread Pain Index and Symptom Severity scores improved on the gluten-free phases, rose again when gluten was reintroduced, and improved again on the rechallenge (PMID 37721353). That on-off-on pattern is more persuasive than a single before-and-after, and the study is still only 20 people with no control group.</w:t>
      </w:r>
    </w:p>
    <w:p>
      <w:pPr>
        <w:spacing w:after="160" w:before="0" w:line="300"/>
      </w:pPr>
      <w:r>
        <w:rPr>
          <w:b/>
          <w:bCs/>
          <w:color w:val="1A2E35"/>
          <w:sz w:val="22"/>
          <w:szCs w:val="22"/>
        </w:rPr>
        <w:t xml:space="preserve">How I read this.</w:t>
      </w:r>
      <w:r>
        <w:rPr>
          <w:color w:val="1A2E35"/>
          <w:sz w:val="22"/>
          <w:szCs w:val="22"/>
        </w:rPr>
        <w:t xml:space="preserve"> Gluten is not a universal fibromyalgia trigger, and the honest prior is that most people will not respond. It is a reasonable personal experiment if you have gut symptoms. </w:t>
      </w:r>
      <w:r>
        <w:rPr>
          <w:b/>
          <w:bCs/>
          <w:color w:val="1A2E35"/>
          <w:sz w:val="22"/>
          <w:szCs w:val="22"/>
        </w:rPr>
        <w:t xml:space="preserve">Get celiac testing before you remove it</w:t>
      </w:r>
      <w:r>
        <w:rPr>
          <w:color w:val="1A2E35"/>
          <w:sz w:val="22"/>
          <w:szCs w:val="22"/>
        </w:rPr>
        <w:t xml:space="preserve">, because testing after removal is unreliable.</w:t>
      </w:r>
    </w:p>
    <w:p>
      <w:pPr>
        <w:spacing w:after="160" w:before="0" w:line="300"/>
      </w:pPr>
      <w:r>
        <w:rPr>
          <w:b/>
          <w:bCs/>
          <w:color w:val="1A2E35"/>
          <w:sz w:val="22"/>
          <w:szCs w:val="22"/>
        </w:rPr>
        <w:t xml:space="preserve">How to test it fairly.</w:t>
      </w:r>
      <w:r>
        <w:rPr>
          <w:color w:val="1A2E35"/>
          <w:sz w:val="22"/>
          <w:szCs w:val="22"/>
        </w:rPr>
        <w:t xml:space="preserve"> Strict removal for four to six weeks, then a deliberate reintroduction for three days while you score symptoms daily. If nothing changes in either direction, you have your answer, and you get bread back.</w:t>
      </w:r>
    </w:p>
    <w:p>
      <w:pPr>
        <w:pStyle w:val="Heading3"/>
        <w:spacing w:after="120" w:before="240"/>
      </w:pPr>
      <w:r>
        <w:rPr>
          <w:b/>
          <w:bCs/>
          <w:color w:val="1A2E35"/>
          <w:sz w:val="24"/>
          <w:szCs w:val="24"/>
        </w:rPr>
        <w:t xml:space="preserve">Glutamate and aspartame</w:t>
      </w:r>
    </w:p>
    <w:p>
      <w:pPr>
        <w:spacing w:after="160" w:before="0" w:line="300"/>
      </w:pPr>
      <w:r>
        <w:rPr>
          <w:b/>
          <w:bCs/>
          <w:color w:val="1A2E35"/>
          <w:sz w:val="22"/>
          <w:szCs w:val="22"/>
        </w:rPr>
        <w:t xml:space="preserve">Evidence strength: genuinely conflicting, and I am going to show you both sides.</w:t>
      </w:r>
    </w:p>
    <w:p>
      <w:pPr>
        <w:spacing w:after="160" w:before="0" w:line="300"/>
      </w:pPr>
      <w:r>
        <w:rPr>
          <w:color w:val="1A2E35"/>
          <w:sz w:val="22"/>
          <w:szCs w:val="22"/>
        </w:rPr>
        <w:t xml:space="preserve">In one randomized study, 57 patients with fibromyalgia who also had irritable bowel syndrome followed a four-week diet excluding added glutamate and aspartame. Of the 37 who completed it, 84% reported that more than 30% of their symptoms resolved. Those responders were then randomized to a double-blind crossover challenge with monosodium glutamate or placebo. The glutamate challenge produced a significant return of symptoms and a worsening of fibromyalgia severity scores compared with placebo (PMID 22766026).</w:t>
      </w:r>
    </w:p>
    <w:p>
      <w:pPr>
        <w:spacing w:after="160" w:before="0" w:line="300"/>
      </w:pPr>
      <w:r>
        <w:rPr>
          <w:color w:val="1A2E35"/>
          <w:sz w:val="22"/>
          <w:szCs w:val="22"/>
        </w:rPr>
        <w:t xml:space="preserve">A different randomized study of 72 women with fibromyalgia compared eliminating monosodium glutamate and aspartame against a waiting list and found no significant difference in reported pain (PMID 23765203).</w:t>
      </w:r>
    </w:p>
    <w:p>
      <w:pPr>
        <w:spacing w:after="160" w:before="0" w:line="300"/>
      </w:pPr>
      <w:r>
        <w:rPr>
          <w:b/>
          <w:bCs/>
          <w:color w:val="1A2E35"/>
          <w:sz w:val="22"/>
          <w:szCs w:val="22"/>
        </w:rPr>
        <w:t xml:space="preserve">How I read this.</w:t>
      </w:r>
      <w:r>
        <w:rPr>
          <w:color w:val="1A2E35"/>
          <w:sz w:val="22"/>
          <w:szCs w:val="22"/>
        </w:rPr>
        <w:t xml:space="preserve"> The two studies asked slightly different questions. The first tested people who had already responded to elimination, which is a much more targeted question than the second study's broad elimination in everyone. Together they suggest that dietary glutamate may matter for a subset and probably not for the average person.</w:t>
      </w:r>
    </w:p>
    <w:p>
      <w:pPr>
        <w:spacing w:after="160" w:before="0" w:line="300"/>
      </w:pPr>
      <w:r>
        <w:rPr>
          <w:b/>
          <w:bCs/>
          <w:color w:val="1A2E35"/>
          <w:sz w:val="22"/>
          <w:szCs w:val="22"/>
        </w:rPr>
        <w:t xml:space="preserve">Practical version.</w:t>
      </w:r>
      <w:r>
        <w:rPr>
          <w:color w:val="1A2E35"/>
          <w:sz w:val="22"/>
          <w:szCs w:val="22"/>
        </w:rPr>
        <w:t xml:space="preserve"> This one rides along with reducing ultra-processed food, since that is where added glutamate and aspartame mostly live. You do not need a separate elimination protocol to test it. If you cut ultra-processed foods for four weeks and feel better, glutamate may be part of the reason, and a deliberate reintroduction will tell you more.</w:t>
      </w:r>
    </w:p>
    <w:p>
      <w:pPr>
        <w:pStyle w:val="Heading3"/>
        <w:spacing w:after="120" w:before="240"/>
      </w:pPr>
      <w:r>
        <w:rPr>
          <w:b/>
          <w:bCs/>
          <w:color w:val="1A2E35"/>
          <w:sz w:val="24"/>
          <w:szCs w:val="24"/>
        </w:rPr>
        <w:t xml:space="preserve">Weight, if it applies to you</w:t>
      </w:r>
    </w:p>
    <w:p>
      <w:pPr>
        <w:spacing w:after="160" w:before="0" w:line="300"/>
      </w:pPr>
      <w:r>
        <w:rPr>
          <w:b/>
          <w:bCs/>
          <w:color w:val="1A2E35"/>
          <w:sz w:val="22"/>
          <w:szCs w:val="22"/>
        </w:rPr>
        <w:t xml:space="preserve">Evidence strength: consistent association, limited intervention data.</w:t>
      </w:r>
    </w:p>
    <w:p>
      <w:pPr>
        <w:spacing w:after="160" w:before="0" w:line="300"/>
      </w:pPr>
      <w:r>
        <w:rPr>
          <w:color w:val="1A2E35"/>
          <w:sz w:val="22"/>
          <w:szCs w:val="22"/>
        </w:rPr>
        <w:t xml:space="preserve">A systematic review and meta-analysis of 41 articles found that obesity is common in fibromyalgia, with a pooled prevalence of 35.7%, and that it is associated with worse scores across pain severity, tender point count, stiffness, fatigue, physical functioning, sleep, cognition, and quality of life, although the correlations were weak on average and overall study quality was low. The review found only preliminary evidence that weight loss improves fibromyalgia symptoms (PMID 33676126). A pilot study of a 20-week behavioral weight loss program in overweight and obese women with fibromyalgia found an average loss of about 9 pounds, and that weight loss predicted reductions in fibromyalgia symptoms, pain interference, and quality of life measures (PMID 16253617).</w:t>
      </w:r>
    </w:p>
    <w:p>
      <w:pPr>
        <w:spacing w:after="160" w:before="0" w:line="300"/>
      </w:pPr>
      <w:r>
        <w:rPr>
          <w:b/>
          <w:bCs/>
          <w:color w:val="1A2E35"/>
          <w:sz w:val="22"/>
          <w:szCs w:val="22"/>
        </w:rPr>
        <w:t xml:space="preserve">How I want you to use this.</w:t>
      </w:r>
      <w:r>
        <w:rPr>
          <w:color w:val="1A2E35"/>
          <w:sz w:val="22"/>
          <w:szCs w:val="22"/>
        </w:rPr>
        <w:t xml:space="preserve"> Carefully. Weight is not a character issue and it is not the cause of your fibromyalgia. If your weight has been climbing and it bothers you, the data suggest modest loss may help symptoms modestly. If chasing weight loss makes you eat less than your body needs, worsens your relationship with food, or crowds out the foundation work, it is doing you more harm than good. Skip this section entirely if you have any history of disordered eating.</w:t>
      </w:r>
    </w:p>
    <w:p>
      <w:pPr>
        <w:pBdr>
          <w:bottom w:val="single" w:color="D8E0E2" w:sz="6"/>
        </w:pBdr>
        <w:spacing w:after="200" w:before="120"/>
      </w:pPr>
      <w:r>
        <w:t xml:space="preserve"/>
      </w:r>
    </w:p>
    <w:p>
      <w:pPr>
        <w:pStyle w:val="Heading2"/>
        <w:spacing w:after="140" w:before="320"/>
      </w:pPr>
      <w:r>
        <w:rPr>
          <w:b/>
          <w:bCs/>
          <w:color w:val="0F766E"/>
          <w:sz w:val="30"/>
          <w:szCs w:val="30"/>
        </w:rPr>
        <w:t xml:space="preserve">Part four: blood sugar and the afternoon crash</w:t>
      </w:r>
    </w:p>
    <w:p>
      <w:pPr>
        <w:spacing w:after="160" w:before="0" w:line="300"/>
      </w:pPr>
      <w:r>
        <w:rPr>
          <w:color w:val="1A2E35"/>
          <w:sz w:val="22"/>
          <w:szCs w:val="22"/>
        </w:rPr>
        <w:t xml:space="preserve">You know the pattern. A carbohydrate-heavy lunch, a hard energy drop by mid-afternoon, a craving for something sweet, and pain that feels louder by evening.</w:t>
      </w:r>
    </w:p>
    <w:p>
      <w:pPr>
        <w:spacing w:after="160" w:before="0" w:line="300"/>
      </w:pPr>
      <w:r>
        <w:rPr>
          <w:color w:val="1A2E35"/>
          <w:sz w:val="22"/>
          <w:szCs w:val="22"/>
        </w:rPr>
        <w:t xml:space="preserve">There is a research thread here worth knowing about. An observational study found an association between insulin resistance markers and fibromyalgia compared with control populations, independent of age, gender, and ethnicity, and the authors were explicit that this is a small cross-sectional study generating a hypothesis that needs randomized trials (PMID 33740353).</w:t>
      </w:r>
    </w:p>
    <w:p>
      <w:pPr>
        <w:spacing w:after="160" w:before="0" w:line="300"/>
      </w:pPr>
      <w:r>
        <w:rPr>
          <w:b/>
          <w:bCs/>
          <w:color w:val="1A2E35"/>
          <w:sz w:val="22"/>
          <w:szCs w:val="22"/>
        </w:rPr>
        <w:t xml:space="preserve">Important honesty note.</w:t>
      </w:r>
      <w:r>
        <w:rPr>
          <w:color w:val="1A2E35"/>
          <w:sz w:val="22"/>
          <w:szCs w:val="22"/>
        </w:rPr>
        <w:t xml:space="preserve"> An earlier and more widely publicized paper by the same lead researcher, suggesting insulin resistance might be the cause of fibromyalgia, was later retracted by the journal. I am telling you that because you will encounter that claim online presented as established fact, and because a guide that cites the retracted version to sound impressive is not a guide you should trust with anything else. Insulin resistance is an interesting association in fibromyalgia. It is not a proven cause.</w:t>
      </w:r>
    </w:p>
    <w:p>
      <w:pPr>
        <w:spacing w:after="160" w:before="0" w:line="300"/>
      </w:pPr>
      <w:r>
        <w:rPr>
          <w:b/>
          <w:bCs/>
          <w:color w:val="1A2E35"/>
          <w:sz w:val="22"/>
          <w:szCs w:val="22"/>
        </w:rPr>
        <w:t xml:space="preserve">What to actually do</w:t>
      </w:r>
      <w:r>
        <w:rPr>
          <w:color w:val="1A2E35"/>
          <w:sz w:val="22"/>
          <w:szCs w:val="22"/>
        </w:rPr>
        <w:t xml:space="preserve">, which is sensible regardless of how that research resolves:</w:t>
      </w:r>
    </w:p>
    <w:p>
      <w:pPr>
        <w:pStyle w:val="ListParagraph"/>
        <w:numPr>
          <w:ilvl w:val="0"/>
          <w:numId w:val="1"/>
        </w:numPr>
        <w:spacing w:after="100" w:before="0" w:line="300"/>
      </w:pPr>
      <w:r>
        <w:rPr>
          <w:b/>
          <w:bCs/>
          <w:color w:val="1A2E35"/>
          <w:sz w:val="22"/>
          <w:szCs w:val="22"/>
        </w:rPr>
        <w:t xml:space="preserve">Anchor every meal with protein.</w:t>
      </w:r>
      <w:r>
        <w:rPr>
          <w:color w:val="1A2E35"/>
          <w:sz w:val="22"/>
          <w:szCs w:val="22"/>
        </w:rPr>
        <w:t xml:space="preserve"> Eggs, fish, poultry, beans, tofu, plain yogurt if you</w:t>
      </w:r>
    </w:p>
    <w:p>
      <w:pPr>
        <w:spacing w:after="160" w:before="0" w:line="300"/>
      </w:pPr>
      <w:r>
        <w:rPr>
          <w:color w:val="1A2E35"/>
          <w:sz w:val="22"/>
          <w:szCs w:val="22"/>
        </w:rPr>
        <w:t xml:space="preserve">tolerate dairy. This is the highest-yield habit in this section.</w:t>
      </w:r>
    </w:p>
    <w:p>
      <w:pPr>
        <w:pStyle w:val="ListParagraph"/>
        <w:numPr>
          <w:ilvl w:val="0"/>
          <w:numId w:val="1"/>
        </w:numPr>
        <w:spacing w:after="100" w:before="0" w:line="300"/>
      </w:pPr>
      <w:r>
        <w:rPr>
          <w:b/>
          <w:bCs/>
          <w:color w:val="1A2E35"/>
          <w:sz w:val="22"/>
          <w:szCs w:val="22"/>
        </w:rPr>
        <w:t xml:space="preserve">Pair carbohydrates with fat, fiber, or protein.</w:t>
      </w:r>
      <w:r>
        <w:rPr>
          <w:color w:val="1A2E35"/>
          <w:sz w:val="22"/>
          <w:szCs w:val="22"/>
        </w:rPr>
        <w:t xml:space="preserve"> Fruit with nuts rather than fruit alone.</w:t>
      </w:r>
    </w:p>
    <w:p>
      <w:pPr>
        <w:pStyle w:val="ListParagraph"/>
        <w:numPr>
          <w:ilvl w:val="0"/>
          <w:numId w:val="1"/>
        </w:numPr>
        <w:spacing w:after="100" w:before="0" w:line="300"/>
      </w:pPr>
      <w:r>
        <w:rPr>
          <w:b/>
          <w:bCs/>
          <w:color w:val="1A2E35"/>
          <w:sz w:val="22"/>
          <w:szCs w:val="22"/>
        </w:rPr>
        <w:t xml:space="preserve">Stop drinking your sugar.</w:t>
      </w:r>
      <w:r>
        <w:rPr>
          <w:color w:val="1A2E35"/>
          <w:sz w:val="22"/>
          <w:szCs w:val="22"/>
        </w:rPr>
        <w:t xml:space="preserve"> Sweetened drinks produce the sharpest swings.</w:t>
      </w:r>
    </w:p>
    <w:p>
      <w:pPr>
        <w:pStyle w:val="ListParagraph"/>
        <w:numPr>
          <w:ilvl w:val="0"/>
          <w:numId w:val="1"/>
        </w:numPr>
        <w:spacing w:after="100" w:before="0" w:line="300"/>
      </w:pPr>
      <w:r>
        <w:rPr>
          <w:b/>
          <w:bCs/>
          <w:color w:val="1A2E35"/>
          <w:sz w:val="22"/>
          <w:szCs w:val="22"/>
        </w:rPr>
        <w:t xml:space="preserve">Eat on a rhythm.</w:t>
      </w:r>
      <w:r>
        <w:rPr>
          <w:color w:val="1A2E35"/>
          <w:sz w:val="22"/>
          <w:szCs w:val="22"/>
        </w:rPr>
        <w:t xml:space="preserve"> Long gaps followed by a large meal produce the biggest crashes. Three meals,</w:t>
      </w:r>
    </w:p>
    <w:p>
      <w:pPr>
        <w:spacing w:after="160" w:before="0" w:line="300"/>
      </w:pPr>
      <w:r>
        <w:rPr>
          <w:color w:val="1A2E35"/>
          <w:sz w:val="22"/>
          <w:szCs w:val="22"/>
        </w:rPr>
        <w:t xml:space="preserve">or three meals with a small snack, beats skipping and then overcorrecting.</w:t>
      </w:r>
    </w:p>
    <w:p>
      <w:pPr>
        <w:pStyle w:val="ListParagraph"/>
        <w:numPr>
          <w:ilvl w:val="0"/>
          <w:numId w:val="1"/>
        </w:numPr>
        <w:spacing w:after="100" w:before="0" w:line="300"/>
      </w:pPr>
      <w:r>
        <w:rPr>
          <w:b/>
          <w:bCs/>
          <w:color w:val="1A2E35"/>
          <w:sz w:val="22"/>
          <w:szCs w:val="22"/>
        </w:rPr>
        <w:t xml:space="preserve">Do not skip breakfast to save calories</w:t>
      </w:r>
      <w:r>
        <w:rPr>
          <w:color w:val="1A2E35"/>
          <w:sz w:val="22"/>
          <w:szCs w:val="22"/>
        </w:rPr>
        <w:t xml:space="preserve"> if your afternoons fall apart. That trade is usually a</w:t>
      </w:r>
    </w:p>
    <w:p>
      <w:pPr>
        <w:spacing w:after="160" w:before="0" w:line="300"/>
      </w:pPr>
      <w:r>
        <w:rPr>
          <w:color w:val="1A2E35"/>
          <w:sz w:val="22"/>
          <w:szCs w:val="22"/>
        </w:rPr>
        <w:t xml:space="preserve">bad one for symptom stability.</w:t>
      </w:r>
    </w:p>
    <w:p>
      <w:pPr>
        <w:pStyle w:val="ListParagraph"/>
        <w:numPr>
          <w:ilvl w:val="0"/>
          <w:numId w:val="1"/>
        </w:numPr>
        <w:spacing w:after="100" w:before="0" w:line="300"/>
      </w:pPr>
      <w:r>
        <w:rPr>
          <w:b/>
          <w:bCs/>
          <w:color w:val="1A2E35"/>
          <w:sz w:val="22"/>
          <w:szCs w:val="22"/>
        </w:rPr>
        <w:t xml:space="preserve">A short walk after your largest meal</w:t>
      </w:r>
      <w:r>
        <w:rPr>
          <w:color w:val="1A2E35"/>
          <w:sz w:val="22"/>
          <w:szCs w:val="22"/>
        </w:rPr>
        <w:t xml:space="preserve"> helps blunt the post-meal rise, and it doubles as the</w:t>
      </w:r>
    </w:p>
    <w:p>
      <w:pPr>
        <w:spacing w:after="160" w:before="0" w:line="300"/>
      </w:pPr>
      <w:r>
        <w:rPr>
          <w:color w:val="1A2E35"/>
          <w:sz w:val="22"/>
          <w:szCs w:val="22"/>
        </w:rPr>
        <w:t xml:space="preserve">gentle movement that has the best evidence behind it in fibromyalgia overall (PMID 27377815).</w:t>
      </w:r>
    </w:p>
    <w:p>
      <w:pPr>
        <w:pBdr>
          <w:bottom w:val="single" w:color="D8E0E2" w:sz="6"/>
        </w:pBdr>
        <w:spacing w:after="200" w:before="120"/>
      </w:pPr>
      <w:r>
        <w:t xml:space="preserve"/>
      </w:r>
    </w:p>
    <w:p>
      <w:pPr>
        <w:pStyle w:val="Heading2"/>
        <w:spacing w:after="140" w:before="320"/>
      </w:pPr>
      <w:r>
        <w:rPr>
          <w:b/>
          <w:bCs/>
          <w:color w:val="0F766E"/>
          <w:sz w:val="30"/>
          <w:szCs w:val="30"/>
        </w:rPr>
        <w:t xml:space="preserve">Part five: eating for sleep</w:t>
      </w:r>
    </w:p>
    <w:p>
      <w:pPr>
        <w:spacing w:after="160" w:before="0" w:line="300"/>
      </w:pPr>
      <w:r>
        <w:rPr>
          <w:color w:val="1A2E35"/>
          <w:sz w:val="22"/>
          <w:szCs w:val="22"/>
        </w:rPr>
        <w:t xml:space="preserve">Sleep deserves its own section because in fibromyalgia it is not a side issue.</w:t>
      </w:r>
    </w:p>
    <w:p>
      <w:pPr>
        <w:spacing w:after="160" w:before="0" w:line="300"/>
      </w:pPr>
      <w:r>
        <w:rPr>
          <w:color w:val="1A2E35"/>
          <w:sz w:val="22"/>
          <w:szCs w:val="22"/>
        </w:rPr>
        <w:t xml:space="preserve">Sleep and pain run in both directions, and if anything the evidence that poor sleep worsens next-day pain is stronger than the reverse (PMID 24290442). A population study following people with chronic widespread pain over time found that reporting restorative sleep predicted the resolution of that pain, which is a hopeful finding: sleep is not just a symptom you suffer, it is a lever that changes the trajectory (PMID 18842606).</w:t>
      </w:r>
    </w:p>
    <w:p>
      <w:pPr>
        <w:spacing w:after="160" w:before="0" w:line="300"/>
      </w:pPr>
      <w:r>
        <w:rPr>
          <w:color w:val="1A2E35"/>
          <w:sz w:val="22"/>
          <w:szCs w:val="22"/>
        </w:rPr>
        <w:t xml:space="preserve">Food touches sleep in a few practical ways.</w:t>
      </w:r>
    </w:p>
    <w:p>
      <w:pPr>
        <w:spacing w:after="160" w:before="0" w:line="300"/>
      </w:pPr>
      <w:r>
        <w:rPr>
          <w:b/>
          <w:bCs/>
          <w:color w:val="1A2E35"/>
          <w:sz w:val="22"/>
          <w:szCs w:val="22"/>
        </w:rPr>
        <w:t xml:space="preserve">Caffeine.</w:t>
      </w:r>
      <w:r>
        <w:rPr>
          <w:color w:val="1A2E35"/>
          <w:sz w:val="22"/>
          <w:szCs w:val="22"/>
        </w:rPr>
        <w:t xml:space="preserve"> It has a long half-life, and in the afternoon it quietly costs you deep sleep even when you fall asleep fine. A reasonable experiment: no caffeine after noon for two weeks, and score your sleep. If you are drinking a lot, taper rather than quitting abruptly, because withdrawal headaches will muddy the result.</w:t>
      </w:r>
    </w:p>
    <w:p>
      <w:pPr>
        <w:spacing w:after="160" w:before="0" w:line="300"/>
      </w:pPr>
      <w:r>
        <w:rPr>
          <w:b/>
          <w:bCs/>
          <w:color w:val="1A2E35"/>
          <w:sz w:val="22"/>
          <w:szCs w:val="22"/>
        </w:rPr>
        <w:t xml:space="preserve">Alcohol.</w:t>
      </w:r>
      <w:r>
        <w:rPr>
          <w:color w:val="1A2E35"/>
          <w:sz w:val="22"/>
          <w:szCs w:val="22"/>
        </w:rPr>
        <w:t xml:space="preserve"> Here is a finding that surprises people. In a study of 946 patients with fibromyalgia, low and moderate drinkers reported lower symptom severity and better physical quality of life than nondrinkers (PMID 23497427). Read the design before you pour anything: this was self-reported, cross-sectional, and observational, meaning it cannot tell you whether alcohol helped, or whether people who feel better are simply more able to have a social drink. The authors said the reasons were unclear.</w:t>
      </w:r>
    </w:p>
    <w:p>
      <w:pPr>
        <w:spacing w:after="160" w:before="0" w:line="300"/>
      </w:pPr>
      <w:r>
        <w:rPr>
          <w:color w:val="1A2E35"/>
          <w:sz w:val="22"/>
          <w:szCs w:val="22"/>
        </w:rPr>
        <w:t xml:space="preserve">What I would actually tell you: this is not a reason to start drinking, and it is not a recommendation. Alcohol fragments the second half of the night, which is exactly the sleep you need most, and it interacts with many medications used in fibromyalgia, including sedatives, sleep aids, and opioids. If you drink, keep it low and not close to bedtime.</w:t>
      </w:r>
    </w:p>
    <w:p>
      <w:pPr>
        <w:spacing w:after="160" w:before="0" w:line="300"/>
      </w:pPr>
      <w:r>
        <w:rPr>
          <w:b/>
          <w:bCs/>
          <w:color w:val="1A2E35"/>
          <w:sz w:val="22"/>
          <w:szCs w:val="22"/>
        </w:rPr>
        <w:t xml:space="preserve">Evening eating.</w:t>
      </w:r>
      <w:r>
        <w:rPr>
          <w:color w:val="1A2E35"/>
          <w:sz w:val="22"/>
          <w:szCs w:val="22"/>
        </w:rPr>
        <w:t xml:space="preserve"> Large late meals, spicy food, and high-fat meals close to bed worsen reflux and fragment sleep for many people. Try to finish eating two to three hours before bed. If you truly need something, keep it small.</w:t>
      </w:r>
    </w:p>
    <w:p>
      <w:pPr>
        <w:spacing w:after="160" w:before="0" w:line="300"/>
      </w:pPr>
      <w:r>
        <w:rPr>
          <w:b/>
          <w:bCs/>
          <w:color w:val="1A2E35"/>
          <w:sz w:val="22"/>
          <w:szCs w:val="22"/>
        </w:rPr>
        <w:t xml:space="preserve">Overnight blood sugar.</w:t>
      </w:r>
      <w:r>
        <w:rPr>
          <w:color w:val="1A2E35"/>
          <w:sz w:val="22"/>
          <w:szCs w:val="22"/>
        </w:rPr>
        <w:t xml:space="preserve"> Some people wake at three in the morning and cannot get back down. If that is you, a small protein-containing snack in the evening is a harmless experiment worth two weeks of trial.</w:t>
      </w:r>
    </w:p>
    <w:p>
      <w:pPr>
        <w:spacing w:after="160" w:before="0" w:line="300"/>
      </w:pPr>
      <w:r>
        <w:rPr>
          <w:b/>
          <w:bCs/>
          <w:color w:val="1A2E35"/>
          <w:sz w:val="22"/>
          <w:szCs w:val="22"/>
        </w:rPr>
        <w:t xml:space="preserve">Hydration.</w:t>
      </w:r>
      <w:r>
        <w:rPr>
          <w:color w:val="1A2E35"/>
          <w:sz w:val="22"/>
          <w:szCs w:val="22"/>
        </w:rPr>
        <w:t xml:space="preserve"> Aim for pale yellow urine as your simple gauge. Being under-hydrated worsens fatigue, headache, and constipation, all of which you have enough of already. Front-load your fluids earlier in the day so you are not up at night, and if you take a diuretic or have a heart or kidney condition, ask your clinician what target is right for you rather than following a generic number.</w:t>
      </w:r>
    </w:p>
    <w:p>
      <w:pPr>
        <w:pBdr>
          <w:bottom w:val="single" w:color="D8E0E2" w:sz="6"/>
        </w:pBdr>
        <w:spacing w:after="200" w:before="120"/>
      </w:pPr>
      <w:r>
        <w:t xml:space="preserve"/>
      </w:r>
    </w:p>
    <w:p>
      <w:pPr>
        <w:pStyle w:val="Heading2"/>
        <w:spacing w:after="140" w:before="320"/>
      </w:pPr>
      <w:r>
        <w:rPr>
          <w:b/>
          <w:bCs/>
          <w:color w:val="0F766E"/>
          <w:sz w:val="30"/>
          <w:szCs w:val="30"/>
        </w:rPr>
        <w:t xml:space="preserve">Part six: a week you can actually cook</w:t>
      </w:r>
    </w:p>
    <w:p>
      <w:pPr>
        <w:spacing w:after="160" w:before="0" w:line="300"/>
      </w:pPr>
      <w:r>
        <w:rPr>
          <w:color w:val="1A2E35"/>
          <w:sz w:val="22"/>
          <w:szCs w:val="22"/>
        </w:rPr>
        <w:t xml:space="preserve">This is a scaffold, not a prescription. All generic foods, no products. Adjust freely for allergies and preferences, and if you are in a low FODMAP phase, swap onion and garlic for the green tops of scallions and for garlic-infused oil.</w:t>
      </w:r>
    </w:p>
    <w:p>
      <w:pPr>
        <w:spacing w:after="160" w:before="0" w:line="300"/>
      </w:pPr>
      <w:r>
        <w:rPr>
          <w:b/>
          <w:bCs/>
          <w:color w:val="1A2E35"/>
          <w:sz w:val="22"/>
          <w:szCs w:val="22"/>
        </w:rPr>
        <w:t xml:space="preserve">Breakfast, rotate three of these:</w:t>
      </w:r>
    </w:p>
    <w:p>
      <w:pPr>
        <w:pStyle w:val="ListParagraph"/>
        <w:numPr>
          <w:ilvl w:val="0"/>
          <w:numId w:val="1"/>
        </w:numPr>
        <w:spacing w:after="100" w:before="0" w:line="300"/>
      </w:pPr>
      <w:r>
        <w:rPr>
          <w:color w:val="1A2E35"/>
          <w:sz w:val="22"/>
          <w:szCs w:val="22"/>
        </w:rPr>
        <w:t xml:space="preserve">Eggs with sauteed spinach and a slice of whole grain toast, or gluten-free toast if you are</w:t>
      </w:r>
    </w:p>
    <w:p>
      <w:pPr>
        <w:spacing w:after="160" w:before="0" w:line="300"/>
      </w:pPr>
      <w:r>
        <w:rPr>
          <w:color w:val="1A2E35"/>
          <w:sz w:val="22"/>
          <w:szCs w:val="22"/>
        </w:rPr>
        <w:t xml:space="preserve">testing that</w:t>
      </w:r>
    </w:p>
    <w:p>
      <w:pPr>
        <w:pStyle w:val="ListParagraph"/>
        <w:numPr>
          <w:ilvl w:val="0"/>
          <w:numId w:val="1"/>
        </w:numPr>
        <w:spacing w:after="100" w:before="0" w:line="300"/>
      </w:pPr>
      <w:r>
        <w:rPr>
          <w:color w:val="1A2E35"/>
          <w:sz w:val="22"/>
          <w:szCs w:val="22"/>
        </w:rPr>
        <w:t xml:space="preserve">Plain yogurt with berries, walnuts, and ground flaxseed (lactose-free yogurt if dairy bothers</w:t>
      </w:r>
    </w:p>
    <w:p>
      <w:pPr>
        <w:spacing w:after="160" w:before="0" w:line="300"/>
      </w:pPr>
      <w:r>
        <w:rPr>
          <w:color w:val="1A2E35"/>
          <w:sz w:val="22"/>
          <w:szCs w:val="22"/>
        </w:rPr>
        <w:t xml:space="preserve">you)</w:t>
      </w:r>
    </w:p>
    <w:p>
      <w:pPr>
        <w:pStyle w:val="ListParagraph"/>
        <w:numPr>
          <w:ilvl w:val="0"/>
          <w:numId w:val="1"/>
        </w:numPr>
        <w:spacing w:after="100" w:before="0" w:line="300"/>
      </w:pPr>
      <w:r>
        <w:rPr>
          <w:color w:val="1A2E35"/>
          <w:sz w:val="22"/>
          <w:szCs w:val="22"/>
        </w:rPr>
        <w:t xml:space="preserve">Oats cooked with milk of your choice, plus nut butter and blueberries</w:t>
      </w:r>
    </w:p>
    <w:p>
      <w:pPr>
        <w:pStyle w:val="ListParagraph"/>
        <w:numPr>
          <w:ilvl w:val="0"/>
          <w:numId w:val="1"/>
        </w:numPr>
        <w:spacing w:after="100" w:before="0" w:line="300"/>
      </w:pPr>
      <w:r>
        <w:rPr>
          <w:color w:val="1A2E35"/>
          <w:sz w:val="22"/>
          <w:szCs w:val="22"/>
        </w:rPr>
        <w:t xml:space="preserve">Leftover dinner protein with fruit, which is a completely legitimate breakfast</w:t>
      </w:r>
    </w:p>
    <w:p>
      <w:pPr>
        <w:spacing w:after="160" w:before="0" w:line="300"/>
      </w:pPr>
      <w:r>
        <w:rPr>
          <w:b/>
          <w:bCs/>
          <w:color w:val="1A2E35"/>
          <w:sz w:val="22"/>
          <w:szCs w:val="22"/>
        </w:rPr>
        <w:t xml:space="preserve">Lunch, built the same way each time:</w:t>
      </w:r>
      <w:r>
        <w:rPr>
          <w:color w:val="1A2E35"/>
          <w:sz w:val="22"/>
          <w:szCs w:val="22"/>
        </w:rPr>
        <w:t xml:space="preserve"> a protein, a pile of vegetables, a fat, and a modest carbohydrate.</w:t>
      </w:r>
    </w:p>
    <w:p>
      <w:pPr>
        <w:pStyle w:val="ListParagraph"/>
        <w:numPr>
          <w:ilvl w:val="0"/>
          <w:numId w:val="1"/>
        </w:numPr>
        <w:spacing w:after="100" w:before="0" w:line="300"/>
      </w:pPr>
      <w:r>
        <w:rPr>
          <w:color w:val="1A2E35"/>
          <w:sz w:val="22"/>
          <w:szCs w:val="22"/>
        </w:rPr>
        <w:t xml:space="preserve">Canned salmon or chickpeas over bagged greens, olive oil and lemon, with a small potato or rice</w:t>
      </w:r>
    </w:p>
    <w:p>
      <w:pPr>
        <w:pStyle w:val="ListParagraph"/>
        <w:numPr>
          <w:ilvl w:val="0"/>
          <w:numId w:val="1"/>
        </w:numPr>
        <w:spacing w:after="100" w:before="0" w:line="300"/>
      </w:pPr>
      <w:r>
        <w:rPr>
          <w:color w:val="1A2E35"/>
          <w:sz w:val="22"/>
          <w:szCs w:val="22"/>
        </w:rPr>
        <w:t xml:space="preserve">Big salad with grilled chicken, cucumber, tomato, olives, pumpkin seeds, olive oil</w:t>
      </w:r>
    </w:p>
    <w:p>
      <w:pPr>
        <w:pStyle w:val="ListParagraph"/>
        <w:numPr>
          <w:ilvl w:val="0"/>
          <w:numId w:val="1"/>
        </w:numPr>
        <w:spacing w:after="100" w:before="0" w:line="300"/>
      </w:pPr>
      <w:r>
        <w:rPr>
          <w:color w:val="1A2E35"/>
          <w:sz w:val="22"/>
          <w:szCs w:val="22"/>
        </w:rPr>
        <w:t xml:space="preserve">Lentil soup made in a batch, with a side salad</w:t>
      </w:r>
    </w:p>
    <w:p>
      <w:pPr>
        <w:pStyle w:val="ListParagraph"/>
        <w:numPr>
          <w:ilvl w:val="0"/>
          <w:numId w:val="1"/>
        </w:numPr>
        <w:spacing w:after="100" w:before="0" w:line="300"/>
      </w:pPr>
      <w:r>
        <w:rPr>
          <w:color w:val="1A2E35"/>
          <w:sz w:val="22"/>
          <w:szCs w:val="22"/>
        </w:rPr>
        <w:t xml:space="preserve">Rice bowl with tofu or shrimp, shredded carrot, cabbage, sesame, and olive or sesame oil</w:t>
      </w:r>
    </w:p>
    <w:p>
      <w:pPr>
        <w:spacing w:after="160" w:before="0" w:line="300"/>
      </w:pPr>
      <w:r>
        <w:rPr>
          <w:b/>
          <w:bCs/>
          <w:color w:val="1A2E35"/>
          <w:sz w:val="22"/>
          <w:szCs w:val="22"/>
        </w:rPr>
        <w:t xml:space="preserve">Dinner, seven low-effort templates:</w:t>
      </w:r>
    </w:p>
    <w:p>
      <w:pPr>
        <w:pStyle w:val="ListParagraph"/>
        <w:numPr>
          <w:ilvl w:val="0"/>
          <w:numId w:val="2"/>
        </w:numPr>
        <w:spacing w:after="100" w:before="0" w:line="300"/>
      </w:pPr>
      <w:r>
        <w:rPr>
          <w:color w:val="1A2E35"/>
          <w:sz w:val="22"/>
          <w:szCs w:val="22"/>
        </w:rPr>
        <w:t xml:space="preserve">Baked salmon, roasted broccoli, roasted potatoes</w:t>
      </w:r>
    </w:p>
    <w:p>
      <w:pPr>
        <w:pStyle w:val="ListParagraph"/>
        <w:numPr>
          <w:ilvl w:val="0"/>
          <w:numId w:val="2"/>
        </w:numPr>
        <w:spacing w:after="100" w:before="0" w:line="300"/>
      </w:pPr>
      <w:r>
        <w:rPr>
          <w:color w:val="1A2E35"/>
          <w:sz w:val="22"/>
          <w:szCs w:val="22"/>
        </w:rPr>
        <w:t xml:space="preserve">Sheet pan chicken thighs with zucchini, peppers, and olive oil</w:t>
      </w:r>
    </w:p>
    <w:p>
      <w:pPr>
        <w:pStyle w:val="ListParagraph"/>
        <w:numPr>
          <w:ilvl w:val="0"/>
          <w:numId w:val="2"/>
        </w:numPr>
        <w:spacing w:after="100" w:before="0" w:line="300"/>
      </w:pPr>
      <w:r>
        <w:rPr>
          <w:color w:val="1A2E35"/>
          <w:sz w:val="22"/>
          <w:szCs w:val="22"/>
        </w:rPr>
        <w:t xml:space="preserve">Turkey and vegetable chili in a batch, freeze half</w:t>
      </w:r>
    </w:p>
    <w:p>
      <w:pPr>
        <w:pStyle w:val="ListParagraph"/>
        <w:numPr>
          <w:ilvl w:val="0"/>
          <w:numId w:val="2"/>
        </w:numPr>
        <w:spacing w:after="100" w:before="0" w:line="300"/>
      </w:pPr>
      <w:r>
        <w:rPr>
          <w:color w:val="1A2E35"/>
          <w:sz w:val="22"/>
          <w:szCs w:val="22"/>
        </w:rPr>
        <w:t xml:space="preserve">Stir-fried shrimp with mixed vegetables over rice</w:t>
      </w:r>
    </w:p>
    <w:p>
      <w:pPr>
        <w:pStyle w:val="ListParagraph"/>
        <w:numPr>
          <w:ilvl w:val="0"/>
          <w:numId w:val="2"/>
        </w:numPr>
        <w:spacing w:after="100" w:before="0" w:line="300"/>
      </w:pPr>
      <w:r>
        <w:rPr>
          <w:color w:val="1A2E35"/>
          <w:sz w:val="22"/>
          <w:szCs w:val="22"/>
        </w:rPr>
        <w:t xml:space="preserve">White fish baked in parchment with lemon and herbs, side of green beans</w:t>
      </w:r>
    </w:p>
    <w:p>
      <w:pPr>
        <w:pStyle w:val="ListParagraph"/>
        <w:numPr>
          <w:ilvl w:val="0"/>
          <w:numId w:val="2"/>
        </w:numPr>
        <w:spacing w:after="100" w:before="0" w:line="300"/>
      </w:pPr>
      <w:r>
        <w:rPr>
          <w:color w:val="1A2E35"/>
          <w:sz w:val="22"/>
          <w:szCs w:val="22"/>
        </w:rPr>
        <w:t xml:space="preserve">Bean and vegetable stew with olive oil and a green salad</w:t>
      </w:r>
    </w:p>
    <w:p>
      <w:pPr>
        <w:pStyle w:val="ListParagraph"/>
        <w:numPr>
          <w:ilvl w:val="0"/>
          <w:numId w:val="2"/>
        </w:numPr>
        <w:spacing w:after="100" w:before="0" w:line="300"/>
      </w:pPr>
      <w:r>
        <w:rPr>
          <w:color w:val="1A2E35"/>
          <w:sz w:val="22"/>
          <w:szCs w:val="22"/>
        </w:rPr>
        <w:t xml:space="preserve">Whatever you made in a batch this week, reheated, with a bagged salad on the side</w:t>
      </w:r>
    </w:p>
    <w:p>
      <w:pPr>
        <w:spacing w:after="160" w:before="0" w:line="300"/>
      </w:pPr>
      <w:r>
        <w:rPr>
          <w:b/>
          <w:bCs/>
          <w:color w:val="1A2E35"/>
          <w:sz w:val="22"/>
          <w:szCs w:val="22"/>
        </w:rPr>
        <w:t xml:space="preserve">Snacks:</w:t>
      </w:r>
      <w:r>
        <w:rPr>
          <w:color w:val="1A2E35"/>
          <w:sz w:val="22"/>
          <w:szCs w:val="22"/>
        </w:rPr>
        <w:t xml:space="preserve"> a handful of nuts, fruit with nut butter, hummus with cucumber and carrot, olives, hard-boiled eggs, plain yogurt.</w:t>
      </w:r>
    </w:p>
    <w:p>
      <w:pPr>
        <w:spacing w:after="160" w:before="0" w:line="300"/>
      </w:pPr>
      <w:r>
        <w:rPr>
          <w:b/>
          <w:bCs/>
          <w:color w:val="1A2E35"/>
          <w:sz w:val="22"/>
          <w:szCs w:val="22"/>
        </w:rPr>
        <w:t xml:space="preserve">Flare-day meals.</w:t>
      </w:r>
      <w:r>
        <w:rPr>
          <w:color w:val="1A2E35"/>
          <w:sz w:val="22"/>
          <w:szCs w:val="22"/>
        </w:rPr>
        <w:t xml:space="preserve"> Plan these before you need them, because you will not plan them during. Keep canned fish, frozen vegetables, frozen cooked rice, eggs, and pre-washed greens in the house. A can of sardines, frozen peas, and microwaved rice is a real meal and it takes four minutes.</w:t>
      </w:r>
    </w:p>
    <w:p>
      <w:pPr>
        <w:spacing w:after="160" w:before="0" w:line="300"/>
      </w:pPr>
      <w:r>
        <w:rPr>
          <w:b/>
          <w:bCs/>
          <w:color w:val="1A2E35"/>
          <w:sz w:val="22"/>
          <w:szCs w:val="22"/>
        </w:rPr>
        <w:t xml:space="preserve">A batch session on a good day:</w:t>
      </w:r>
      <w:r>
        <w:rPr>
          <w:color w:val="1A2E35"/>
          <w:sz w:val="22"/>
          <w:szCs w:val="22"/>
        </w:rPr>
        <w:t xml:space="preserve"> cook a grain, roast two trays of vegetables, cook a protein, mix a jar of olive oil vinaigrette. That is three or four assembled meals with no further cooking.</w:t>
      </w:r>
    </w:p>
    <w:p>
      <w:pPr>
        <w:pBdr>
          <w:bottom w:val="single" w:color="D8E0E2" w:sz="6"/>
        </w:pBdr>
        <w:spacing w:after="200" w:before="120"/>
      </w:pPr>
      <w:r>
        <w:t xml:space="preserve"/>
      </w:r>
    </w:p>
    <w:p>
      <w:pPr>
        <w:pStyle w:val="Heading2"/>
        <w:spacing w:after="140" w:before="320"/>
      </w:pPr>
      <w:r>
        <w:rPr>
          <w:b/>
          <w:bCs/>
          <w:color w:val="0F766E"/>
          <w:sz w:val="30"/>
          <w:szCs w:val="30"/>
        </w:rPr>
        <w:t xml:space="preserve">Running a fair diet experiment</w:t>
      </w:r>
    </w:p>
    <w:p>
      <w:pPr>
        <w:spacing w:after="160" w:before="0" w:line="300"/>
      </w:pPr>
      <w:r>
        <w:rPr>
          <w:color w:val="1A2E35"/>
          <w:sz w:val="22"/>
          <w:szCs w:val="22"/>
        </w:rPr>
        <w:t xml:space="preserve">The rules mirror the supplement guide, for the same reason: without them you cannot tell what worked.</w:t>
      </w:r>
    </w:p>
    <w:p>
      <w:pPr>
        <w:pStyle w:val="ListParagraph"/>
        <w:numPr>
          <w:ilvl w:val="0"/>
          <w:numId w:val="2"/>
        </w:numPr>
        <w:spacing w:after="100" w:before="0" w:line="300"/>
      </w:pPr>
      <w:r>
        <w:rPr>
          <w:b/>
          <w:bCs/>
          <w:color w:val="1A2E35"/>
          <w:sz w:val="22"/>
          <w:szCs w:val="22"/>
        </w:rPr>
        <w:t xml:space="preserve">Baseline for two weeks.</w:t>
      </w:r>
      <w:r>
        <w:rPr>
          <w:color w:val="1A2E35"/>
          <w:sz w:val="22"/>
          <w:szCs w:val="22"/>
        </w:rPr>
        <w:t xml:space="preserve"> Change nothing. Score pain out of ten, sleep out of ten, and gut</w:t>
      </w:r>
    </w:p>
    <w:p>
      <w:pPr>
        <w:spacing w:after="160" w:before="0" w:line="300"/>
      </w:pPr>
      <w:r>
        <w:rPr>
          <w:color w:val="1A2E35"/>
          <w:sz w:val="22"/>
          <w:szCs w:val="22"/>
        </w:rPr>
        <w:t xml:space="preserve">symptoms out of ten most days. Count flare days.</w:t>
      </w:r>
    </w:p>
    <w:p>
      <w:pPr>
        <w:pStyle w:val="ListParagraph"/>
        <w:numPr>
          <w:ilvl w:val="0"/>
          <w:numId w:val="2"/>
        </w:numPr>
        <w:spacing w:after="100" w:before="0" w:line="300"/>
      </w:pPr>
      <w:r>
        <w:rPr>
          <w:b/>
          <w:bCs/>
          <w:color w:val="1A2E35"/>
          <w:sz w:val="22"/>
          <w:szCs w:val="22"/>
        </w:rPr>
        <w:t xml:space="preserve">Change one thing.</w:t>
      </w:r>
      <w:r>
        <w:rPr>
          <w:color w:val="1A2E35"/>
          <w:sz w:val="22"/>
          <w:szCs w:val="22"/>
        </w:rPr>
        <w:t xml:space="preserve"> The foundation first. Then, if you still want answers, one experiment at</w:t>
      </w:r>
    </w:p>
    <w:p>
      <w:pPr>
        <w:spacing w:after="160" w:before="0" w:line="300"/>
      </w:pPr>
      <w:r>
        <w:rPr>
          <w:color w:val="1A2E35"/>
          <w:sz w:val="22"/>
          <w:szCs w:val="22"/>
        </w:rPr>
        <w:t xml:space="preserve">a time.</w:t>
      </w:r>
    </w:p>
    <w:p>
      <w:pPr>
        <w:pStyle w:val="ListParagraph"/>
        <w:numPr>
          <w:ilvl w:val="0"/>
          <w:numId w:val="2"/>
        </w:numPr>
        <w:spacing w:after="100" w:before="0" w:line="300"/>
      </w:pPr>
      <w:r>
        <w:rPr>
          <w:b/>
          <w:bCs/>
          <w:color w:val="1A2E35"/>
          <w:sz w:val="22"/>
          <w:szCs w:val="22"/>
        </w:rPr>
        <w:t xml:space="preserve">Give it four to six weeks.</w:t>
      </w:r>
      <w:r>
        <w:rPr>
          <w:color w:val="1A2E35"/>
          <w:sz w:val="22"/>
          <w:szCs w:val="22"/>
        </w:rPr>
        <w:t xml:space="preserve"> Not four days. Fibromyalgia varies week to week on its own, and</w:t>
      </w:r>
    </w:p>
    <w:p>
      <w:pPr>
        <w:spacing w:after="160" w:before="0" w:line="300"/>
      </w:pPr>
      <w:r>
        <w:rPr>
          <w:color w:val="1A2E35"/>
          <w:sz w:val="22"/>
          <w:szCs w:val="22"/>
        </w:rPr>
        <w:t xml:space="preserve">short trials mostly measure noise.</w:t>
      </w:r>
    </w:p>
    <w:p>
      <w:pPr>
        <w:pStyle w:val="ListParagraph"/>
        <w:numPr>
          <w:ilvl w:val="0"/>
          <w:numId w:val="2"/>
        </w:numPr>
        <w:spacing w:after="100" w:before="0" w:line="300"/>
      </w:pPr>
      <w:r>
        <w:rPr>
          <w:b/>
          <w:bCs/>
          <w:color w:val="1A2E35"/>
          <w:sz w:val="22"/>
          <w:szCs w:val="22"/>
        </w:rPr>
        <w:t xml:space="preserve">Reintroduce deliberately.</w:t>
      </w:r>
      <w:r>
        <w:rPr>
          <w:color w:val="1A2E35"/>
          <w:sz w:val="22"/>
          <w:szCs w:val="22"/>
        </w:rPr>
        <w:t xml:space="preserve"> The reintroduction is the actual test. Improvement during</w:t>
      </w:r>
    </w:p>
    <w:p>
      <w:pPr>
        <w:spacing w:after="160" w:before="0" w:line="300"/>
      </w:pPr>
      <w:r>
        <w:rPr>
          <w:color w:val="1A2E35"/>
          <w:sz w:val="22"/>
          <w:szCs w:val="22"/>
        </w:rPr>
        <w:t xml:space="preserve">restriction can be placebo, seasonal, or coincidence. A clean symptom return on reintroduction is real information.</w:t>
      </w:r>
    </w:p>
    <w:p>
      <w:pPr>
        <w:pStyle w:val="ListParagraph"/>
        <w:numPr>
          <w:ilvl w:val="0"/>
          <w:numId w:val="2"/>
        </w:numPr>
        <w:spacing w:after="100" w:before="0" w:line="300"/>
      </w:pPr>
      <w:r>
        <w:rPr>
          <w:b/>
          <w:bCs/>
          <w:color w:val="1A2E35"/>
          <w:sz w:val="22"/>
          <w:szCs w:val="22"/>
        </w:rPr>
        <w:t xml:space="preserve">Write it down.</w:t>
      </w:r>
      <w:r>
        <w:rPr>
          <w:color w:val="1A2E35"/>
          <w:sz w:val="22"/>
          <w:szCs w:val="22"/>
        </w:rPr>
        <w:t xml:space="preserve"> Memory reconstructs the story you already believe. Paper does not.</w:t>
      </w:r>
    </w:p>
    <w:p>
      <w:pPr>
        <w:pStyle w:val="ListParagraph"/>
        <w:numPr>
          <w:ilvl w:val="0"/>
          <w:numId w:val="2"/>
        </w:numPr>
        <w:spacing w:after="100" w:before="0" w:line="300"/>
      </w:pPr>
      <w:r>
        <w:rPr>
          <w:b/>
          <w:bCs/>
          <w:color w:val="1A2E35"/>
          <w:sz w:val="22"/>
          <w:szCs w:val="22"/>
        </w:rPr>
        <w:t xml:space="preserve">Stop when it is not working.</w:t>
      </w:r>
      <w:r>
        <w:rPr>
          <w:color w:val="1A2E35"/>
          <w:sz w:val="22"/>
          <w:szCs w:val="22"/>
        </w:rPr>
        <w:t xml:space="preserve"> A restriction that has done nothing after six weeks is costing</w:t>
      </w:r>
    </w:p>
    <w:p>
      <w:pPr>
        <w:spacing w:after="160" w:before="0" w:line="300"/>
      </w:pPr>
      <w:r>
        <w:rPr>
          <w:color w:val="1A2E35"/>
          <w:sz w:val="22"/>
          <w:szCs w:val="22"/>
        </w:rPr>
        <w:t xml:space="preserve">you variety, nutrients, and joy for no return.</w:t>
      </w:r>
    </w:p>
    <w:p>
      <w:pPr>
        <w:spacing w:after="160" w:before="0" w:line="300"/>
      </w:pPr>
      <w:r>
        <w:rPr>
          <w:b/>
          <w:bCs/>
          <w:color w:val="1A2E35"/>
          <w:sz w:val="22"/>
          <w:szCs w:val="22"/>
        </w:rPr>
        <w:t xml:space="preserve">A hard boundary:</w:t>
      </w:r>
      <w:r>
        <w:rPr>
          <w:color w:val="1A2E35"/>
          <w:sz w:val="22"/>
          <w:szCs w:val="22"/>
        </w:rPr>
        <w:t xml:space="preserve"> if you find yourself with fewer than about 25 foods you feel safe eating, or if the rules are producing anxiety around meals, stop and talk to a clinician. Progressive food restriction is a known trap in chronic illness, and it is one of the few ways a diet guide can genuinely hurt you.</w:t>
      </w:r>
    </w:p>
    <w:p>
      <w:pPr>
        <w:pBdr>
          <w:bottom w:val="single" w:color="D8E0E2" w:sz="6"/>
        </w:pBdr>
        <w:spacing w:after="200" w:before="120"/>
      </w:pPr>
      <w:r>
        <w:t xml:space="preserve"/>
      </w:r>
    </w:p>
    <w:p>
      <w:pPr>
        <w:pStyle w:val="Heading2"/>
        <w:spacing w:after="140" w:before="320"/>
      </w:pPr>
      <w:r>
        <w:rPr>
          <w:b/>
          <w:bCs/>
          <w:color w:val="0F766E"/>
          <w:sz w:val="30"/>
          <w:szCs w:val="30"/>
        </w:rPr>
        <w:t xml:space="preserve">Realistic expectations</w:t>
      </w:r>
    </w:p>
    <w:p>
      <w:pPr>
        <w:spacing w:after="160" w:before="0" w:line="300"/>
      </w:pPr>
      <w:r>
        <w:rPr>
          <w:b/>
          <w:bCs/>
          <w:color w:val="1A2E35"/>
          <w:sz w:val="22"/>
          <w:szCs w:val="22"/>
        </w:rPr>
        <w:t xml:space="preserve">What is realistic.</w:t>
      </w:r>
      <w:r>
        <w:rPr>
          <w:color w:val="1A2E35"/>
          <w:sz w:val="22"/>
          <w:szCs w:val="22"/>
        </w:rPr>
        <w:t xml:space="preserve"> Modest, cumulative gains. Less bloating within two to three weeks of the gut work. Steadier afternoons within a couple of weeks of the blood sugar habits. A point off average pain or a couple fewer flare days per month over two to three months. Better sleep quality that then makes everything else easier. Those are the sizes of effect the studies in this guide actually measured.</w:t>
      </w:r>
    </w:p>
    <w:p>
      <w:pPr>
        <w:spacing w:after="160" w:before="0" w:line="300"/>
      </w:pPr>
      <w:r>
        <w:rPr>
          <w:b/>
          <w:bCs/>
          <w:color w:val="1A2E35"/>
          <w:sz w:val="22"/>
          <w:szCs w:val="22"/>
        </w:rPr>
        <w:t xml:space="preserve">What is not realistic.</w:t>
      </w:r>
      <w:r>
        <w:rPr>
          <w:color w:val="1A2E35"/>
          <w:sz w:val="22"/>
          <w:szCs w:val="22"/>
        </w:rPr>
        <w:t xml:space="preserve"> Remission from an eating pattern. Every serious review of this literature says the same thing: promising signals, small studies, poor quality, no single recommended diet (PMID 32878326, PMID 30735059). Anyone promising more than that is selling you something.</w:t>
      </w:r>
    </w:p>
    <w:p>
      <w:pPr>
        <w:spacing w:after="160" w:before="0" w:line="300"/>
      </w:pPr>
      <w:r>
        <w:rPr>
          <w:b/>
          <w:bCs/>
          <w:color w:val="1A2E35"/>
          <w:sz w:val="22"/>
          <w:szCs w:val="22"/>
        </w:rPr>
        <w:t xml:space="preserve">What tends to help most, in order.</w:t>
      </w:r>
      <w:r>
        <w:rPr>
          <w:color w:val="1A2E35"/>
          <w:sz w:val="22"/>
          <w:szCs w:val="22"/>
        </w:rPr>
        <w:t xml:space="preserve"> Fewer ultra-processed foods and more home cooking. A Mediterranean-style base. Gut-focused work if you have gut symptoms. Protein at every meal for blood sugar steadiness. Then the targeted experiments.</w:t>
      </w:r>
    </w:p>
    <w:p>
      <w:pPr>
        <w:spacing w:after="160" w:before="0" w:line="300"/>
      </w:pPr>
      <w:r>
        <w:rPr>
          <w:b/>
          <w:bCs/>
          <w:color w:val="1A2E35"/>
          <w:sz w:val="22"/>
          <w:szCs w:val="22"/>
        </w:rPr>
        <w:t xml:space="preserve">What food will not replace.</w:t>
      </w:r>
      <w:r>
        <w:rPr>
          <w:color w:val="1A2E35"/>
          <w:sz w:val="22"/>
          <w:szCs w:val="22"/>
        </w:rPr>
        <w:t xml:space="preserve"> Movement, which is the intervention with the strongest evidence in fibromyalgia (PMID 27377815). Sleep work. The medical care you are already receiving. Diet is a supporting player here, and it plays that role well.</w:t>
      </w:r>
    </w:p>
    <w:p>
      <w:pPr>
        <w:pBdr>
          <w:bottom w:val="single" w:color="D8E0E2" w:sz="6"/>
        </w:pBdr>
        <w:spacing w:after="200" w:before="120"/>
      </w:pPr>
      <w:r>
        <w:t xml:space="preserve"/>
      </w:r>
    </w:p>
    <w:p>
      <w:pPr>
        <w:pStyle w:val="Heading2"/>
        <w:spacing w:after="140" w:before="320"/>
      </w:pPr>
      <w:r>
        <w:rPr>
          <w:b/>
          <w:bCs/>
          <w:color w:val="0F766E"/>
          <w:sz w:val="30"/>
          <w:szCs w:val="30"/>
        </w:rPr>
        <w:t xml:space="preserve">When to seek professional care</w:t>
      </w:r>
    </w:p>
    <w:p>
      <w:pPr>
        <w:spacing w:after="160" w:before="0" w:line="300"/>
      </w:pPr>
      <w:r>
        <w:rPr>
          <w:b/>
          <w:bCs/>
          <w:color w:val="1A2E35"/>
          <w:sz w:val="22"/>
          <w:szCs w:val="22"/>
        </w:rPr>
        <w:t xml:space="preserve">Work with a clinician or registered dietitian if:</w:t>
      </w:r>
    </w:p>
    <w:p>
      <w:pPr>
        <w:pStyle w:val="ListParagraph"/>
        <w:numPr>
          <w:ilvl w:val="0"/>
          <w:numId w:val="1"/>
        </w:numPr>
        <w:spacing w:after="100" w:before="0" w:line="300"/>
      </w:pPr>
      <w:r>
        <w:rPr>
          <w:color w:val="1A2E35"/>
          <w:sz w:val="22"/>
          <w:szCs w:val="22"/>
        </w:rPr>
        <w:t xml:space="preserve">You are planning an elimination diet and want it done in a way that does not cost you nutrition</w:t>
      </w:r>
    </w:p>
    <w:p>
      <w:pPr>
        <w:pStyle w:val="ListParagraph"/>
        <w:numPr>
          <w:ilvl w:val="0"/>
          <w:numId w:val="1"/>
        </w:numPr>
        <w:spacing w:after="100" w:before="0" w:line="300"/>
      </w:pPr>
      <w:r>
        <w:rPr>
          <w:color w:val="1A2E35"/>
          <w:sz w:val="22"/>
          <w:szCs w:val="22"/>
        </w:rPr>
        <w:t xml:space="preserve">You have diabetes, kidney disease, liver disease, or take a blood thinner</w:t>
      </w:r>
    </w:p>
    <w:p>
      <w:pPr>
        <w:pStyle w:val="ListParagraph"/>
        <w:numPr>
          <w:ilvl w:val="0"/>
          <w:numId w:val="1"/>
        </w:numPr>
        <w:spacing w:after="100" w:before="0" w:line="300"/>
      </w:pPr>
      <w:r>
        <w:rPr>
          <w:color w:val="1A2E35"/>
          <w:sz w:val="22"/>
          <w:szCs w:val="22"/>
        </w:rPr>
        <w:t xml:space="preserve">You are pregnant, nursing, or trying to conceive</w:t>
      </w:r>
    </w:p>
    <w:p>
      <w:pPr>
        <w:pStyle w:val="ListParagraph"/>
        <w:numPr>
          <w:ilvl w:val="0"/>
          <w:numId w:val="1"/>
        </w:numPr>
        <w:spacing w:after="100" w:before="0" w:line="300"/>
      </w:pPr>
      <w:r>
        <w:rPr>
          <w:color w:val="1A2E35"/>
          <w:sz w:val="22"/>
          <w:szCs w:val="22"/>
        </w:rPr>
        <w:t xml:space="preserve">You have any history of disordered eating</w:t>
      </w:r>
    </w:p>
    <w:p>
      <w:pPr>
        <w:pStyle w:val="ListParagraph"/>
        <w:numPr>
          <w:ilvl w:val="0"/>
          <w:numId w:val="1"/>
        </w:numPr>
        <w:spacing w:after="100" w:before="0" w:line="300"/>
      </w:pPr>
      <w:r>
        <w:rPr>
          <w:color w:val="1A2E35"/>
          <w:sz w:val="22"/>
          <w:szCs w:val="22"/>
        </w:rPr>
        <w:t xml:space="preserve">Your list of tolerated foods keeps shrinking</w:t>
      </w:r>
    </w:p>
    <w:p>
      <w:pPr>
        <w:pStyle w:val="ListParagraph"/>
        <w:numPr>
          <w:ilvl w:val="0"/>
          <w:numId w:val="1"/>
        </w:numPr>
        <w:spacing w:after="100" w:before="0" w:line="300"/>
      </w:pPr>
      <w:r>
        <w:rPr>
          <w:color w:val="1A2E35"/>
          <w:sz w:val="22"/>
          <w:szCs w:val="22"/>
        </w:rPr>
        <w:t xml:space="preserve">You have gut symptoms that have never been properly evaluated</w:t>
      </w:r>
    </w:p>
    <w:p>
      <w:pPr>
        <w:spacing w:after="160" w:before="0" w:line="300"/>
      </w:pPr>
      <w:r>
        <w:rPr>
          <w:b/>
          <w:bCs/>
          <w:color w:val="1A2E35"/>
          <w:sz w:val="22"/>
          <w:szCs w:val="22"/>
        </w:rPr>
        <w:t xml:space="preserve">Seek medical care promptly for:</w:t>
      </w:r>
      <w:r>
        <w:rPr>
          <w:color w:val="1A2E35"/>
          <w:sz w:val="22"/>
          <w:szCs w:val="22"/>
        </w:rPr>
        <w:t xml:space="preserve"> unexplained weight loss, blood in the stool or black stools, difficulty or pain with swallowing, persistent vomiting, symptoms that wake you from sleep, new severe abdominal pain, or fever with abdominal pain. Those are not fibromyalgia symptoms and they are not diet-experiment territory.</w:t>
      </w:r>
    </w:p>
    <w:p>
      <w:pPr>
        <w:pBdr>
          <w:bottom w:val="single" w:color="D8E0E2" w:sz="6"/>
        </w:pBdr>
        <w:spacing w:after="200" w:before="120"/>
      </w:pPr>
      <w:r>
        <w:t xml:space="preserve"/>
      </w:r>
    </w:p>
    <w:p>
      <w:pPr>
        <w:pStyle w:val="Heading2"/>
        <w:spacing w:after="140" w:before="320"/>
      </w:pPr>
      <w:r>
        <w:rPr>
          <w:b/>
          <w:bCs/>
          <w:color w:val="0F766E"/>
          <w:sz w:val="30"/>
          <w:szCs w:val="30"/>
        </w:rPr>
        <w:t xml:space="preserve">Working with Root Health</w:t>
      </w:r>
    </w:p>
    <w:p>
      <w:pPr>
        <w:spacing w:after="160" w:before="0" w:line="300"/>
      </w:pPr>
      <w:r>
        <w:rPr>
          <w:color w:val="1A2E35"/>
          <w:sz w:val="22"/>
          <w:szCs w:val="22"/>
        </w:rPr>
        <w:t xml:space="preserve">This guide is general education by design, written so it is useful without knowing anything about your labs. Personalized work is different: it starts with testing, your history, your medication list, and the symptoms costing you the most, then sequences changes instead of piling them on.</w:t>
      </w:r>
    </w:p>
    <w:p>
      <w:pPr>
        <w:spacing w:after="160" w:before="0" w:line="300"/>
      </w:pPr>
      <w:r>
        <w:rPr>
          <w:color w:val="1A2E35"/>
          <w:sz w:val="22"/>
          <w:szCs w:val="22"/>
        </w:rPr>
        <w:t xml:space="preserve">If you want that, a Root Discovery Session is the right first step:</w:t>
      </w:r>
    </w:p>
    <w:p>
      <w:pPr>
        <w:pBdr>
          <w:left w:val="single" w:color="0F766E" w:sz="18" w:space="12"/>
        </w:pBdr>
        <w:shd w:fill="F4F9F9" w:val="clear"/>
        <w:spacing w:after="200" w:before="160" w:line="300"/>
        <w:ind w:left="360"/>
      </w:pPr>
      <w:r>
        <w:rPr>
          <w:b/>
          <w:bCs/>
          <w:color w:val="1A2E35"/>
          <w:sz w:val="22"/>
          <w:szCs w:val="22"/>
        </w:rPr>
        <w:t xml:space="preserve">Book a free Root Discovery Session: rootcauseunlocked.com/discovery?utm_source=guide&amp;utm_medium=ebook&amp;utm_campaign=fibromyalgia-diet</w:t>
      </w:r>
    </w:p>
    <w:p>
      <w:pPr>
        <w:spacing w:after="160" w:before="0" w:line="300"/>
      </w:pPr>
      <w:r>
        <w:rPr>
          <w:color w:val="1A2E35"/>
          <w:sz w:val="22"/>
          <w:szCs w:val="22"/>
        </w:rPr>
        <w:t xml:space="preserve">Consultations are available to people located in North Carolina, where Dr. Seay is licensed.</w:t>
      </w:r>
    </w:p>
    <w:p>
      <w:pPr>
        <w:spacing w:after="160" w:before="0" w:line="300"/>
      </w:pPr>
      <w:r>
        <w:rPr>
          <w:b/>
          <w:bCs/>
          <w:color w:val="1A2E35"/>
          <w:sz w:val="22"/>
          <w:szCs w:val="22"/>
        </w:rPr>
        <w:t xml:space="preserve">If you are outside North Carolina,</w:t>
      </w:r>
      <w:r>
        <w:rPr>
          <w:color w:val="1A2E35"/>
          <w:sz w:val="22"/>
          <w:szCs w:val="22"/>
        </w:rPr>
        <w:t xml:space="preserve"> start tracking instead. Diet changes are exactly the kind of experiment that needs a written record, because the effects are gradual and memory is unreliable about gradual things:</w:t>
      </w:r>
    </w:p>
    <w:p>
      <w:pPr>
        <w:pBdr>
          <w:left w:val="single" w:color="0F766E" w:sz="18" w:space="12"/>
        </w:pBdr>
        <w:shd w:fill="F4F9F9" w:val="clear"/>
        <w:spacing w:after="200" w:before="160" w:line="300"/>
        <w:ind w:left="360"/>
      </w:pPr>
      <w:r>
        <w:rPr>
          <w:b/>
          <w:bCs/>
          <w:color w:val="1A2E35"/>
          <w:sz w:val="22"/>
          <w:szCs w:val="22"/>
        </w:rPr>
        <w:t xml:space="preserve">Free symptom tracker: rootcauseunlocked.com/tracker?utm_source=guide&amp;utm_medium=ebook&amp;utm_campaign=fibromyalgia-diet</w:t>
      </w:r>
    </w:p>
    <w:p>
      <w:pPr>
        <w:spacing w:after="160" w:before="0" w:line="300"/>
      </w:pPr>
      <w:r>
        <w:rPr>
          <w:color w:val="1A2E35"/>
          <w:sz w:val="22"/>
          <w:szCs w:val="22"/>
        </w:rPr>
        <w:t xml:space="preserve">Read this alongside the companion </w:t>
      </w:r>
      <w:r>
        <w:rPr>
          <w:b/>
          <w:bCs/>
          <w:color w:val="1A2E35"/>
          <w:sz w:val="22"/>
          <w:szCs w:val="22"/>
        </w:rPr>
        <w:t xml:space="preserve">Fibromyalgia Supplement Guide</w:t>
      </w:r>
      <w:r>
        <w:rPr>
          <w:color w:val="1A2E35"/>
          <w:sz w:val="22"/>
          <w:szCs w:val="22"/>
        </w:rPr>
        <w:t xml:space="preserve">. Several nutrients discussed there work better inside the eating pattern described here, and the supplement guide carries the full medication interaction warnings that anyone considering supplements needs to read first, plus guidance on choosing quality products.</w:t>
      </w:r>
    </w:p>
    <w:p>
      <w:pPr>
        <w:pBdr>
          <w:bottom w:val="single" w:color="D8E0E2" w:sz="6"/>
        </w:pBdr>
        <w:spacing w:after="200" w:before="120"/>
      </w:pPr>
      <w:r>
        <w:t xml:space="preserve"/>
      </w:r>
    </w:p>
    <w:p>
      <w:pPr>
        <w:pStyle w:val="Heading2"/>
        <w:spacing w:after="140" w:before="320"/>
      </w:pPr>
      <w:r>
        <w:rPr>
          <w:b/>
          <w:bCs/>
          <w:color w:val="0F766E"/>
          <w:sz w:val="30"/>
          <w:szCs w:val="30"/>
        </w:rPr>
        <w:t xml:space="preserve">References</w:t>
      </w:r>
    </w:p>
    <w:p>
      <w:pPr>
        <w:spacing w:after="160" w:before="0" w:line="300"/>
      </w:pPr>
      <w:r>
        <w:rPr>
          <w:color w:val="1A2E35"/>
          <w:sz w:val="22"/>
          <w:szCs w:val="22"/>
        </w:rPr>
        <w:t xml:space="preserve">All references below were verified against live PubMed records on 2026-08-02, including a check of publication type for retractions. Full verification detail, including what each citation does and does not support, is documented in </w:t>
      </w:r>
      <w:r>
        <w:rPr>
          <w:rFonts w:ascii="Consolas" w:cs="Consolas" w:eastAsia="Consolas" w:hAnsi="Consolas"/>
          <w:color w:val="1A2E35"/>
          <w:sz w:val="22"/>
          <w:szCs w:val="22"/>
        </w:rPr>
        <w:t xml:space="preserve">Fibromyalgia-Citation-Ledger-Supplements-Diet.md</w:t>
      </w:r>
      <w:r>
        <w:rPr>
          <w:color w:val="1A2E35"/>
          <w:sz w:val="22"/>
          <w:szCs w:val="22"/>
        </w:rPr>
        <w:t xml:space="preserve">.</w:t>
      </w:r>
    </w:p>
    <w:p>
      <w:pPr>
        <w:pStyle w:val="ListParagraph"/>
        <w:numPr>
          <w:ilvl w:val="0"/>
          <w:numId w:val="2"/>
        </w:numPr>
        <w:spacing w:after="100" w:before="0" w:line="300"/>
      </w:pPr>
      <w:r>
        <w:rPr>
          <w:color w:val="1A2E35"/>
          <w:sz w:val="22"/>
          <w:szCs w:val="22"/>
        </w:rPr>
        <w:t xml:space="preserve">Lowry E, Marley J, McVeigh JG, et al. Dietary Interventions in the Management of Fibromyalgia:</w:t>
      </w:r>
    </w:p>
    <w:p>
      <w:pPr>
        <w:spacing w:after="160" w:before="0" w:line="300"/>
      </w:pPr>
      <w:r>
        <w:rPr>
          <w:color w:val="1A2E35"/>
          <w:sz w:val="22"/>
          <w:szCs w:val="22"/>
        </w:rPr>
        <w:t xml:space="preserve">A Systematic Review and Best-Evidence Synthesis. </w:t>
      </w:r>
      <w:r>
        <w:rPr>
          <w:i/>
          <w:iCs/>
          <w:color w:val="1A2E35"/>
          <w:sz w:val="22"/>
          <w:szCs w:val="22"/>
        </w:rPr>
        <w:t xml:space="preserve">Nutrients.</w:t>
      </w:r>
      <w:r>
        <w:rPr>
          <w:color w:val="1A2E35"/>
          <w:sz w:val="22"/>
          <w:szCs w:val="22"/>
        </w:rPr>
        <w:t xml:space="preserve"> 2020;12(9):2664. PMID 32878326</w:t>
      </w:r>
    </w:p>
    <w:p>
      <w:pPr>
        <w:pStyle w:val="ListParagraph"/>
        <w:numPr>
          <w:ilvl w:val="0"/>
          <w:numId w:val="2"/>
        </w:numPr>
        <w:spacing w:after="100" w:before="0" w:line="300"/>
      </w:pPr>
      <w:r>
        <w:rPr>
          <w:color w:val="1A2E35"/>
          <w:sz w:val="22"/>
          <w:szCs w:val="22"/>
        </w:rPr>
        <w:t xml:space="preserve">Silva AR, Bernardo A, Costa J, et al. Dietary interventions in fibromyalgia: a systematic</w:t>
      </w:r>
    </w:p>
    <w:p>
      <w:pPr>
        <w:spacing w:after="160" w:before="0" w:line="300"/>
      </w:pPr>
      <w:r>
        <w:rPr>
          <w:color w:val="1A2E35"/>
          <w:sz w:val="22"/>
          <w:szCs w:val="22"/>
        </w:rPr>
        <w:t xml:space="preserve">review. </w:t>
      </w:r>
      <w:r>
        <w:rPr>
          <w:i/>
          <w:iCs/>
          <w:color w:val="1A2E35"/>
          <w:sz w:val="22"/>
          <w:szCs w:val="22"/>
        </w:rPr>
        <w:t xml:space="preserve">Ann Med.</w:t>
      </w:r>
      <w:r>
        <w:rPr>
          <w:color w:val="1A2E35"/>
          <w:sz w:val="22"/>
          <w:szCs w:val="22"/>
        </w:rPr>
        <w:t xml:space="preserve"> 2019;51(sup1):2-14. PMID 30735059</w:t>
      </w:r>
    </w:p>
    <w:p>
      <w:pPr>
        <w:pStyle w:val="ListParagraph"/>
        <w:numPr>
          <w:ilvl w:val="0"/>
          <w:numId w:val="2"/>
        </w:numPr>
        <w:spacing w:after="100" w:before="0" w:line="300"/>
      </w:pPr>
      <w:r>
        <w:rPr>
          <w:color w:val="1A2E35"/>
          <w:sz w:val="22"/>
          <w:szCs w:val="22"/>
        </w:rPr>
        <w:t xml:space="preserve">Metyas C, Aung TT, Cheung J, et al. Diet and Lifestyle Modifications for Fibromyalgia. *Curr</w:t>
      </w:r>
    </w:p>
    <w:p>
      <w:pPr>
        <w:spacing w:after="160" w:before="0" w:line="300"/>
      </w:pPr>
      <w:r>
        <w:rPr>
          <w:color w:val="1A2E35"/>
          <w:sz w:val="22"/>
          <w:szCs w:val="22"/>
        </w:rPr>
        <w:t xml:space="preserve">Rheumatol Rev.* 2024;20(4):405-413. PMID 38279728</w:t>
      </w:r>
    </w:p>
    <w:p>
      <w:pPr>
        <w:pStyle w:val="ListParagraph"/>
        <w:numPr>
          <w:ilvl w:val="0"/>
          <w:numId w:val="2"/>
        </w:numPr>
        <w:spacing w:after="100" w:before="0" w:line="300"/>
      </w:pPr>
      <w:r>
        <w:rPr>
          <w:color w:val="1A2E35"/>
          <w:sz w:val="22"/>
          <w:szCs w:val="22"/>
        </w:rPr>
        <w:t xml:space="preserve">Rus A, Molina F, Ramos MM, et al. Extra Virgin Olive Oil Improves Oxidative Stress, Functional</w:t>
      </w:r>
    </w:p>
    <w:p>
      <w:pPr>
        <w:spacing w:after="160" w:before="0" w:line="300"/>
      </w:pPr>
      <w:r>
        <w:rPr>
          <w:color w:val="1A2E35"/>
          <w:sz w:val="22"/>
          <w:szCs w:val="22"/>
        </w:rPr>
        <w:t xml:space="preserve">Capacity, and Health-Related Psychological Status in Patients With Fibromyalgia: A Preliminary Study. </w:t>
      </w:r>
      <w:r>
        <w:rPr>
          <w:i/>
          <w:iCs/>
          <w:color w:val="1A2E35"/>
          <w:sz w:val="22"/>
          <w:szCs w:val="22"/>
        </w:rPr>
        <w:t xml:space="preserve">Biol Res Nurs.</w:t>
      </w:r>
      <w:r>
        <w:rPr>
          <w:color w:val="1A2E35"/>
          <w:sz w:val="22"/>
          <w:szCs w:val="22"/>
        </w:rPr>
        <w:t xml:space="preserve"> 2017;19(1):106-115. PMID 27443526</w:t>
      </w:r>
    </w:p>
    <w:p>
      <w:pPr>
        <w:pStyle w:val="ListParagraph"/>
        <w:numPr>
          <w:ilvl w:val="0"/>
          <w:numId w:val="2"/>
        </w:numPr>
        <w:spacing w:after="100" w:before="0" w:line="300"/>
      </w:pPr>
      <w:r>
        <w:rPr>
          <w:color w:val="1A2E35"/>
          <w:sz w:val="22"/>
          <w:szCs w:val="22"/>
        </w:rPr>
        <w:t xml:space="preserve">Casini I, Ladisa V, Clemente L, et al. A Personalized Mediterranean Diet Improves Pain and</w:t>
      </w:r>
    </w:p>
    <w:p>
      <w:pPr>
        <w:spacing w:after="160" w:before="0" w:line="300"/>
      </w:pPr>
      <w:r>
        <w:rPr>
          <w:color w:val="1A2E35"/>
          <w:sz w:val="22"/>
          <w:szCs w:val="22"/>
        </w:rPr>
        <w:t xml:space="preserve">Quality of Life in Patients with Fibromyalgia. </w:t>
      </w:r>
      <w:r>
        <w:rPr>
          <w:i/>
          <w:iCs/>
          <w:color w:val="1A2E35"/>
          <w:sz w:val="22"/>
          <w:szCs w:val="22"/>
        </w:rPr>
        <w:t xml:space="preserve">Pain Ther.</w:t>
      </w:r>
      <w:r>
        <w:rPr>
          <w:color w:val="1A2E35"/>
          <w:sz w:val="22"/>
          <w:szCs w:val="22"/>
        </w:rPr>
        <w:t xml:space="preserve"> 2024;13(3):609-620. PMID 38683449</w:t>
      </w:r>
    </w:p>
    <w:p>
      <w:pPr>
        <w:pStyle w:val="ListParagraph"/>
        <w:numPr>
          <w:ilvl w:val="0"/>
          <w:numId w:val="2"/>
        </w:numPr>
        <w:spacing w:after="100" w:before="0" w:line="300"/>
      </w:pPr>
      <w:r>
        <w:rPr>
          <w:color w:val="1A2E35"/>
          <w:sz w:val="22"/>
          <w:szCs w:val="22"/>
        </w:rPr>
        <w:t xml:space="preserve">Miller EE, Jayakrishnan S, Froio F, et al. Mediterranean diet and its low-antigenic and</w:t>
      </w:r>
    </w:p>
    <w:p>
      <w:pPr>
        <w:spacing w:after="160" w:before="0" w:line="300"/>
      </w:pPr>
      <w:r>
        <w:rPr>
          <w:color w:val="1A2E35"/>
          <w:sz w:val="22"/>
          <w:szCs w:val="22"/>
        </w:rPr>
        <w:t xml:space="preserve">anti-inflammatory properties on fibromyalgia: a systematic review. </w:t>
      </w:r>
      <w:r>
        <w:rPr>
          <w:i/>
          <w:iCs/>
          <w:color w:val="1A2E35"/>
          <w:sz w:val="22"/>
          <w:szCs w:val="22"/>
        </w:rPr>
        <w:t xml:space="preserve">Clin Exp Rheumatol.</w:t>
      </w:r>
      <w:r>
        <w:rPr>
          <w:color w:val="1A2E35"/>
          <w:sz w:val="22"/>
          <w:szCs w:val="22"/>
        </w:rPr>
        <w:t xml:space="preserve"> 2025;43(6):970-977. PMID 40576703</w:t>
      </w:r>
    </w:p>
    <w:p>
      <w:pPr>
        <w:pStyle w:val="ListParagraph"/>
        <w:numPr>
          <w:ilvl w:val="0"/>
          <w:numId w:val="2"/>
        </w:numPr>
        <w:spacing w:after="100" w:before="0" w:line="300"/>
      </w:pPr>
      <w:r>
        <w:rPr>
          <w:color w:val="1A2E35"/>
          <w:sz w:val="22"/>
          <w:szCs w:val="22"/>
        </w:rPr>
        <w:t xml:space="preserve">Rondanelli M, Faliva MA, Miccono A, et al. Food pyramid for subjects with chronic pain: foods</w:t>
      </w:r>
    </w:p>
    <w:p>
      <w:pPr>
        <w:spacing w:after="160" w:before="0" w:line="300"/>
      </w:pPr>
      <w:r>
        <w:rPr>
          <w:color w:val="1A2E35"/>
          <w:sz w:val="22"/>
          <w:szCs w:val="22"/>
        </w:rPr>
        <w:t xml:space="preserve">and dietary constituents as anti-inflammatory and antioxidant agents. </w:t>
      </w:r>
      <w:r>
        <w:rPr>
          <w:i/>
          <w:iCs/>
          <w:color w:val="1A2E35"/>
          <w:sz w:val="22"/>
          <w:szCs w:val="22"/>
        </w:rPr>
        <w:t xml:space="preserve">Nutr Res Rev.</w:t>
      </w:r>
      <w:r>
        <w:rPr>
          <w:color w:val="1A2E35"/>
          <w:sz w:val="22"/>
          <w:szCs w:val="22"/>
        </w:rPr>
        <w:t xml:space="preserve"> 2018;31(1):131-151. PMID 29679994</w:t>
      </w:r>
    </w:p>
    <w:p>
      <w:pPr>
        <w:pStyle w:val="ListParagraph"/>
        <w:numPr>
          <w:ilvl w:val="0"/>
          <w:numId w:val="2"/>
        </w:numPr>
        <w:spacing w:after="100" w:before="0" w:line="300"/>
      </w:pPr>
      <w:r>
        <w:rPr>
          <w:color w:val="1A2E35"/>
          <w:sz w:val="22"/>
          <w:szCs w:val="22"/>
        </w:rPr>
        <w:t xml:space="preserve">Martin Perez IM, Martin Perez SE. Assessment of ultra-processed food consumption and</w:t>
      </w:r>
    </w:p>
    <w:p>
      <w:pPr>
        <w:spacing w:after="160" w:before="0" w:line="300"/>
      </w:pPr>
      <w:r>
        <w:rPr>
          <w:color w:val="1A2E35"/>
          <w:sz w:val="22"/>
          <w:szCs w:val="22"/>
        </w:rPr>
        <w:t xml:space="preserve">pro-inflammatory dietary load in adults diagnosed with fibromyalgia syndrome: A case-control study. </w:t>
      </w:r>
      <w:r>
        <w:rPr>
          <w:i/>
          <w:iCs/>
          <w:color w:val="1A2E35"/>
          <w:sz w:val="22"/>
          <w:szCs w:val="22"/>
        </w:rPr>
        <w:t xml:space="preserve">Nutr Health.</w:t>
      </w:r>
      <w:r>
        <w:rPr>
          <w:color w:val="1A2E35"/>
          <w:sz w:val="22"/>
          <w:szCs w:val="22"/>
        </w:rPr>
        <w:t xml:space="preserve"> 2026;32(4):1243-1254. PMID 41021618</w:t>
      </w:r>
    </w:p>
    <w:p>
      <w:pPr>
        <w:pStyle w:val="ListParagraph"/>
        <w:numPr>
          <w:ilvl w:val="0"/>
          <w:numId w:val="2"/>
        </w:numPr>
        <w:spacing w:after="100" w:before="0" w:line="300"/>
      </w:pPr>
      <w:r>
        <w:rPr>
          <w:color w:val="1A2E35"/>
          <w:sz w:val="22"/>
          <w:szCs w:val="22"/>
        </w:rPr>
        <w:t xml:space="preserve">Sperber AD, Atzmon Y, Neumann L, et al. Fibromyalgia in the irritable bowel syndrome: studies</w:t>
      </w:r>
    </w:p>
    <w:p>
      <w:pPr>
        <w:spacing w:after="160" w:before="0" w:line="300"/>
      </w:pPr>
      <w:r>
        <w:rPr>
          <w:color w:val="1A2E35"/>
          <w:sz w:val="22"/>
          <w:szCs w:val="22"/>
        </w:rPr>
        <w:t xml:space="preserve">of prevalence and clinical implications. </w:t>
      </w:r>
      <w:r>
        <w:rPr>
          <w:i/>
          <w:iCs/>
          <w:color w:val="1A2E35"/>
          <w:sz w:val="22"/>
          <w:szCs w:val="22"/>
        </w:rPr>
        <w:t xml:space="preserve">Am J Gastroenterol.</w:t>
      </w:r>
      <w:r>
        <w:rPr>
          <w:color w:val="1A2E35"/>
          <w:sz w:val="22"/>
          <w:szCs w:val="22"/>
        </w:rPr>
        <w:t xml:space="preserve"> 1999;94(12):3541-3546. PMID 10606316</w:t>
      </w:r>
    </w:p>
    <w:p>
      <w:pPr>
        <w:pStyle w:val="ListParagraph"/>
        <w:numPr>
          <w:ilvl w:val="0"/>
          <w:numId w:val="2"/>
        </w:numPr>
        <w:spacing w:after="100" w:before="0" w:line="300"/>
      </w:pPr>
      <w:r>
        <w:rPr>
          <w:color w:val="1A2E35"/>
          <w:sz w:val="22"/>
          <w:szCs w:val="22"/>
        </w:rPr>
        <w:t xml:space="preserve">Minerbi A, Gonzalez E, Brereton NJB, et al. Altered microbiome composition in individuals with</w:t>
      </w:r>
    </w:p>
    <w:p>
      <w:pPr>
        <w:spacing w:after="160" w:before="0" w:line="300"/>
      </w:pPr>
      <w:r>
        <w:rPr>
          <w:color w:val="1A2E35"/>
          <w:sz w:val="22"/>
          <w:szCs w:val="22"/>
        </w:rPr>
        <w:t xml:space="preserve">fibromyalgia. </w:t>
      </w:r>
      <w:r>
        <w:rPr>
          <w:i/>
          <w:iCs/>
          <w:color w:val="1A2E35"/>
          <w:sz w:val="22"/>
          <w:szCs w:val="22"/>
        </w:rPr>
        <w:t xml:space="preserve">Pain.</w:t>
      </w:r>
      <w:r>
        <w:rPr>
          <w:color w:val="1A2E35"/>
          <w:sz w:val="22"/>
          <w:szCs w:val="22"/>
        </w:rPr>
        <w:t xml:space="preserve"> 2019;160(11):2589-2602. PMID 31219947</w:t>
      </w:r>
    </w:p>
    <w:p>
      <w:pPr>
        <w:pStyle w:val="ListParagraph"/>
        <w:numPr>
          <w:ilvl w:val="0"/>
          <w:numId w:val="2"/>
        </w:numPr>
        <w:spacing w:after="100" w:before="0" w:line="300"/>
      </w:pPr>
      <w:r>
        <w:rPr>
          <w:color w:val="1A2E35"/>
          <w:sz w:val="22"/>
          <w:szCs w:val="22"/>
        </w:rPr>
        <w:t xml:space="preserve">Cai W, Haddad M, Haddad R, et al. The gut microbiota promotes pain in fibromyalgia. </w:t>
      </w:r>
      <w:r>
        <w:rPr>
          <w:i/>
          <w:iCs/>
          <w:color w:val="1A2E35"/>
          <w:sz w:val="22"/>
          <w:szCs w:val="22"/>
        </w:rPr>
        <w:t xml:space="preserve">Neuron.</w:t>
      </w:r>
    </w:p>
    <w:p>
      <w:pPr>
        <w:spacing w:after="160" w:before="0" w:line="300"/>
      </w:pPr>
      <w:r>
        <w:rPr>
          <w:color w:val="1A2E35"/>
          <w:sz w:val="22"/>
          <w:szCs w:val="22"/>
        </w:rPr>
        <w:t xml:space="preserve">2025;113(13):2161-2175.e13. PMID 40280127</w:t>
      </w:r>
    </w:p>
    <w:p>
      <w:pPr>
        <w:pStyle w:val="ListParagraph"/>
        <w:numPr>
          <w:ilvl w:val="0"/>
          <w:numId w:val="2"/>
        </w:numPr>
        <w:spacing w:after="100" w:before="0" w:line="300"/>
      </w:pPr>
      <w:r>
        <w:rPr>
          <w:color w:val="1A2E35"/>
          <w:sz w:val="22"/>
          <w:szCs w:val="22"/>
        </w:rPr>
        <w:t xml:space="preserve">Marum AP, Moreira C, Saraiva F, et al. A low fermentable oligo-di-mono saccharides and polyols</w:t>
      </w:r>
    </w:p>
    <w:p>
      <w:pPr>
        <w:spacing w:after="160" w:before="0" w:line="300"/>
      </w:pPr>
      <w:r>
        <w:rPr>
          <w:color w:val="1A2E35"/>
          <w:sz w:val="22"/>
          <w:szCs w:val="22"/>
        </w:rPr>
        <w:t xml:space="preserve">(FODMAP) diet reduced pain and improved daily life in fibromyalgia patients. </w:t>
      </w:r>
      <w:r>
        <w:rPr>
          <w:i/>
          <w:iCs/>
          <w:color w:val="1A2E35"/>
          <w:sz w:val="22"/>
          <w:szCs w:val="22"/>
        </w:rPr>
        <w:t xml:space="preserve">Scand J Pain.</w:t>
      </w:r>
      <w:r>
        <w:rPr>
          <w:color w:val="1A2E35"/>
          <w:sz w:val="22"/>
          <w:szCs w:val="22"/>
        </w:rPr>
        <w:t xml:space="preserve"> 2016;13:166-172. PMID 28850525</w:t>
      </w:r>
    </w:p>
    <w:p>
      <w:pPr>
        <w:pStyle w:val="ListParagraph"/>
        <w:numPr>
          <w:ilvl w:val="0"/>
          <w:numId w:val="2"/>
        </w:numPr>
        <w:spacing w:after="100" w:before="0" w:line="300"/>
      </w:pPr>
      <w:r>
        <w:rPr>
          <w:color w:val="1A2E35"/>
          <w:sz w:val="22"/>
          <w:szCs w:val="22"/>
        </w:rPr>
        <w:t xml:space="preserve">Silva AR, Bernardo A, de Mesquita MF, et al. An anti-inflammatory and low fermentable oligo,</w:t>
      </w:r>
    </w:p>
    <w:p>
      <w:pPr>
        <w:spacing w:after="160" w:before="0" w:line="300"/>
      </w:pPr>
      <w:r>
        <w:rPr>
          <w:color w:val="1A2E35"/>
          <w:sz w:val="22"/>
          <w:szCs w:val="22"/>
        </w:rPr>
        <w:t xml:space="preserve">di, and monosaccharides and polyols diet improved patient reported outcomes in fibromyalgia: A randomized controlled trial. </w:t>
      </w:r>
      <w:r>
        <w:rPr>
          <w:i/>
          <w:iCs/>
          <w:color w:val="1A2E35"/>
          <w:sz w:val="22"/>
          <w:szCs w:val="22"/>
        </w:rPr>
        <w:t xml:space="preserve">Front Nutr.</w:t>
      </w:r>
      <w:r>
        <w:rPr>
          <w:color w:val="1A2E35"/>
          <w:sz w:val="22"/>
          <w:szCs w:val="22"/>
        </w:rPr>
        <w:t xml:space="preserve"> 2022;9:856216. PMID 36091254</w:t>
      </w:r>
    </w:p>
    <w:p>
      <w:pPr>
        <w:pStyle w:val="ListParagraph"/>
        <w:numPr>
          <w:ilvl w:val="0"/>
          <w:numId w:val="2"/>
        </w:numPr>
        <w:spacing w:after="100" w:before="0" w:line="300"/>
      </w:pPr>
      <w:r>
        <w:rPr>
          <w:color w:val="1A2E35"/>
          <w:sz w:val="22"/>
          <w:szCs w:val="22"/>
        </w:rPr>
        <w:t xml:space="preserve">Lambiase C, Rossi A, Morganti R, et al. Adapted Low-FODMAP Diet in IBS Patients with and</w:t>
      </w:r>
    </w:p>
    <w:p>
      <w:pPr>
        <w:spacing w:after="160" w:before="0" w:line="300"/>
      </w:pPr>
      <w:r>
        <w:rPr>
          <w:color w:val="1A2E35"/>
          <w:sz w:val="22"/>
          <w:szCs w:val="22"/>
        </w:rPr>
        <w:t xml:space="preserve">without Fibromyalgia: Long-Term Adherence and Outcomes. </w:t>
      </w:r>
      <w:r>
        <w:rPr>
          <w:i/>
          <w:iCs/>
          <w:color w:val="1A2E35"/>
          <w:sz w:val="22"/>
          <w:szCs w:val="22"/>
        </w:rPr>
        <w:t xml:space="preserve">Nutrients.</w:t>
      </w:r>
      <w:r>
        <w:rPr>
          <w:color w:val="1A2E35"/>
          <w:sz w:val="22"/>
          <w:szCs w:val="22"/>
        </w:rPr>
        <w:t xml:space="preserve"> 2024;16(19):3419. PMID 39408383</w:t>
      </w:r>
    </w:p>
    <w:p>
      <w:pPr>
        <w:pStyle w:val="ListParagraph"/>
        <w:numPr>
          <w:ilvl w:val="0"/>
          <w:numId w:val="2"/>
        </w:numPr>
        <w:spacing w:after="100" w:before="0" w:line="300"/>
      </w:pPr>
      <w:r>
        <w:rPr>
          <w:color w:val="1A2E35"/>
          <w:sz w:val="22"/>
          <w:szCs w:val="22"/>
        </w:rPr>
        <w:t xml:space="preserve">Almirall M, Casellas F, Dot J, et al. Prevalence of non-coeliac gluten sensitivity and</w:t>
      </w:r>
    </w:p>
    <w:p>
      <w:pPr>
        <w:spacing w:after="160" w:before="0" w:line="300"/>
      </w:pPr>
      <w:r>
        <w:rPr>
          <w:color w:val="1A2E35"/>
          <w:sz w:val="22"/>
          <w:szCs w:val="22"/>
        </w:rPr>
        <w:t xml:space="preserve">assessment of the response to gluten-free diet in a cohort of patients with fibromyalgia. </w:t>
      </w:r>
      <w:r>
        <w:rPr>
          <w:i/>
          <w:iCs/>
          <w:color w:val="1A2E35"/>
          <w:sz w:val="22"/>
          <w:szCs w:val="22"/>
        </w:rPr>
        <w:t xml:space="preserve">Rheumatology (Oxford).</w:t>
      </w:r>
      <w:r>
        <w:rPr>
          <w:color w:val="1A2E35"/>
          <w:sz w:val="22"/>
          <w:szCs w:val="22"/>
        </w:rPr>
        <w:t xml:space="preserve"> 2023;62(3):1069-1077. PMID 35900154</w:t>
      </w:r>
    </w:p>
    <w:p>
      <w:pPr>
        <w:pStyle w:val="ListParagraph"/>
        <w:numPr>
          <w:ilvl w:val="0"/>
          <w:numId w:val="2"/>
        </w:numPr>
        <w:spacing w:after="100" w:before="0" w:line="300"/>
      </w:pPr>
      <w:r>
        <w:rPr>
          <w:color w:val="1A2E35"/>
          <w:sz w:val="22"/>
          <w:szCs w:val="22"/>
        </w:rPr>
        <w:t xml:space="preserve">Bruzzese V, Marrese C, Scolieri P, Pepe J. Efficacy of a gluten-free diet in reducing the</w:t>
      </w:r>
    </w:p>
    <w:p>
      <w:pPr>
        <w:spacing w:after="160" w:before="0" w:line="300"/>
      </w:pPr>
      <w:r>
        <w:rPr>
          <w:color w:val="1A2E35"/>
          <w:sz w:val="22"/>
          <w:szCs w:val="22"/>
        </w:rPr>
        <w:t xml:space="preserve">widespread pain index and symptom severity scale in patients affected by fibromyalgia. </w:t>
      </w:r>
      <w:r>
        <w:rPr>
          <w:i/>
          <w:iCs/>
          <w:color w:val="1A2E35"/>
          <w:sz w:val="22"/>
          <w:szCs w:val="22"/>
        </w:rPr>
        <w:t xml:space="preserve">Reumatismo.</w:t>
      </w:r>
      <w:r>
        <w:rPr>
          <w:color w:val="1A2E35"/>
          <w:sz w:val="22"/>
          <w:szCs w:val="22"/>
        </w:rPr>
        <w:t xml:space="preserve"> 2023;75(3). PMID 37721353</w:t>
      </w:r>
    </w:p>
    <w:p>
      <w:pPr>
        <w:pStyle w:val="ListParagraph"/>
        <w:numPr>
          <w:ilvl w:val="0"/>
          <w:numId w:val="2"/>
        </w:numPr>
        <w:spacing w:after="100" w:before="0" w:line="300"/>
      </w:pPr>
      <w:r>
        <w:rPr>
          <w:color w:val="1A2E35"/>
          <w:sz w:val="22"/>
          <w:szCs w:val="22"/>
        </w:rPr>
        <w:t xml:space="preserve">Holton KF, Taren DL, Thomson CA, et al. The effect of dietary glutamate on fibromyalgia and</w:t>
      </w:r>
    </w:p>
    <w:p>
      <w:pPr>
        <w:spacing w:after="160" w:before="0" w:line="300"/>
      </w:pPr>
      <w:r>
        <w:rPr>
          <w:color w:val="1A2E35"/>
          <w:sz w:val="22"/>
          <w:szCs w:val="22"/>
        </w:rPr>
        <w:t xml:space="preserve">irritable bowel symptoms. </w:t>
      </w:r>
      <w:r>
        <w:rPr>
          <w:i/>
          <w:iCs/>
          <w:color w:val="1A2E35"/>
          <w:sz w:val="22"/>
          <w:szCs w:val="22"/>
        </w:rPr>
        <w:t xml:space="preserve">Clin Exp Rheumatol.</w:t>
      </w:r>
      <w:r>
        <w:rPr>
          <w:color w:val="1A2E35"/>
          <w:sz w:val="22"/>
          <w:szCs w:val="22"/>
        </w:rPr>
        <w:t xml:space="preserve"> 2012;30(6 Suppl 74):10-17. PMID 22766026</w:t>
      </w:r>
    </w:p>
    <w:p>
      <w:pPr>
        <w:pStyle w:val="ListParagraph"/>
        <w:numPr>
          <w:ilvl w:val="0"/>
          <w:numId w:val="2"/>
        </w:numPr>
        <w:spacing w:after="100" w:before="0" w:line="300"/>
      </w:pPr>
      <w:r>
        <w:rPr>
          <w:color w:val="1A2E35"/>
          <w:sz w:val="22"/>
          <w:szCs w:val="22"/>
        </w:rPr>
        <w:t xml:space="preserve">Vellisca MY, Latorre JI. Monosodium glutamate and aspartame in perceived pain in fibromyalgia.</w:t>
      </w:r>
    </w:p>
    <w:p>
      <w:pPr>
        <w:spacing w:after="160" w:before="0" w:line="300"/>
      </w:pPr>
      <w:r>
        <w:rPr>
          <w:i/>
          <w:iCs/>
          <w:color w:val="1A2E35"/>
          <w:sz w:val="22"/>
          <w:szCs w:val="22"/>
        </w:rPr>
        <w:t xml:space="preserve">Rheumatol Int.</w:t>
      </w:r>
      <w:r>
        <w:rPr>
          <w:color w:val="1A2E35"/>
          <w:sz w:val="22"/>
          <w:szCs w:val="22"/>
        </w:rPr>
        <w:t xml:space="preserve"> 2014;34(7):1011-1013. PMID 23765203</w:t>
      </w:r>
    </w:p>
    <w:p>
      <w:pPr>
        <w:pStyle w:val="ListParagraph"/>
        <w:numPr>
          <w:ilvl w:val="0"/>
          <w:numId w:val="2"/>
        </w:numPr>
        <w:spacing w:after="100" w:before="0" w:line="300"/>
      </w:pPr>
      <w:r>
        <w:rPr>
          <w:color w:val="1A2E35"/>
          <w:sz w:val="22"/>
          <w:szCs w:val="22"/>
        </w:rPr>
        <w:t xml:space="preserve">D'Onghia M, Ciaffi J, Lisi L, et al. Fibromyalgia and obesity: A comprehensive systematic</w:t>
      </w:r>
    </w:p>
    <w:p>
      <w:pPr>
        <w:spacing w:after="160" w:before="0" w:line="300"/>
      </w:pPr>
      <w:r>
        <w:rPr>
          <w:color w:val="1A2E35"/>
          <w:sz w:val="22"/>
          <w:szCs w:val="22"/>
        </w:rPr>
        <w:t xml:space="preserve">review and meta-analysis. </w:t>
      </w:r>
      <w:r>
        <w:rPr>
          <w:i/>
          <w:iCs/>
          <w:color w:val="1A2E35"/>
          <w:sz w:val="22"/>
          <w:szCs w:val="22"/>
        </w:rPr>
        <w:t xml:space="preserve">Semin Arthritis Rheum.</w:t>
      </w:r>
      <w:r>
        <w:rPr>
          <w:color w:val="1A2E35"/>
          <w:sz w:val="22"/>
          <w:szCs w:val="22"/>
        </w:rPr>
        <w:t xml:space="preserve"> 2021;51(2):409-424. PMID 33676126</w:t>
      </w:r>
    </w:p>
    <w:p>
      <w:pPr>
        <w:pStyle w:val="ListParagraph"/>
        <w:numPr>
          <w:ilvl w:val="0"/>
          <w:numId w:val="2"/>
        </w:numPr>
        <w:spacing w:after="100" w:before="0" w:line="300"/>
      </w:pPr>
      <w:r>
        <w:rPr>
          <w:color w:val="1A2E35"/>
          <w:sz w:val="22"/>
          <w:szCs w:val="22"/>
        </w:rPr>
        <w:t xml:space="preserve">Shapiro JR, Anderson DA, Danoff-Burg S. A pilot study of the effects of behavioral weight loss</w:t>
      </w:r>
    </w:p>
    <w:p>
      <w:pPr>
        <w:spacing w:after="160" w:before="0" w:line="300"/>
      </w:pPr>
      <w:r>
        <w:rPr>
          <w:color w:val="1A2E35"/>
          <w:sz w:val="22"/>
          <w:szCs w:val="22"/>
        </w:rPr>
        <w:t xml:space="preserve">treatment on fibromyalgia symptoms. </w:t>
      </w:r>
      <w:r>
        <w:rPr>
          <w:i/>
          <w:iCs/>
          <w:color w:val="1A2E35"/>
          <w:sz w:val="22"/>
          <w:szCs w:val="22"/>
        </w:rPr>
        <w:t xml:space="preserve">J Psychosom Res.</w:t>
      </w:r>
      <w:r>
        <w:rPr>
          <w:color w:val="1A2E35"/>
          <w:sz w:val="22"/>
          <w:szCs w:val="22"/>
        </w:rPr>
        <w:t xml:space="preserve"> 2005;59(5):275-282. PMID 16253617</w:t>
      </w:r>
    </w:p>
    <w:p>
      <w:pPr>
        <w:pStyle w:val="ListParagraph"/>
        <w:numPr>
          <w:ilvl w:val="0"/>
          <w:numId w:val="2"/>
        </w:numPr>
        <w:spacing w:after="100" w:before="0" w:line="300"/>
      </w:pPr>
      <w:r>
        <w:rPr>
          <w:color w:val="1A2E35"/>
          <w:sz w:val="22"/>
          <w:szCs w:val="22"/>
        </w:rPr>
        <w:t xml:space="preserve">Pappolla MA, Manchikanti L, Candido KD, et al. Insulin Resistance is Associated with Central</w:t>
      </w:r>
    </w:p>
    <w:p>
      <w:pPr>
        <w:spacing w:after="160" w:before="0" w:line="300"/>
      </w:pPr>
      <w:r>
        <w:rPr>
          <w:color w:val="1A2E35"/>
          <w:sz w:val="22"/>
          <w:szCs w:val="22"/>
        </w:rPr>
        <w:t xml:space="preserve">Pain in Patients with Fibromyalgia. </w:t>
      </w:r>
      <w:r>
        <w:rPr>
          <w:i/>
          <w:iCs/>
          <w:color w:val="1A2E35"/>
          <w:sz w:val="22"/>
          <w:szCs w:val="22"/>
        </w:rPr>
        <w:t xml:space="preserve">Pain Physician.</w:t>
      </w:r>
      <w:r>
        <w:rPr>
          <w:color w:val="1A2E35"/>
          <w:sz w:val="22"/>
          <w:szCs w:val="22"/>
        </w:rPr>
        <w:t xml:space="preserve"> 2021;24(2):175-184. PMID 33740353</w:t>
      </w:r>
    </w:p>
    <w:p>
      <w:pPr>
        <w:pStyle w:val="ListParagraph"/>
        <w:numPr>
          <w:ilvl w:val="0"/>
          <w:numId w:val="2"/>
        </w:numPr>
        <w:spacing w:after="100" w:before="0" w:line="300"/>
      </w:pPr>
      <w:r>
        <w:rPr>
          <w:color w:val="1A2E35"/>
          <w:sz w:val="22"/>
          <w:szCs w:val="22"/>
        </w:rPr>
        <w:t xml:space="preserve">Finan PH, Goodin BR, Smith MT. The association of sleep and pain: an update and a path</w:t>
      </w:r>
    </w:p>
    <w:p>
      <w:pPr>
        <w:spacing w:after="160" w:before="0" w:line="300"/>
      </w:pPr>
      <w:r>
        <w:rPr>
          <w:color w:val="1A2E35"/>
          <w:sz w:val="22"/>
          <w:szCs w:val="22"/>
        </w:rPr>
        <w:t xml:space="preserve">forward. </w:t>
      </w:r>
      <w:r>
        <w:rPr>
          <w:i/>
          <w:iCs/>
          <w:color w:val="1A2E35"/>
          <w:sz w:val="22"/>
          <w:szCs w:val="22"/>
        </w:rPr>
        <w:t xml:space="preserve">J Pain.</w:t>
      </w:r>
      <w:r>
        <w:rPr>
          <w:color w:val="1A2E35"/>
          <w:sz w:val="22"/>
          <w:szCs w:val="22"/>
        </w:rPr>
        <w:t xml:space="preserve"> 2013;14(12):1539-1552. PMID 24290442</w:t>
      </w:r>
    </w:p>
    <w:p>
      <w:pPr>
        <w:pStyle w:val="ListParagraph"/>
        <w:numPr>
          <w:ilvl w:val="0"/>
          <w:numId w:val="2"/>
        </w:numPr>
        <w:spacing w:after="100" w:before="0" w:line="300"/>
      </w:pPr>
      <w:r>
        <w:rPr>
          <w:color w:val="1A2E35"/>
          <w:sz w:val="22"/>
          <w:szCs w:val="22"/>
        </w:rPr>
        <w:t xml:space="preserve">Davies KA, Macfarlane GJ, Nicholl BI, et al. Restorative sleep predicts the resolution of</w:t>
      </w:r>
    </w:p>
    <w:p>
      <w:pPr>
        <w:spacing w:after="160" w:before="0" w:line="300"/>
      </w:pPr>
      <w:r>
        <w:rPr>
          <w:color w:val="1A2E35"/>
          <w:sz w:val="22"/>
          <w:szCs w:val="22"/>
        </w:rPr>
        <w:t xml:space="preserve">chronic widespread pain: results from the EPIFUND study. </w:t>
      </w:r>
      <w:r>
        <w:rPr>
          <w:i/>
          <w:iCs/>
          <w:color w:val="1A2E35"/>
          <w:sz w:val="22"/>
          <w:szCs w:val="22"/>
        </w:rPr>
        <w:t xml:space="preserve">Rheumatology (Oxford).</w:t>
      </w:r>
      <w:r>
        <w:rPr>
          <w:color w:val="1A2E35"/>
          <w:sz w:val="22"/>
          <w:szCs w:val="22"/>
        </w:rPr>
        <w:t xml:space="preserve"> 2008;47(12):1809-1813. PMID 18842606</w:t>
      </w:r>
    </w:p>
    <w:p>
      <w:pPr>
        <w:pStyle w:val="ListParagraph"/>
        <w:numPr>
          <w:ilvl w:val="0"/>
          <w:numId w:val="2"/>
        </w:numPr>
        <w:spacing w:after="100" w:before="0" w:line="300"/>
      </w:pPr>
      <w:r>
        <w:rPr>
          <w:color w:val="1A2E35"/>
          <w:sz w:val="22"/>
          <w:szCs w:val="22"/>
        </w:rPr>
        <w:t xml:space="preserve">Kim CH, Vincent A, Clauw DJ, et al. Association between alcohol consumption and symptom</w:t>
      </w:r>
    </w:p>
    <w:p>
      <w:pPr>
        <w:spacing w:after="160" w:before="0" w:line="300"/>
      </w:pPr>
      <w:r>
        <w:rPr>
          <w:color w:val="1A2E35"/>
          <w:sz w:val="22"/>
          <w:szCs w:val="22"/>
        </w:rPr>
        <w:t xml:space="preserve">severity and quality of life in patients with fibromyalgia. </w:t>
      </w:r>
      <w:r>
        <w:rPr>
          <w:i/>
          <w:iCs/>
          <w:color w:val="1A2E35"/>
          <w:sz w:val="22"/>
          <w:szCs w:val="22"/>
        </w:rPr>
        <w:t xml:space="preserve">Arthritis Res Ther.</w:t>
      </w:r>
      <w:r>
        <w:rPr>
          <w:color w:val="1A2E35"/>
          <w:sz w:val="22"/>
          <w:szCs w:val="22"/>
        </w:rPr>
        <w:t xml:space="preserve"> 2013;15(2):R42. PMID 23497427</w:t>
      </w:r>
    </w:p>
    <w:p>
      <w:pPr>
        <w:pStyle w:val="ListParagraph"/>
        <w:numPr>
          <w:ilvl w:val="0"/>
          <w:numId w:val="2"/>
        </w:numPr>
        <w:spacing w:after="100" w:before="0" w:line="300"/>
      </w:pPr>
      <w:r>
        <w:rPr>
          <w:color w:val="1A2E35"/>
          <w:sz w:val="22"/>
          <w:szCs w:val="22"/>
        </w:rPr>
        <w:t xml:space="preserve">Macfarlane GJ, Kronisch C, Dean LE, et al. EULAR revised recommendations for the management of</w:t>
      </w:r>
    </w:p>
    <w:p>
      <w:pPr>
        <w:spacing w:after="160" w:before="0" w:line="300"/>
      </w:pPr>
      <w:r>
        <w:rPr>
          <w:color w:val="1A2E35"/>
          <w:sz w:val="22"/>
          <w:szCs w:val="22"/>
        </w:rPr>
        <w:t xml:space="preserve">fibromyalgia. </w:t>
      </w:r>
      <w:r>
        <w:rPr>
          <w:i/>
          <w:iCs/>
          <w:color w:val="1A2E35"/>
          <w:sz w:val="22"/>
          <w:szCs w:val="22"/>
        </w:rPr>
        <w:t xml:space="preserve">Ann Rheum Dis.</w:t>
      </w:r>
      <w:r>
        <w:rPr>
          <w:color w:val="1A2E35"/>
          <w:sz w:val="22"/>
          <w:szCs w:val="22"/>
        </w:rPr>
        <w:t xml:space="preserve"> 2017;76(2):318-328. PMID 27377815</w:t>
      </w:r>
    </w:p>
    <w:p>
      <w:pPr>
        <w:pBdr>
          <w:bottom w:val="single" w:color="D8E0E2" w:sz="6"/>
        </w:pBdr>
        <w:spacing w:after="200" w:before="120"/>
      </w:pPr>
      <w:r>
        <w:t xml:space="preserve"/>
      </w:r>
    </w:p>
    <w:p>
      <w:pPr>
        <w:spacing w:after="160" w:before="0" w:line="300"/>
      </w:pPr>
      <w:r>
        <w:rPr>
          <w:i/>
          <w:iCs/>
          <w:color w:val="1A2E35"/>
          <w:sz w:val="22"/>
          <w:szCs w:val="22"/>
        </w:rPr>
        <w:t xml:space="preserve">Dr. Adam Seay, DC · Root Health · Garner, NC · roothealthnc.com</w:t>
      </w:r>
    </w:p>
    <w:p>
      <w:pPr>
        <w:spacing w:after="160" w:before="0" w:line="300"/>
      </w:pPr>
      <w:r>
        <w:rPr>
          <w:i/>
          <w:iCs/>
          <w:color w:val="1A2E35"/>
          <w:sz w:val="22"/>
          <w:szCs w:val="22"/>
        </w:rPr>
        <w:t xml:space="preserve">Educational content only. Not medical advice. Not a diagnosis. Not a substitute for your clinician. Talk with your prescriber or a registered dietitian before making major dietary changes.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E3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Fibromyalgia Diet Guide</dc:title>
  <dc:creator>Root Health</dc:creator>
  <dc:description>Root Health condition guide</dc:description>
  <cp:lastModifiedBy>Un-named</cp:lastModifiedBy>
  <cp:revision>1</cp:revision>
  <dcterms:created xsi:type="dcterms:W3CDTF">2026-08-03T02:53:33.040Z</dcterms:created>
  <dcterms:modified xsi:type="dcterms:W3CDTF">2026-08-03T02:53:33.040Z</dcterms:modified>
</cp:coreProperties>
</file>

<file path=docProps/custom.xml><?xml version="1.0" encoding="utf-8"?>
<Properties xmlns="http://schemas.openxmlformats.org/officeDocument/2006/custom-properties" xmlns:vt="http://schemas.openxmlformats.org/officeDocument/2006/docPropsVTypes"/>
</file>