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Family</w:t>
      </w:r>
      <w:r>
        <w:t xml:space="preserve"> </w:t>
      </w:r>
      <w:r>
        <w:t xml:space="preserve">Protection</w:t>
      </w:r>
      <w:r>
        <w:t xml:space="preserve"> </w:t>
      </w:r>
      <w:r>
        <w:t xml:space="preserve">Report</w:t>
      </w:r>
      <w:r>
        <w:t xml:space="preserve"> </w:t>
      </w:r>
      <w:r>
        <w:t xml:space="preserve">—</w:t>
      </w:r>
      <w:r>
        <w:t xml:space="preserve"> </w:t>
      </w:r>
      <w:r>
        <w:t xml:space="preserve">Build</w:t>
      </w:r>
      <w:r>
        <w:t xml:space="preserve"> </w:t>
      </w:r>
      <w:r>
        <w:t xml:space="preserve">Spec</w:t>
      </w:r>
    </w:p>
    <w:p>
      <w:pPr>
        <w:pStyle w:val="Date"/>
      </w:pPr>
      <w:r>
        <w:t xml:space="preserve">25</w:t>
      </w:r>
      <w:r>
        <w:t xml:space="preserve"> </w:t>
      </w:r>
      <w:r>
        <w:t xml:space="preserve">September</w:t>
      </w:r>
      <w:r>
        <w:t xml:space="preserve"> </w:t>
      </w:r>
      <w:r>
        <w:t xml:space="preserve">2026</w:t>
      </w:r>
    </w:p>
    <w:p>
      <w:pPr>
        <w:pStyle w:val="FirstParagraph"/>
      </w:pPr>
      <w:r>
        <w:t xml:space="preserve">A free 12-question form that produces a one-page family asset map and nomination gap score, built to sell three paid services behind it: nomination completion, wills through Adrika Law Firm, and post-death claim activation. Deliberately stores no account numbers, policy numbers or balances.</w:t>
      </w:r>
    </w:p>
    <w:bookmarkStart w:id="20" w:name="the-product-in-one-page"/>
    <w:p>
      <w:pPr>
        <w:pStyle w:val="Heading2"/>
      </w:pPr>
      <w:r>
        <w:t xml:space="preserve">The product in one page</w:t>
      </w:r>
    </w:p>
    <w:p>
      <w:pPr>
        <w:pStyle w:val="FirstParagraph"/>
      </w:pPr>
      <w:r>
        <w:t xml:space="preserve">A person fills a 12-question form on WhatsApp or web. Two minutes later they get a PDF showing every institution they hold money with, which of those have no nominee registered, and what their family would pay and wait if they died tomorrow. The report is free. The money is in the three services sold behind it.</w:t>
      </w:r>
    </w:p>
    <w:p>
      <w:pPr>
        <w:pStyle w:val="BodyText"/>
      </w:pPr>
      <w:r>
        <w:rPr>
          <w:bCs/>
          <w:b/>
        </w:rPr>
        <w:t xml:space="preserve">The one architectural rule: store the map, not the treasure.</w:t>
      </w:r>
    </w:p>
    <w:p>
      <w:pPr>
        <w:pStyle w:val="BodyText"/>
      </w:pPr>
      <w:r>
        <w:t xml:space="preserve">We capture institution names and nomination status. We never capture account numbers, policy numbers, folio numbers, PAN, balances or documents. The family does not need the folio number — the AMC supplies it against a death certificate. Storing it would make us a honeypot with a 13 May 2027 DPDP deadline attached, penalties up to Rs 250 crore, and a near-certain Significant Data Fiduciary designation as a financial-services platform.</w:t>
      </w:r>
    </w:p>
    <w:p>
      <w:pPr>
        <w:pStyle w:val="BodyText"/>
      </w:pPr>
      <w:r>
        <w:t xml:space="preserve">This constraint is what makes the whole thing buildable in a week: no login, no encryption architecture, no KYC, no vault.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We build</w:t>
            </w:r>
          </w:p>
        </w:tc>
        <w:tc>
          <w:tcPr/>
          <w:p>
            <w:pPr>
              <w:pStyle w:val="Compact"/>
              <w:jc w:val="left"/>
            </w:pPr>
            <w:r>
              <w:t xml:space="preserve">We deliberately do not build</w:t>
            </w:r>
          </w:p>
        </w:tc>
      </w:tr>
      <w:tr>
        <w:tc>
          <w:tcPr/>
          <w:p>
            <w:pPr>
              <w:pStyle w:val="Compact"/>
              <w:jc w:val="left"/>
            </w:pPr>
            <w:r>
              <w:t xml:space="preserve">A 12-field form</w:t>
            </w:r>
          </w:p>
        </w:tc>
        <w:tc>
          <w:tcPr/>
          <w:p>
            <w:pPr>
              <w:pStyle w:val="Compact"/>
              <w:jc w:val="left"/>
            </w:pPr>
            <w:r>
              <w:t xml:space="preserve">A document vault or file upload</w:t>
            </w:r>
          </w:p>
        </w:tc>
      </w:tr>
      <w:tr>
        <w:tc>
          <w:tcPr/>
          <w:p>
            <w:pPr>
              <w:pStyle w:val="Compact"/>
              <w:jc w:val="left"/>
            </w:pPr>
            <w:r>
              <w:t xml:space="preserve">A generated PDF map</w:t>
            </w:r>
          </w:p>
        </w:tc>
        <w:tc>
          <w:tcPr/>
          <w:p>
            <w:pPr>
              <w:pStyle w:val="Compact"/>
              <w:jc w:val="left"/>
            </w:pPr>
            <w:r>
              <w:t xml:space="preserve">A login or user account</w:t>
            </w:r>
          </w:p>
        </w:tc>
      </w:tr>
      <w:tr>
        <w:tc>
          <w:tcPr/>
          <w:p>
            <w:pPr>
              <w:pStyle w:val="Compact"/>
              <w:jc w:val="left"/>
            </w:pPr>
            <w:r>
              <w:t xml:space="preserve">Institution name + nominee status</w:t>
            </w:r>
          </w:p>
        </w:tc>
        <w:tc>
          <w:tcPr/>
          <w:p>
            <w:pPr>
              <w:pStyle w:val="Compact"/>
              <w:jc w:val="left"/>
            </w:pPr>
            <w:r>
              <w:t xml:space="preserve">Account numbers, PAN, balances</w:t>
            </w:r>
          </w:p>
        </w:tc>
      </w:tr>
      <w:tr>
        <w:tc>
          <w:tcPr/>
          <w:p>
            <w:pPr>
              <w:pStyle w:val="Compact"/>
              <w:jc w:val="left"/>
            </w:pPr>
            <w:r>
              <w:t xml:space="preserve">WhatsApp nudge every 6 months</w:t>
            </w:r>
          </w:p>
        </w:tc>
        <w:tc>
          <w:tcPr/>
          <w:p>
            <w:pPr>
              <w:pStyle w:val="Compact"/>
              <w:jc w:val="left"/>
            </w:pPr>
            <w:r>
              <w:t xml:space="preserve">A dead man’s switch or inactivity trigger</w:t>
            </w:r>
          </w:p>
        </w:tc>
      </w:tr>
      <w:tr>
        <w:tc>
          <w:tcPr/>
          <w:p>
            <w:pPr>
              <w:pStyle w:val="Compact"/>
              <w:jc w:val="left"/>
            </w:pPr>
            <w:r>
              <w:t xml:space="preserve">Ops-delivered nomination chasing</w:t>
            </w:r>
          </w:p>
        </w:tc>
        <w:tc>
          <w:tcPr/>
          <w:p>
            <w:pPr>
              <w:pStyle w:val="Compact"/>
              <w:jc w:val="left"/>
            </w:pPr>
            <w:r>
              <w:t xml:space="preserve">Account Aggregator auto-sync</w:t>
            </w:r>
          </w:p>
        </w:tc>
      </w:tr>
      <w:tr>
        <w:tc>
          <w:tcPr/>
          <w:p>
            <w:pPr>
              <w:pStyle w:val="Compact"/>
              <w:jc w:val="left"/>
            </w:pPr>
            <w:r>
              <w:t xml:space="preserve">In-house wills via Adrika</w:t>
            </w:r>
          </w:p>
        </w:tc>
        <w:tc>
          <w:tcPr/>
          <w:p>
            <w:pPr>
              <w:pStyle w:val="Compact"/>
              <w:jc w:val="left"/>
            </w:pPr>
            <w:r>
              <w:t xml:space="preserve">A DIY will builder</w:t>
            </w:r>
          </w:p>
        </w:tc>
      </w:tr>
    </w:tbl>
    <w:p>
      <w:pPr>
        <w:pStyle w:val="BodyText"/>
      </w:pPr>
      <w:r>
        <w:rPr>
          <w:bCs/>
          <w:b/>
        </w:rPr>
        <w:t xml:space="preserve">Release trigger.</w:t>
      </w:r>
      <w:r>
        <w:t xml:space="preserve"> </w:t>
      </w:r>
      <w:r>
        <w:t xml:space="preserve">Data is released to the nominee only on production of a death certificate, verified where possible against the registrar record. No inactivity or check-in based trigger — the false-positive risk is unrecoverable.</w:t>
      </w:r>
    </w:p>
    <w:bookmarkEnd w:id="20"/>
    <w:bookmarkStart w:id="27" w:name="data-capture-the-complete-field-list"/>
    <w:p>
      <w:pPr>
        <w:pStyle w:val="Heading2"/>
      </w:pPr>
      <w:r>
        <w:t xml:space="preserve">Data capture — the complete field list</w:t>
      </w:r>
    </w:p>
    <w:p>
      <w:pPr>
        <w:pStyle w:val="FirstParagraph"/>
      </w:pPr>
      <w:r>
        <w:t xml:space="preserve">Twelve screens. Every field below either prints on the report or drives a paid offer. Nothing is collected</w:t>
      </w:r>
      <w:r>
        <w:t xml:space="preserve"> </w:t>
      </w:r>
      <w:r>
        <w:t xml:space="preserve">“</w:t>
      </w:r>
      <w:r>
        <w:t xml:space="preserve">for later</w:t>
      </w:r>
      <w:r>
        <w:t xml:space="preserve">”</w:t>
      </w:r>
      <w:r>
        <w:t xml:space="preserve">.</w:t>
      </w:r>
    </w:p>
    <w:bookmarkStart w:id="21" w:name="screen-13-who-you-are"/>
    <w:p>
      <w:pPr>
        <w:pStyle w:val="Heading3"/>
      </w:pPr>
      <w:r>
        <w:t xml:space="preserve">Screen 1–3: Who you are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Purpose</w:t>
            </w:r>
          </w:p>
        </w:tc>
      </w:tr>
      <w:tr>
        <w:tc>
          <w:tcPr/>
          <w:p>
            <w:pPr>
              <w:pStyle w:val="Compact"/>
              <w:jc w:val="left"/>
            </w:pPr>
            <w:r>
              <w:t xml:space="preserve">1.1</w:t>
            </w:r>
          </w:p>
        </w:tc>
        <w:tc>
          <w:tcPr/>
          <w:p>
            <w:pPr>
              <w:pStyle w:val="Compact"/>
              <w:jc w:val="left"/>
            </w:pPr>
            <w:r>
              <w:t xml:space="preserve">Full name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Report header</w:t>
            </w:r>
          </w:p>
        </w:tc>
      </w:tr>
      <w:tr>
        <w:tc>
          <w:tcPr/>
          <w:p>
            <w:pPr>
              <w:pStyle w:val="Compact"/>
              <w:jc w:val="left"/>
            </w:pPr>
            <w:r>
              <w:t xml:space="preserve">1.2</w:t>
            </w:r>
          </w:p>
        </w:tc>
        <w:tc>
          <w:tcPr/>
          <w:p>
            <w:pPr>
              <w:pStyle w:val="Compact"/>
              <w:jc w:val="left"/>
            </w:pPr>
            <w:r>
              <w:t xml:space="preserve">Mobile</w:t>
            </w:r>
          </w:p>
        </w:tc>
        <w:tc>
          <w:tcPr/>
          <w:p>
            <w:pPr>
              <w:pStyle w:val="Compact"/>
              <w:jc w:val="left"/>
            </w:pPr>
            <w:r>
              <w:t xml:space="preserve">Phone</w:t>
            </w:r>
          </w:p>
        </w:tc>
        <w:tc>
          <w:tcPr/>
          <w:p>
            <w:pPr>
              <w:pStyle w:val="Compact"/>
              <w:jc w:val="left"/>
            </w:pPr>
            <w:r>
              <w:t xml:space="preserve">Yes</w:t>
            </w:r>
          </w:p>
        </w:tc>
        <w:tc>
          <w:tcPr/>
          <w:p>
            <w:pPr>
              <w:pStyle w:val="Compact"/>
              <w:jc w:val="left"/>
            </w:pPr>
            <w:r>
              <w:t xml:space="preserve">Delivery + nudge channel</w:t>
            </w:r>
          </w:p>
        </w:tc>
      </w:tr>
      <w:tr>
        <w:tc>
          <w:tcPr/>
          <w:p>
            <w:pPr>
              <w:pStyle w:val="Compact"/>
              <w:jc w:val="left"/>
            </w:pPr>
            <w:r>
              <w:t xml:space="preserve">1.3</w:t>
            </w:r>
          </w:p>
        </w:tc>
        <w:tc>
          <w:tcPr/>
          <w:p>
            <w:pPr>
              <w:pStyle w:val="Compact"/>
              <w:jc w:val="left"/>
            </w:pPr>
            <w:r>
              <w:t xml:space="preserve">Email</w:t>
            </w:r>
          </w:p>
        </w:tc>
        <w:tc>
          <w:tcPr/>
          <w:p>
            <w:pPr>
              <w:pStyle w:val="Compact"/>
              <w:jc w:val="left"/>
            </w:pPr>
            <w:r>
              <w:t xml:space="preserve">Email</w:t>
            </w:r>
          </w:p>
        </w:tc>
        <w:tc>
          <w:tcPr/>
          <w:p>
            <w:pPr>
              <w:pStyle w:val="Compact"/>
              <w:jc w:val="left"/>
            </w:pPr>
            <w:r>
              <w:t xml:space="preserve">No</w:t>
            </w:r>
          </w:p>
        </w:tc>
        <w:tc>
          <w:tcPr/>
          <w:p>
            <w:pPr>
              <w:pStyle w:val="Compact"/>
              <w:jc w:val="left"/>
            </w:pPr>
            <w:r>
              <w:t xml:space="preserve">Fallback delivery</w:t>
            </w:r>
          </w:p>
        </w:tc>
      </w:tr>
      <w:tr>
        <w:tc>
          <w:tcPr/>
          <w:p>
            <w:pPr>
              <w:pStyle w:val="Compact"/>
              <w:jc w:val="left"/>
            </w:pPr>
            <w:r>
              <w:t xml:space="preserve">1.4</w:t>
            </w:r>
          </w:p>
        </w:tc>
        <w:tc>
          <w:tcPr/>
          <w:p>
            <w:pPr>
              <w:pStyle w:val="Compact"/>
              <w:jc w:val="left"/>
            </w:pPr>
            <w:r>
              <w:t xml:space="preserve">City</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Drives state-specific court fee estimate</w:t>
            </w:r>
          </w:p>
        </w:tc>
      </w:tr>
      <w:tr>
        <w:tc>
          <w:tcPr/>
          <w:p>
            <w:pPr>
              <w:pStyle w:val="Compact"/>
              <w:jc w:val="left"/>
            </w:pPr>
            <w:r>
              <w:t xml:space="preserve">2.1</w:t>
            </w:r>
          </w:p>
        </w:tc>
        <w:tc>
          <w:tcPr/>
          <w:p>
            <w:pPr>
              <w:pStyle w:val="Compact"/>
              <w:jc w:val="left"/>
            </w:pPr>
            <w:r>
              <w:t xml:space="preserve">Age band</w:t>
            </w:r>
          </w:p>
        </w:tc>
        <w:tc>
          <w:tcPr/>
          <w:p>
            <w:pPr>
              <w:pStyle w:val="Compact"/>
              <w:jc w:val="left"/>
            </w:pPr>
            <w:r>
              <w:t xml:space="preserve">25–34 / 35–44 / 45–54 / 55–64 / 65+</w:t>
            </w:r>
          </w:p>
        </w:tc>
        <w:tc>
          <w:tcPr/>
          <w:p>
            <w:pPr>
              <w:pStyle w:val="Compact"/>
              <w:jc w:val="left"/>
            </w:pPr>
            <w:r>
              <w:t xml:space="preserve">Yes</w:t>
            </w:r>
          </w:p>
        </w:tc>
        <w:tc>
          <w:tcPr/>
          <w:p>
            <w:pPr>
              <w:pStyle w:val="Compact"/>
              <w:jc w:val="left"/>
            </w:pPr>
            <w:r>
              <w:t xml:space="preserve">Urgency framing, segment reporting</w:t>
            </w:r>
          </w:p>
        </w:tc>
      </w:tr>
      <w:tr>
        <w:tc>
          <w:tcPr/>
          <w:p>
            <w:pPr>
              <w:pStyle w:val="Compact"/>
              <w:jc w:val="left"/>
            </w:pPr>
            <w:r>
              <w:t xml:space="preserve">2.2</w:t>
            </w:r>
          </w:p>
        </w:tc>
        <w:tc>
          <w:tcPr/>
          <w:p>
            <w:pPr>
              <w:pStyle w:val="Compact"/>
              <w:jc w:val="left"/>
            </w:pPr>
            <w:r>
              <w:t xml:space="preserve">Marital status</w:t>
            </w:r>
          </w:p>
        </w:tc>
        <w:tc>
          <w:tcPr/>
          <w:p>
            <w:pPr>
              <w:pStyle w:val="Compact"/>
              <w:jc w:val="left"/>
            </w:pPr>
            <w:r>
              <w:t xml:space="preserve">Single / Married / Widowed / Separated</w:t>
            </w:r>
          </w:p>
        </w:tc>
        <w:tc>
          <w:tcPr/>
          <w:p>
            <w:pPr>
              <w:pStyle w:val="Compact"/>
              <w:jc w:val="left"/>
            </w:pPr>
            <w:r>
              <w:t xml:space="preserve">Yes</w:t>
            </w:r>
          </w:p>
        </w:tc>
        <w:tc>
          <w:tcPr/>
          <w:p>
            <w:pPr>
              <w:pStyle w:val="Compact"/>
              <w:jc w:val="left"/>
            </w:pPr>
            <w:r>
              <w:t xml:space="preserve">Drives succession-law path</w:t>
            </w:r>
          </w:p>
        </w:tc>
      </w:tr>
      <w:tr>
        <w:tc>
          <w:tcPr/>
          <w:p>
            <w:pPr>
              <w:pStyle w:val="Compact"/>
              <w:jc w:val="left"/>
            </w:pPr>
            <w:r>
              <w:t xml:space="preserve">2.3</w:t>
            </w:r>
          </w:p>
        </w:tc>
        <w:tc>
          <w:tcPr/>
          <w:p>
            <w:pPr>
              <w:pStyle w:val="Compact"/>
              <w:jc w:val="left"/>
            </w:pPr>
            <w:r>
              <w:t xml:space="preserve">Religion for succession law</w:t>
            </w:r>
          </w:p>
        </w:tc>
        <w:tc>
          <w:tcPr/>
          <w:p>
            <w:pPr>
              <w:pStyle w:val="Compact"/>
              <w:jc w:val="left"/>
            </w:pPr>
            <w:r>
              <w:t xml:space="preserve">Hindu-Sikh-Jain-Buddhist / Muslim / Christian / Parsi / Other</w:t>
            </w:r>
          </w:p>
        </w:tc>
        <w:tc>
          <w:tcPr/>
          <w:p>
            <w:pPr>
              <w:pStyle w:val="Compact"/>
              <w:jc w:val="left"/>
            </w:pPr>
            <w:r>
              <w:t xml:space="preserve">Yes</w:t>
            </w:r>
          </w:p>
        </w:tc>
        <w:tc>
          <w:tcPr/>
          <w:p>
            <w:pPr>
              <w:pStyle w:val="Compact"/>
              <w:jc w:val="left"/>
            </w:pPr>
            <w:r>
              <w:t xml:space="preserve">Determines which personal law applies; label the question plainly as</w:t>
            </w:r>
            <w:r>
              <w:t xml:space="preserve"> </w:t>
            </w:r>
            <w:r>
              <w:t xml:space="preserve">“</w:t>
            </w:r>
            <w:r>
              <w:t xml:space="preserve">for succession law purposes</w:t>
            </w:r>
            <w:r>
              <w:t xml:space="preserve">”</w:t>
            </w:r>
          </w:p>
        </w:tc>
      </w:tr>
      <w:tr>
        <w:tc>
          <w:tcPr/>
          <w:p>
            <w:pPr>
              <w:pStyle w:val="Compact"/>
              <w:jc w:val="left"/>
            </w:pPr>
            <w:r>
              <w:t xml:space="preserve">3.1</w:t>
            </w:r>
          </w:p>
        </w:tc>
        <w:tc>
          <w:tcPr/>
          <w:p>
            <w:pPr>
              <w:pStyle w:val="Compact"/>
              <w:jc w:val="left"/>
            </w:pPr>
            <w:r>
              <w:t xml:space="preserve">Who depends on you financially</w:t>
            </w:r>
          </w:p>
        </w:tc>
        <w:tc>
          <w:tcPr/>
          <w:p>
            <w:pPr>
              <w:pStyle w:val="Compact"/>
              <w:jc w:val="left"/>
            </w:pPr>
            <w:r>
              <w:t xml:space="preserve">Multi: spouse, children under 18, children 18+, parents, siblings, none</w:t>
            </w:r>
          </w:p>
        </w:tc>
        <w:tc>
          <w:tcPr/>
          <w:p>
            <w:pPr>
              <w:pStyle w:val="Compact"/>
              <w:jc w:val="left"/>
            </w:pPr>
            <w:r>
              <w:t xml:space="preserve">Yes</w:t>
            </w:r>
          </w:p>
        </w:tc>
        <w:tc>
          <w:tcPr/>
          <w:p>
            <w:pPr>
              <w:pStyle w:val="Compact"/>
              <w:jc w:val="left"/>
            </w:pPr>
            <w:r>
              <w:t xml:space="preserve">Drives report tone and the dependants line</w:t>
            </w:r>
          </w:p>
        </w:tc>
      </w:tr>
      <w:tr>
        <w:tc>
          <w:tcPr/>
          <w:p>
            <w:pPr>
              <w:pStyle w:val="Compact"/>
              <w:jc w:val="left"/>
            </w:pPr>
            <w:r>
              <w:t xml:space="preserve">3.2</w:t>
            </w:r>
          </w:p>
        </w:tc>
        <w:tc>
          <w:tcPr/>
          <w:p>
            <w:pPr>
              <w:pStyle w:val="Compact"/>
              <w:jc w:val="left"/>
            </w:pPr>
            <w:r>
              <w:t xml:space="preserve">Are any dependants minors</w:t>
            </w:r>
          </w:p>
        </w:tc>
        <w:tc>
          <w:tcPr/>
          <w:p>
            <w:pPr>
              <w:pStyle w:val="Compact"/>
              <w:jc w:val="left"/>
            </w:pPr>
            <w:r>
              <w:t xml:space="preserve">Yes / No</w:t>
            </w:r>
          </w:p>
        </w:tc>
        <w:tc>
          <w:tcPr/>
          <w:p>
            <w:pPr>
              <w:pStyle w:val="Compact"/>
              <w:jc w:val="left"/>
            </w:pPr>
            <w:r>
              <w:t xml:space="preserve">Yes</w:t>
            </w:r>
          </w:p>
        </w:tc>
        <w:tc>
          <w:tcPr/>
          <w:p>
            <w:pPr>
              <w:pStyle w:val="Compact"/>
              <w:jc w:val="left"/>
            </w:pPr>
            <w:r>
              <w:t xml:space="preserve">Triggers the guardian gap flag — highest-value upsell trigger</w:t>
            </w:r>
          </w:p>
        </w:tc>
      </w:tr>
    </w:tbl>
    <w:bookmarkEnd w:id="21"/>
    <w:bookmarkStart w:id="22" w:name="X3f7e515094eacc074d0c5ad8f7d86f935d329c6"/>
    <w:p>
      <w:pPr>
        <w:pStyle w:val="Heading3"/>
      </w:pPr>
      <w:r>
        <w:t xml:space="preserve">Screen 4: The asset checklist (the core question)</w:t>
      </w:r>
    </w:p>
    <w:p>
      <w:pPr>
        <w:pStyle w:val="FirstParagraph"/>
      </w:pPr>
      <w:r>
        <w:t xml:space="preserve">One screen, tick all that apply. Fourteen categories: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Category</w:t>
            </w:r>
          </w:p>
        </w:tc>
        <w:tc>
          <w:tcPr/>
          <w:p>
            <w:pPr>
              <w:pStyle w:val="Compact"/>
              <w:jc w:val="left"/>
            </w:pPr>
            <w:r>
              <w:t xml:space="preserve">Nomination possible</w:t>
            </w:r>
          </w:p>
        </w:tc>
      </w:tr>
      <w:tr>
        <w:tc>
          <w:tcPr/>
          <w:p>
            <w:pPr>
              <w:pStyle w:val="Compact"/>
              <w:jc w:val="left"/>
            </w:pPr>
            <w:r>
              <w:t xml:space="preserve">BANK</w:t>
            </w:r>
          </w:p>
        </w:tc>
        <w:tc>
          <w:tcPr/>
          <w:p>
            <w:pPr>
              <w:pStyle w:val="Compact"/>
              <w:jc w:val="left"/>
            </w:pPr>
            <w:r>
              <w:t xml:space="preserve">Savings / current accounts</w:t>
            </w:r>
          </w:p>
        </w:tc>
        <w:tc>
          <w:tcPr/>
          <w:p>
            <w:pPr>
              <w:pStyle w:val="Compact"/>
              <w:jc w:val="left"/>
            </w:pPr>
            <w:r>
              <w:t xml:space="preserve">Yes, up to 4 nominees since the Banking Laws (Amendment) Act 2025</w:t>
            </w:r>
          </w:p>
        </w:tc>
      </w:tr>
      <w:tr>
        <w:tc>
          <w:tcPr/>
          <w:p>
            <w:pPr>
              <w:pStyle w:val="Compact"/>
              <w:jc w:val="left"/>
            </w:pPr>
            <w:r>
              <w:t xml:space="preserve">FD</w:t>
            </w:r>
          </w:p>
        </w:tc>
        <w:tc>
          <w:tcPr/>
          <w:p>
            <w:pPr>
              <w:pStyle w:val="Compact"/>
              <w:jc w:val="left"/>
            </w:pPr>
            <w:r>
              <w:t xml:space="preserve">Fixed / recurring deposits</w:t>
            </w:r>
          </w:p>
        </w:tc>
        <w:tc>
          <w:tcPr/>
          <w:p>
            <w:pPr>
              <w:pStyle w:val="Compact"/>
              <w:jc w:val="left"/>
            </w:pPr>
            <w:r>
              <w:t xml:space="preserve">Yes</w:t>
            </w:r>
          </w:p>
        </w:tc>
      </w:tr>
      <w:tr>
        <w:tc>
          <w:tcPr/>
          <w:p>
            <w:pPr>
              <w:pStyle w:val="Compact"/>
              <w:jc w:val="left"/>
            </w:pPr>
            <w:r>
              <w:t xml:space="preserve">DEMAT</w:t>
            </w:r>
          </w:p>
        </w:tc>
        <w:tc>
          <w:tcPr/>
          <w:p>
            <w:pPr>
              <w:pStyle w:val="Compact"/>
              <w:jc w:val="left"/>
            </w:pPr>
            <w:r>
              <w:t xml:space="preserve">Demat / stocks</w:t>
            </w:r>
          </w:p>
        </w:tc>
        <w:tc>
          <w:tcPr/>
          <w:p>
            <w:pPr>
              <w:pStyle w:val="Compact"/>
              <w:jc w:val="left"/>
            </w:pPr>
            <w:r>
              <w:t xml:space="preserve">Yes, up to 10 since SEBI’s Jan 2025 circular</w:t>
            </w:r>
          </w:p>
        </w:tc>
      </w:tr>
      <w:tr>
        <w:tc>
          <w:tcPr/>
          <w:p>
            <w:pPr>
              <w:pStyle w:val="Compact"/>
              <w:jc w:val="left"/>
            </w:pPr>
            <w:r>
              <w:t xml:space="preserve">MF</w:t>
            </w:r>
          </w:p>
        </w:tc>
        <w:tc>
          <w:tcPr/>
          <w:p>
            <w:pPr>
              <w:pStyle w:val="Compact"/>
              <w:jc w:val="left"/>
            </w:pPr>
            <w:r>
              <w:t xml:space="preserve">Mutual funds</w:t>
            </w:r>
          </w:p>
        </w:tc>
        <w:tc>
          <w:tcPr/>
          <w:p>
            <w:pPr>
              <w:pStyle w:val="Compact"/>
              <w:jc w:val="left"/>
            </w:pPr>
            <w:r>
              <w:t xml:space="preserve">Yes, up to 10</w:t>
            </w:r>
          </w:p>
        </w:tc>
      </w:tr>
      <w:tr>
        <w:tc>
          <w:tcPr/>
          <w:p>
            <w:pPr>
              <w:pStyle w:val="Compact"/>
              <w:jc w:val="left"/>
            </w:pPr>
            <w:r>
              <w:t xml:space="preserve">LIFE</w:t>
            </w:r>
          </w:p>
        </w:tc>
        <w:tc>
          <w:tcPr/>
          <w:p>
            <w:pPr>
              <w:pStyle w:val="Compact"/>
              <w:jc w:val="left"/>
            </w:pPr>
            <w:r>
              <w:t xml:space="preserve">Life insurance</w:t>
            </w:r>
          </w:p>
        </w:tc>
        <w:tc>
          <w:tcPr/>
          <w:p>
            <w:pPr>
              <w:pStyle w:val="Compact"/>
              <w:jc w:val="left"/>
            </w:pPr>
            <w:r>
              <w:t xml:space="preserve">Yes</w:t>
            </w:r>
          </w:p>
        </w:tc>
      </w:tr>
      <w:tr>
        <w:tc>
          <w:tcPr/>
          <w:p>
            <w:pPr>
              <w:pStyle w:val="Compact"/>
              <w:jc w:val="left"/>
            </w:pPr>
            <w:r>
              <w:t xml:space="preserve">HEALTH</w:t>
            </w:r>
          </w:p>
        </w:tc>
        <w:tc>
          <w:tcPr/>
          <w:p>
            <w:pPr>
              <w:pStyle w:val="Compact"/>
              <w:jc w:val="left"/>
            </w:pPr>
            <w:r>
              <w:t xml:space="preserve">Health insurance</w:t>
            </w:r>
          </w:p>
        </w:tc>
        <w:tc>
          <w:tcPr/>
          <w:p>
            <w:pPr>
              <w:pStyle w:val="Compact"/>
              <w:jc w:val="left"/>
            </w:pPr>
            <w:r>
              <w:t xml:space="preserve">Nominee for claim proceeds</w:t>
            </w:r>
          </w:p>
        </w:tc>
      </w:tr>
      <w:tr>
        <w:tc>
          <w:tcPr/>
          <w:p>
            <w:pPr>
              <w:pStyle w:val="Compact"/>
              <w:jc w:val="left"/>
            </w:pPr>
            <w:r>
              <w:t xml:space="preserve">EPF</w:t>
            </w:r>
          </w:p>
        </w:tc>
        <w:tc>
          <w:tcPr/>
          <w:p>
            <w:pPr>
              <w:pStyle w:val="Compact"/>
              <w:jc w:val="left"/>
            </w:pPr>
            <w:r>
              <w:t xml:space="preserve">EPF / EPS</w:t>
            </w:r>
          </w:p>
        </w:tc>
        <w:tc>
          <w:tcPr/>
          <w:p>
            <w:pPr>
              <w:pStyle w:val="Compact"/>
              <w:jc w:val="left"/>
            </w:pPr>
            <w:r>
              <w:t xml:space="preserve">Yes, via e-nomination</w:t>
            </w:r>
          </w:p>
        </w:tc>
      </w:tr>
      <w:tr>
        <w:tc>
          <w:tcPr/>
          <w:p>
            <w:pPr>
              <w:pStyle w:val="Compact"/>
              <w:jc w:val="left"/>
            </w:pPr>
            <w:r>
              <w:t xml:space="preserve">NPS</w:t>
            </w:r>
          </w:p>
        </w:tc>
        <w:tc>
          <w:tcPr/>
          <w:p>
            <w:pPr>
              <w:pStyle w:val="Compact"/>
              <w:jc w:val="left"/>
            </w:pPr>
            <w:r>
              <w:t xml:space="preserve">NPS</w:t>
            </w:r>
          </w:p>
        </w:tc>
        <w:tc>
          <w:tcPr/>
          <w:p>
            <w:pPr>
              <w:pStyle w:val="Compact"/>
              <w:jc w:val="left"/>
            </w:pPr>
            <w:r>
              <w:t xml:space="preserve">Yes</w:t>
            </w:r>
          </w:p>
        </w:tc>
      </w:tr>
      <w:tr>
        <w:tc>
          <w:tcPr/>
          <w:p>
            <w:pPr>
              <w:pStyle w:val="Compact"/>
              <w:jc w:val="left"/>
            </w:pPr>
            <w:r>
              <w:t xml:space="preserve">PPF</w:t>
            </w:r>
          </w:p>
        </w:tc>
        <w:tc>
          <w:tcPr/>
          <w:p>
            <w:pPr>
              <w:pStyle w:val="Compact"/>
              <w:jc w:val="left"/>
            </w:pPr>
            <w:r>
              <w:t xml:space="preserve">PPF / SSY / post office</w:t>
            </w:r>
          </w:p>
        </w:tc>
        <w:tc>
          <w:tcPr/>
          <w:p>
            <w:pPr>
              <w:pStyle w:val="Compact"/>
              <w:jc w:val="left"/>
            </w:pPr>
            <w:r>
              <w:t xml:space="preserve">Yes</w:t>
            </w:r>
          </w:p>
        </w:tc>
      </w:tr>
      <w:tr>
        <w:tc>
          <w:tcPr/>
          <w:p>
            <w:pPr>
              <w:pStyle w:val="Compact"/>
              <w:jc w:val="left"/>
            </w:pPr>
            <w:r>
              <w:t xml:space="preserve">PROP</w:t>
            </w:r>
          </w:p>
        </w:tc>
        <w:tc>
          <w:tcPr/>
          <w:p>
            <w:pPr>
              <w:pStyle w:val="Compact"/>
              <w:jc w:val="left"/>
            </w:pPr>
            <w:r>
              <w:t xml:space="preserve">Property</w:t>
            </w:r>
          </w:p>
        </w:tc>
        <w:tc>
          <w:tcPr/>
          <w:p>
            <w:pPr>
              <w:pStyle w:val="Compact"/>
              <w:jc w:val="left"/>
            </w:pPr>
            <w:r>
              <w:t xml:space="preserve">No — will or succession only</w:t>
            </w:r>
          </w:p>
        </w:tc>
      </w:tr>
      <w:tr>
        <w:tc>
          <w:tcPr/>
          <w:p>
            <w:pPr>
              <w:pStyle w:val="Compact"/>
              <w:jc w:val="left"/>
            </w:pPr>
            <w:r>
              <w:t xml:space="preserve">GOLD</w:t>
            </w:r>
          </w:p>
        </w:tc>
        <w:tc>
          <w:tcPr/>
          <w:p>
            <w:pPr>
              <w:pStyle w:val="Compact"/>
              <w:jc w:val="left"/>
            </w:pPr>
            <w:r>
              <w:t xml:space="preserve">Gold, jewellery, locker</w:t>
            </w:r>
          </w:p>
        </w:tc>
        <w:tc>
          <w:tcPr/>
          <w:p>
            <w:pPr>
              <w:pStyle w:val="Compact"/>
              <w:jc w:val="left"/>
            </w:pPr>
            <w:r>
              <w:t xml:space="preserve">No — will only</w:t>
            </w:r>
          </w:p>
        </w:tc>
      </w:tr>
      <w:tr>
        <w:tc>
          <w:tcPr/>
          <w:p>
            <w:pPr>
              <w:pStyle w:val="Compact"/>
              <w:jc w:val="left"/>
            </w:pPr>
            <w:r>
              <w:t xml:space="preserve">BIZ</w:t>
            </w:r>
          </w:p>
        </w:tc>
        <w:tc>
          <w:tcPr/>
          <w:p>
            <w:pPr>
              <w:pStyle w:val="Compact"/>
              <w:jc w:val="left"/>
            </w:pPr>
            <w:r>
              <w:t xml:space="preserve">Business / LLP / company stake</w:t>
            </w:r>
          </w:p>
        </w:tc>
        <w:tc>
          <w:tcPr/>
          <w:p>
            <w:pPr>
              <w:pStyle w:val="Compact"/>
              <w:jc w:val="left"/>
            </w:pPr>
            <w:r>
              <w:t xml:space="preserve">Depends on constitution documents</w:t>
            </w:r>
          </w:p>
        </w:tc>
      </w:tr>
      <w:tr>
        <w:tc>
          <w:tcPr/>
          <w:p>
            <w:pPr>
              <w:pStyle w:val="Compact"/>
              <w:jc w:val="left"/>
            </w:pPr>
            <w:r>
              <w:t xml:space="preserve">LOAN</w:t>
            </w:r>
          </w:p>
        </w:tc>
        <w:tc>
          <w:tcPr/>
          <w:p>
            <w:pPr>
              <w:pStyle w:val="Compact"/>
              <w:jc w:val="left"/>
            </w:pPr>
            <w:r>
              <w:t xml:space="preserve">Loans and liabilities</w:t>
            </w:r>
          </w:p>
        </w:tc>
        <w:tc>
          <w:tcPr/>
          <w:p>
            <w:pPr>
              <w:pStyle w:val="Compact"/>
              <w:jc w:val="left"/>
            </w:pPr>
            <w:r>
              <w:t xml:space="preserve">N/A — captured because they transfer too</w:t>
            </w:r>
          </w:p>
        </w:tc>
      </w:tr>
      <w:tr>
        <w:tc>
          <w:tcPr/>
          <w:p>
            <w:pPr>
              <w:pStyle w:val="Compact"/>
              <w:jc w:val="left"/>
            </w:pPr>
            <w:r>
              <w:t xml:space="preserve">CRYPTO</w:t>
            </w:r>
          </w:p>
        </w:tc>
        <w:tc>
          <w:tcPr/>
          <w:p>
            <w:pPr>
              <w:pStyle w:val="Compact"/>
              <w:jc w:val="left"/>
            </w:pPr>
            <w:r>
              <w:t xml:space="preserve">Crypto / digital assets</w:t>
            </w:r>
          </w:p>
        </w:tc>
        <w:tc>
          <w:tcPr/>
          <w:p>
            <w:pPr>
              <w:pStyle w:val="Compact"/>
              <w:jc w:val="left"/>
            </w:pPr>
            <w:r>
              <w:t xml:space="preserve">No — seed phrase access is the only route</w:t>
            </w:r>
          </w:p>
        </w:tc>
      </w:tr>
    </w:tbl>
    <w:bookmarkEnd w:id="22"/>
    <w:bookmarkStart w:id="23" w:name="X9c1cc1731216c12e3d3a779e1b4fcb4b8c9cf29"/>
    <w:p>
      <w:pPr>
        <w:pStyle w:val="Heading3"/>
      </w:pPr>
      <w:r>
        <w:t xml:space="preserve">Screen 5–10: Per-category detail (repeats once per ticked category)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5.1</w:t>
            </w:r>
          </w:p>
        </w:tc>
        <w:tc>
          <w:tcPr/>
          <w:p>
            <w:pPr>
              <w:pStyle w:val="Compact"/>
              <w:jc w:val="left"/>
            </w:pPr>
            <w:r>
              <w:t xml:space="preserve">Which institution(s)</w:t>
            </w:r>
          </w:p>
        </w:tc>
        <w:tc>
          <w:tcPr/>
          <w:p>
            <w:pPr>
              <w:pStyle w:val="Compact"/>
              <w:jc w:val="left"/>
            </w:pPr>
            <w:r>
              <w:t xml:space="preserve">Text, autocomplete from a seeded list</w:t>
            </w:r>
          </w:p>
        </w:tc>
        <w:tc>
          <w:tcPr/>
          <w:p>
            <w:pPr>
              <w:pStyle w:val="Compact"/>
              <w:jc w:val="left"/>
            </w:pPr>
            <w:r>
              <w:t xml:space="preserve">Names only. Never a number. Allow up to 5 per category.</w:t>
            </w:r>
          </w:p>
        </w:tc>
      </w:tr>
      <w:tr>
        <w:tc>
          <w:tcPr/>
          <w:p>
            <w:pPr>
              <w:pStyle w:val="Compact"/>
              <w:jc w:val="left"/>
            </w:pPr>
            <w:r>
              <w:t xml:space="preserve">5.2</w:t>
            </w:r>
          </w:p>
        </w:tc>
        <w:tc>
          <w:tcPr/>
          <w:p>
            <w:pPr>
              <w:pStyle w:val="Compact"/>
              <w:jc w:val="left"/>
            </w:pPr>
            <w:r>
              <w:t xml:space="preserve">Roughly how many accounts here</w:t>
            </w:r>
          </w:p>
        </w:tc>
        <w:tc>
          <w:tcPr/>
          <w:p>
            <w:pPr>
              <w:pStyle w:val="Compact"/>
              <w:jc w:val="left"/>
            </w:pPr>
            <w:r>
              <w:t xml:space="preserve">1 / 2–3 / 4+</w:t>
            </w:r>
          </w:p>
        </w:tc>
        <w:tc>
          <w:tcPr/>
          <w:p>
            <w:pPr>
              <w:pStyle w:val="Compact"/>
              <w:jc w:val="left"/>
            </w:pPr>
            <w:r>
              <w:t xml:space="preserve">Drives the ops quote for Nomination Fix</w:t>
            </w:r>
          </w:p>
        </w:tc>
      </w:tr>
      <w:tr>
        <w:tc>
          <w:tcPr/>
          <w:p>
            <w:pPr>
              <w:pStyle w:val="Compact"/>
              <w:jc w:val="left"/>
            </w:pPr>
            <w:r>
              <w:t xml:space="preserve">5.3</w:t>
            </w:r>
          </w:p>
        </w:tc>
        <w:tc>
          <w:tcPr/>
          <w:p>
            <w:pPr>
              <w:pStyle w:val="Compact"/>
              <w:jc w:val="left"/>
            </w:pPr>
            <w:r>
              <w:t xml:space="preserve">Nominee registered</w:t>
            </w:r>
          </w:p>
        </w:tc>
        <w:tc>
          <w:tcPr/>
          <w:p>
            <w:pPr>
              <w:pStyle w:val="Compact"/>
              <w:jc w:val="left"/>
            </w:pPr>
            <w:r>
              <w:t xml:space="preserve">Yes / No / Don’t know</w:t>
            </w:r>
          </w:p>
        </w:tc>
        <w:tc>
          <w:tcPr/>
          <w:p>
            <w:pPr>
              <w:pStyle w:val="Compact"/>
              <w:jc w:val="left"/>
            </w:pPr>
            <w:r>
              <w:t xml:space="preserve">The single most important field in the product</w:t>
            </w:r>
          </w:p>
        </w:tc>
      </w:tr>
      <w:tr>
        <w:tc>
          <w:tcPr/>
          <w:p>
            <w:pPr>
              <w:pStyle w:val="Compact"/>
              <w:jc w:val="left"/>
            </w:pPr>
            <w:r>
              <w:t xml:space="preserve">5.4</w:t>
            </w:r>
          </w:p>
        </w:tc>
        <w:tc>
          <w:tcPr/>
          <w:p>
            <w:pPr>
              <w:pStyle w:val="Compact"/>
              <w:jc w:val="left"/>
            </w:pPr>
            <w:r>
              <w:t xml:space="preserve">Who is the nominee</w:t>
            </w:r>
          </w:p>
        </w:tc>
        <w:tc>
          <w:tcPr/>
          <w:p>
            <w:pPr>
              <w:pStyle w:val="Compact"/>
              <w:jc w:val="left"/>
            </w:pPr>
            <w:r>
              <w:t xml:space="preserve">Spouse / Child / Parent / Sibling / Other / N/A</w:t>
            </w:r>
          </w:p>
        </w:tc>
        <w:tc>
          <w:tcPr/>
          <w:p>
            <w:pPr>
              <w:pStyle w:val="Compact"/>
              <w:jc w:val="left"/>
            </w:pPr>
            <w:r>
              <w:t xml:space="preserve">Detects the classic mismatch: nominee is a parent, will leaves it to the spouse</w:t>
            </w:r>
          </w:p>
        </w:tc>
      </w:tr>
      <w:tr>
        <w:tc>
          <w:tcPr/>
          <w:p>
            <w:pPr>
              <w:pStyle w:val="Compact"/>
              <w:jc w:val="left"/>
            </w:pPr>
            <w:r>
              <w:t xml:space="preserve">5.5</w:t>
            </w:r>
          </w:p>
        </w:tc>
        <w:tc>
          <w:tcPr/>
          <w:p>
            <w:pPr>
              <w:pStyle w:val="Compact"/>
              <w:jc w:val="left"/>
            </w:pPr>
            <w:r>
              <w:t xml:space="preserve">Approximate value band</w:t>
            </w:r>
          </w:p>
        </w:tc>
        <w:tc>
          <w:tcPr/>
          <w:p>
            <w:pPr>
              <w:pStyle w:val="Compact"/>
              <w:jc w:val="left"/>
            </w:pPr>
            <w:r>
              <w:t xml:space="preserve">Under 5L / 5–25L / 25L–1Cr / Over 1Cr / Prefer not to say</w:t>
            </w:r>
          </w:p>
        </w:tc>
        <w:tc>
          <w:tcPr/>
          <w:p>
            <w:pPr>
              <w:pStyle w:val="Compact"/>
              <w:jc w:val="left"/>
            </w:pPr>
            <w:r>
              <w:t xml:space="preserve">Optional. Drives the cost-exposure estimate and lead scoring. Bands only, never a figure.</w:t>
            </w:r>
          </w:p>
        </w:tc>
      </w:tr>
    </w:tbl>
    <w:p>
      <w:pPr>
        <w:pStyle w:val="BodyText"/>
      </w:pPr>
      <w:r>
        <w:t xml:space="preserve">Field 5.5 is the one judgement call. It is optional and banded, so it is not an account balance — but it is the field that turns a generic report into a specific rupee number, and it is the field that tells you which leads are worth an ops call. Default it to</w:t>
      </w:r>
      <w:r>
        <w:t xml:space="preserve"> </w:t>
      </w:r>
      <w:r>
        <w:t xml:space="preserve">“</w:t>
      </w:r>
      <w:r>
        <w:t xml:space="preserve">Prefer not to say</w:t>
      </w:r>
      <w:r>
        <w:t xml:space="preserve">”</w:t>
      </w:r>
      <w:r>
        <w:t xml:space="preserve"> </w:t>
      </w:r>
      <w:r>
        <w:t xml:space="preserve">and let people opt in.</w:t>
      </w:r>
    </w:p>
    <w:bookmarkEnd w:id="23"/>
    <w:bookmarkStart w:id="24" w:name="screen-11-legal-readiness"/>
    <w:p>
      <w:pPr>
        <w:pStyle w:val="Heading3"/>
      </w:pPr>
      <w:r>
        <w:t xml:space="preserve">Screen 11: Legal readiness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11.1</w:t>
            </w:r>
          </w:p>
        </w:tc>
        <w:tc>
          <w:tcPr/>
          <w:p>
            <w:pPr>
              <w:pStyle w:val="Compact"/>
              <w:jc w:val="left"/>
            </w:pPr>
            <w:r>
              <w:t xml:space="preserve">Do you have a will</w:t>
            </w:r>
          </w:p>
        </w:tc>
        <w:tc>
          <w:tcPr/>
          <w:p>
            <w:pPr>
              <w:pStyle w:val="Compact"/>
              <w:jc w:val="left"/>
            </w:pPr>
            <w:r>
              <w:t xml:space="preserve">No / Written but unsigned / Signed, unregistered / Signed and registered</w:t>
            </w:r>
          </w:p>
        </w:tc>
        <w:tc>
          <w:tcPr/>
          <w:p>
            <w:pPr>
              <w:pStyle w:val="Compact"/>
              <w:jc w:val="left"/>
            </w:pPr>
            <w:r>
              <w:t xml:space="preserve">Direct trigger for Adrika Will</w:t>
            </w:r>
          </w:p>
        </w:tc>
      </w:tr>
      <w:tr>
        <w:tc>
          <w:tcPr/>
          <w:p>
            <w:pPr>
              <w:pStyle w:val="Compact"/>
              <w:jc w:val="left"/>
            </w:pPr>
            <w:r>
              <w:t xml:space="preserve">11.2</w:t>
            </w:r>
          </w:p>
        </w:tc>
        <w:tc>
          <w:tcPr/>
          <w:p>
            <w:pPr>
              <w:pStyle w:val="Compact"/>
              <w:jc w:val="left"/>
            </w:pPr>
            <w:r>
              <w:t xml:space="preserve">If yes, when was it last updated</w:t>
            </w:r>
          </w:p>
        </w:tc>
        <w:tc>
          <w:tcPr/>
          <w:p>
            <w:pPr>
              <w:pStyle w:val="Compact"/>
              <w:jc w:val="left"/>
            </w:pPr>
            <w:r>
              <w:t xml:space="preserve">Within 2 years / 2–5 years / Over 5 years / Don’t remember</w:t>
            </w:r>
          </w:p>
        </w:tc>
        <w:tc>
          <w:tcPr/>
          <w:p>
            <w:pPr>
              <w:pStyle w:val="Compact"/>
              <w:jc w:val="left"/>
            </w:pPr>
            <w:r>
              <w:t xml:space="preserve">Stale wills are a re-sell</w:t>
            </w:r>
          </w:p>
        </w:tc>
      </w:tr>
      <w:tr>
        <w:tc>
          <w:tcPr/>
          <w:p>
            <w:pPr>
              <w:pStyle w:val="Compact"/>
              <w:jc w:val="left"/>
            </w:pPr>
            <w:r>
              <w:t xml:space="preserve">11.3</w:t>
            </w:r>
          </w:p>
        </w:tc>
        <w:tc>
          <w:tcPr/>
          <w:p>
            <w:pPr>
              <w:pStyle w:val="Compact"/>
              <w:jc w:val="left"/>
            </w:pPr>
            <w:r>
              <w:t xml:space="preserve">Guardian named for minor children</w:t>
            </w:r>
          </w:p>
        </w:tc>
        <w:tc>
          <w:tcPr/>
          <w:p>
            <w:pPr>
              <w:pStyle w:val="Compact"/>
              <w:jc w:val="left"/>
            </w:pPr>
            <w:r>
              <w:t xml:space="preserve">Yes / No / Not applicable</w:t>
            </w:r>
          </w:p>
        </w:tc>
        <w:tc>
          <w:tcPr/>
          <w:p>
            <w:pPr>
              <w:pStyle w:val="Compact"/>
              <w:jc w:val="left"/>
            </w:pPr>
            <w:r>
              <w:t xml:space="preserve">Highest-emotion gap on the whole form</w:t>
            </w:r>
          </w:p>
        </w:tc>
      </w:tr>
      <w:tr>
        <w:tc>
          <w:tcPr/>
          <w:p>
            <w:pPr>
              <w:pStyle w:val="Compact"/>
              <w:jc w:val="left"/>
            </w:pPr>
            <w:r>
              <w:t xml:space="preserve">11.4</w:t>
            </w:r>
          </w:p>
        </w:tc>
        <w:tc>
          <w:tcPr/>
          <w:p>
            <w:pPr>
              <w:pStyle w:val="Compact"/>
              <w:jc w:val="left"/>
            </w:pPr>
            <w:r>
              <w:t xml:space="preserve">Does anyone know where your documents are kept</w:t>
            </w:r>
          </w:p>
        </w:tc>
        <w:tc>
          <w:tcPr/>
          <w:p>
            <w:pPr>
              <w:pStyle w:val="Compact"/>
              <w:jc w:val="left"/>
            </w:pPr>
            <w:r>
              <w:t xml:space="preserve">Yes / No</w:t>
            </w:r>
          </w:p>
        </w:tc>
        <w:tc>
          <w:tcPr/>
          <w:p>
            <w:pPr>
              <w:pStyle w:val="Compact"/>
              <w:jc w:val="left"/>
            </w:pPr>
            <w:r>
              <w:t xml:space="preserve">The question that makes people uncomfortable enough to act</w:t>
            </w:r>
          </w:p>
        </w:tc>
      </w:tr>
      <w:tr>
        <w:tc>
          <w:tcPr/>
          <w:p>
            <w:pPr>
              <w:pStyle w:val="Compact"/>
              <w:jc w:val="left"/>
            </w:pPr>
            <w:r>
              <w:t xml:space="preserve">11.5</w:t>
            </w:r>
          </w:p>
        </w:tc>
        <w:tc>
          <w:tcPr/>
          <w:p>
            <w:pPr>
              <w:pStyle w:val="Compact"/>
              <w:jc w:val="left"/>
            </w:pPr>
            <w:r>
              <w:t xml:space="preserve">Any jointly held assets</w:t>
            </w:r>
          </w:p>
        </w:tc>
        <w:tc>
          <w:tcPr/>
          <w:p>
            <w:pPr>
              <w:pStyle w:val="Compact"/>
              <w:jc w:val="left"/>
            </w:pPr>
            <w:r>
              <w:t xml:space="preserve">Yes / No / Not sure</w:t>
            </w:r>
          </w:p>
        </w:tc>
        <w:tc>
          <w:tcPr/>
          <w:p>
            <w:pPr>
              <w:pStyle w:val="Compact"/>
              <w:jc w:val="left"/>
            </w:pPr>
            <w:r>
              <w:t xml:space="preserve">Joint holding changes the transmission path entirely</w:t>
            </w:r>
          </w:p>
        </w:tc>
      </w:tr>
      <w:tr>
        <w:tc>
          <w:tcPr/>
          <w:p>
            <w:pPr>
              <w:pStyle w:val="Compact"/>
              <w:jc w:val="left"/>
            </w:pPr>
            <w:r>
              <w:t xml:space="preserve">11.6</w:t>
            </w:r>
          </w:p>
        </w:tc>
        <w:tc>
          <w:tcPr/>
          <w:p>
            <w:pPr>
              <w:pStyle w:val="Compact"/>
              <w:jc w:val="left"/>
            </w:pPr>
            <w:r>
              <w:t xml:space="preserve">Any NRI heirs</w:t>
            </w:r>
          </w:p>
        </w:tc>
        <w:tc>
          <w:tcPr/>
          <w:p>
            <w:pPr>
              <w:pStyle w:val="Compact"/>
              <w:jc w:val="left"/>
            </w:pPr>
            <w:r>
              <w:t xml:space="preserve">Yes / No</w:t>
            </w:r>
          </w:p>
        </w:tc>
        <w:tc>
          <w:tcPr/>
          <w:p>
            <w:pPr>
              <w:pStyle w:val="Compact"/>
              <w:jc w:val="left"/>
            </w:pPr>
            <w:r>
              <w:t xml:space="preserve">Flags a higher-value, longer-timeline case</w:t>
            </w:r>
          </w:p>
        </w:tc>
      </w:tr>
    </w:tbl>
    <w:bookmarkEnd w:id="24"/>
    <w:bookmarkStart w:id="25" w:name="screen-12-the-trusted-person"/>
    <w:p>
      <w:pPr>
        <w:pStyle w:val="Heading3"/>
      </w:pPr>
      <w:r>
        <w:t xml:space="preserve">Screen 12: The trusted person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12.1</w:t>
            </w:r>
          </w:p>
        </w:tc>
        <w:tc>
          <w:tcPr/>
          <w:p>
            <w:pPr>
              <w:pStyle w:val="Compact"/>
              <w:jc w:val="left"/>
            </w:pPr>
            <w:r>
              <w:t xml:space="preserve">Name of the one person who would handle things</w:t>
            </w:r>
          </w:p>
        </w:tc>
        <w:tc>
          <w:tcPr/>
          <w:p>
            <w:pPr>
              <w:pStyle w:val="Compact"/>
              <w:jc w:val="left"/>
            </w:pPr>
            <w:r>
              <w:t xml:space="preserve">Text</w:t>
            </w:r>
          </w:p>
        </w:tc>
        <w:tc>
          <w:tcPr/>
          <w:p>
            <w:pPr>
              <w:pStyle w:val="Compact"/>
              <w:jc w:val="left"/>
            </w:pPr>
            <w:r>
              <w:t xml:space="preserve">Printed on the</w:t>
            </w:r>
            <w:r>
              <w:t xml:space="preserve"> </w:t>
            </w:r>
            <w:r>
              <w:t xml:space="preserve">“</w:t>
            </w:r>
            <w:r>
              <w:t xml:space="preserve">If something happens</w:t>
            </w:r>
            <w:r>
              <w:t xml:space="preserve">”</w:t>
            </w:r>
            <w:r>
              <w:t xml:space="preserve"> </w:t>
            </w:r>
            <w:r>
              <w:t xml:space="preserve">page</w:t>
            </w:r>
          </w:p>
        </w:tc>
      </w:tr>
      <w:tr>
        <w:tc>
          <w:tcPr/>
          <w:p>
            <w:pPr>
              <w:pStyle w:val="Compact"/>
              <w:jc w:val="left"/>
            </w:pPr>
            <w:r>
              <w:t xml:space="preserve">12.2</w:t>
            </w:r>
          </w:p>
        </w:tc>
        <w:tc>
          <w:tcPr/>
          <w:p>
            <w:pPr>
              <w:pStyle w:val="Compact"/>
              <w:jc w:val="left"/>
            </w:pPr>
            <w:r>
              <w:t xml:space="preserve">Their relationship</w:t>
            </w:r>
          </w:p>
        </w:tc>
        <w:tc>
          <w:tcPr/>
          <w:p>
            <w:pPr>
              <w:pStyle w:val="Compact"/>
              <w:jc w:val="left"/>
            </w:pPr>
            <w:r>
              <w:t xml:space="preserve">Dropdown</w:t>
            </w:r>
          </w:p>
        </w:tc>
        <w:tc>
          <w:tcPr/>
          <w:p>
            <w:pPr>
              <w:pStyle w:val="Compact"/>
              <w:jc w:val="left"/>
            </w:pPr>
            <w:r>
              <w:t xml:space="preserve">Cross-checked against nominee entries</w:t>
            </w:r>
          </w:p>
        </w:tc>
      </w:tr>
      <w:tr>
        <w:tc>
          <w:tcPr/>
          <w:p>
            <w:pPr>
              <w:pStyle w:val="Compact"/>
              <w:jc w:val="left"/>
            </w:pPr>
            <w:r>
              <w:t xml:space="preserve">12.3</w:t>
            </w:r>
          </w:p>
        </w:tc>
        <w:tc>
          <w:tcPr/>
          <w:p>
            <w:pPr>
              <w:pStyle w:val="Compact"/>
              <w:jc w:val="left"/>
            </w:pPr>
            <w:r>
              <w:t xml:space="preserve">Their mobile</w:t>
            </w:r>
          </w:p>
        </w:tc>
        <w:tc>
          <w:tcPr/>
          <w:p>
            <w:pPr>
              <w:pStyle w:val="Compact"/>
              <w:jc w:val="left"/>
            </w:pPr>
            <w:r>
              <w:t xml:space="preserve">Phone</w:t>
            </w:r>
          </w:p>
        </w:tc>
        <w:tc>
          <w:tcPr/>
          <w:p>
            <w:pPr>
              <w:pStyle w:val="Compact"/>
              <w:jc w:val="left"/>
            </w:pPr>
            <w:r>
              <w:t xml:space="preserve">Not contacted without consent</w:t>
            </w:r>
          </w:p>
        </w:tc>
      </w:tr>
      <w:tr>
        <w:tc>
          <w:tcPr/>
          <w:p>
            <w:pPr>
              <w:pStyle w:val="Compact"/>
              <w:jc w:val="left"/>
            </w:pPr>
            <w:r>
              <w:t xml:space="preserve">12.4</w:t>
            </w:r>
          </w:p>
        </w:tc>
        <w:tc>
          <w:tcPr/>
          <w:p>
            <w:pPr>
              <w:pStyle w:val="Compact"/>
              <w:jc w:val="left"/>
            </w:pPr>
            <w:r>
              <w:t xml:space="preserve">May we send them the one-page summary</w:t>
            </w:r>
          </w:p>
        </w:tc>
        <w:tc>
          <w:tcPr/>
          <w:p>
            <w:pPr>
              <w:pStyle w:val="Compact"/>
              <w:jc w:val="left"/>
            </w:pPr>
            <w:r>
              <w:t xml:space="preserve">Yes / No</w:t>
            </w:r>
          </w:p>
        </w:tc>
        <w:tc>
          <w:tcPr/>
          <w:p>
            <w:pPr>
              <w:pStyle w:val="Compact"/>
              <w:jc w:val="left"/>
            </w:pPr>
            <w:r>
              <w:t xml:space="preserve">Explicit consent. Default No.</w:t>
            </w:r>
          </w:p>
        </w:tc>
      </w:tr>
      <w:tr>
        <w:tc>
          <w:tcPr/>
          <w:p>
            <w:pPr>
              <w:pStyle w:val="Compact"/>
              <w:jc w:val="left"/>
            </w:pPr>
            <w:r>
              <w:t xml:space="preserve">12.5</w:t>
            </w:r>
          </w:p>
        </w:tc>
        <w:tc>
          <w:tcPr/>
          <w:p>
            <w:pPr>
              <w:pStyle w:val="Compact"/>
              <w:jc w:val="left"/>
            </w:pPr>
            <w:r>
              <w:t xml:space="preserve">Consent to store and be contacted</w:t>
            </w:r>
          </w:p>
        </w:tc>
        <w:tc>
          <w:tcPr/>
          <w:p>
            <w:pPr>
              <w:pStyle w:val="Compact"/>
              <w:jc w:val="left"/>
            </w:pPr>
            <w:r>
              <w:t xml:space="preserve">Checkbox</w:t>
            </w:r>
          </w:p>
        </w:tc>
        <w:tc>
          <w:tcPr/>
          <w:p>
            <w:pPr>
              <w:pStyle w:val="Compact"/>
              <w:jc w:val="left"/>
            </w:pPr>
            <w:r>
              <w:t xml:space="preserve">DPDP notice text sits here</w:t>
            </w:r>
          </w:p>
        </w:tc>
      </w:tr>
    </w:tbl>
    <w:bookmarkEnd w:id="25"/>
    <w:bookmarkStart w:id="26" w:name="never-captured"/>
    <w:p>
      <w:pPr>
        <w:pStyle w:val="Heading3"/>
      </w:pPr>
      <w:r>
        <w:t xml:space="preserve">Never captured</w:t>
      </w:r>
    </w:p>
    <w:p>
      <w:pPr>
        <w:pStyle w:val="FirstParagraph"/>
      </w:pPr>
      <w:r>
        <w:t xml:space="preserve">Account numbers, policy numbers, folio numbers, customer IDs, PAN, Aadhaar, exact balances, passwords, seed phrases, uploaded documents, health conditions. If a field is not on the lists above, it does not go in the database.</w:t>
      </w:r>
    </w:p>
    <w:bookmarkEnd w:id="26"/>
    <w:bookmarkEnd w:id="27"/>
    <w:bookmarkStart w:id="29" w:name="report-spec-six-pages"/>
    <w:p>
      <w:pPr>
        <w:pStyle w:val="Heading2"/>
      </w:pPr>
      <w:r>
        <w:t xml:space="preserve">Report spec — six pages</w:t>
      </w:r>
    </w:p>
    <w:p>
      <w:pPr>
        <w:pStyle w:val="FirstParagraph"/>
      </w:pPr>
      <w:r>
        <w:t xml:space="preserve">One PDF, six pages, generated from a Google Slides template. No page is optional.</w:t>
      </w:r>
    </w:p>
    <w:p>
      <w:pPr>
        <w:pStyle w:val="BodyText"/>
      </w:pPr>
      <w:r>
        <w:rPr>
          <w:bCs/>
          <w:b/>
        </w:rPr>
        <w:t xml:space="preserve">Page 1 — Your asset map.</w:t>
      </w:r>
      <w:r>
        <w:t xml:space="preserve"> </w:t>
      </w:r>
      <w:r>
        <w:t xml:space="preserve">A grid of every institution named, grouped by category, with a green tick or red cross for nomination status. Nothing else. This page alone is why people share the report with their spouse.</w:t>
      </w:r>
    </w:p>
    <w:p>
      <w:pPr>
        <w:pStyle w:val="BodyText"/>
      </w:pPr>
      <w:r>
        <w:rPr>
          <w:bCs/>
          <w:b/>
        </w:rPr>
        <w:t xml:space="preserve">Page 2 — Your gap score.</w:t>
      </w:r>
      <w:r>
        <w:t xml:space="preserve"> </w:t>
      </w:r>
      <w:r>
        <w:t xml:space="preserve">One large number:</w:t>
      </w:r>
      <w:r>
        <w:t xml:space="preserve"> </w:t>
      </w:r>
      <w:r>
        <w:t xml:space="preserve">“</w:t>
      </w:r>
      <w:r>
        <w:t xml:space="preserve">7 of your 11 institutions have no nominee registered.</w:t>
      </w:r>
      <w:r>
        <w:t xml:space="preserve">”</w:t>
      </w:r>
      <w:r>
        <w:t xml:space="preserve"> </w:t>
      </w:r>
      <w:r>
        <w:t xml:space="preserve">Below it, the three gaps ranked by consequence, not by asset size. Guardian-not-named for minor children always ranks first when present. No nominee on the largest-band asset ranks second.</w:t>
      </w:r>
    </w:p>
    <w:p>
      <w:pPr>
        <w:pStyle w:val="BodyText"/>
      </w:pPr>
      <w:r>
        <w:rPr>
          <w:bCs/>
          <w:b/>
        </w:rPr>
        <w:t xml:space="preserve">Page 3 — What your family would face today.</w:t>
      </w:r>
      <w:r>
        <w:t xml:space="preserve"> </w:t>
      </w:r>
      <w:r>
        <w:t xml:space="preserve">The costed consequence, built from their own answers. Succession certificate court fees run 2–3% of movable asset value in most states, with slabs reaching 7.5% and a cap commonly around Rs 75,000; professional fees advertised at roughly Rs 45,000; three to six months uncontested in Maharashtra, and practitioners report a year or more elsewhere. This page prints a specific rupee range and a specific month range for their situation, not a general warning.</w:t>
      </w:r>
    </w:p>
    <w:p>
      <w:pPr>
        <w:pStyle w:val="BodyText"/>
      </w:pPr>
      <w:r>
        <w:rPr>
          <w:bCs/>
          <w:b/>
        </w:rPr>
        <w:t xml:space="preserve">Page 4 — Your fix list.</w:t>
      </w:r>
      <w:r>
        <w:t xml:space="preserve"> </w:t>
      </w:r>
      <w:r>
        <w:t xml:space="preserve">Every gap, as a numbered task, ranked easiest first. Each carries a direct link to that institution’s nomination page and a realistic time estimate. Most people can close four or five gaps in an evening. That is deliberate — the report has to be usable for free, or nobody trusts the paid offer.</w:t>
      </w:r>
    </w:p>
    <w:p>
      <w:pPr>
        <w:pStyle w:val="BodyText"/>
      </w:pPr>
      <w:r>
        <w:rPr>
          <w:bCs/>
          <w:b/>
        </w:rPr>
        <w:t xml:space="preserve">Page 5 — Free government tools.</w:t>
      </w:r>
      <w:r>
        <w:t xml:space="preserve"> </w:t>
      </w:r>
      <w:r>
        <w:t xml:space="preserve">UDGAM for dormant bank deposits, MITRA for inactive mutual fund folios, Bima Bharosa for unclaimed insurance, and DigiLocker’s Data Access Nominee, which since 1 April 2025 lets a nominee be notified automatically on death and given read-only access to demat, mutual fund and CAS statements. Telling people about the free alternatives costs nothing and is the single strongest trust move in the document. It also inoculates against the obvious objection.</w:t>
      </w:r>
    </w:p>
    <w:p>
      <w:pPr>
        <w:pStyle w:val="BodyText"/>
      </w:pPr>
      <w:r>
        <w:rPr>
          <w:bCs/>
          <w:b/>
        </w:rPr>
        <w:t xml:space="preserve">Page 6 — If something happens.</w:t>
      </w:r>
      <w:r>
        <w:t xml:space="preserve"> </w:t>
      </w:r>
      <w:r>
        <w:t xml:space="preserve">A printable one-pager addressed to the trusted person from screen 12: the institution list, who to call, the first five steps, and a note that no account numbers are stored here by design. This is the page people print and put in a drawer.</w:t>
      </w:r>
    </w:p>
    <w:bookmarkStart w:id="28" w:name="what-the-report-never-does"/>
    <w:p>
      <w:pPr>
        <w:pStyle w:val="Heading3"/>
      </w:pPr>
      <w:r>
        <w:t xml:space="preserve">What the report never does</w:t>
      </w:r>
    </w:p>
    <w:p>
      <w:pPr>
        <w:pStyle w:val="FirstParagraph"/>
      </w:pPr>
      <w:r>
        <w:t xml:space="preserve">It never shows a total net worth figure, never names a specific product to buy, and never states a nominee’s contact details. Any one of those turns a trust document into a sales document.</w:t>
      </w:r>
    </w:p>
    <w:bookmarkEnd w:id="28"/>
    <w:bookmarkEnd w:id="29"/>
    <w:bookmarkStart w:id="33" w:name="scoring-logic"/>
    <w:p>
      <w:pPr>
        <w:pStyle w:val="Heading2"/>
      </w:pPr>
      <w:r>
        <w:t xml:space="preserve">Scoring logic</w:t>
      </w:r>
    </w:p>
    <w:p>
      <w:pPr>
        <w:pStyle w:val="FirstParagraph"/>
      </w:pPr>
      <w:r>
        <w:t xml:space="preserve">Two numbers drive the report. Both are computed in Apps Script, both are deliberately simple enough to explain to a customer who asks.</w:t>
      </w:r>
    </w:p>
    <w:bookmarkStart w:id="30" w:name="gap-score"/>
    <w:p>
      <w:pPr>
        <w:pStyle w:val="Heading3"/>
      </w:pPr>
      <w:r>
        <w:t xml:space="preserve">Gap score</w:t>
      </w:r>
    </w:p>
    <w:p>
      <w:pPr>
        <w:pStyle w:val="FirstParagraph"/>
      </w:pPr>
      <w:r>
        <w:rPr>
          <w:rStyle w:val="VerbatimChar"/>
        </w:rPr>
        <w:t xml:space="preserve">Gap score = (institutions with nominee "No" or "Don't know") / (total institutions where nomination is possible)</w:t>
      </w:r>
    </w:p>
    <w:p>
      <w:pPr>
        <w:pStyle w:val="BodyText"/>
      </w:pPr>
      <w:r>
        <w:t xml:space="preserve">Property, gold and crypto are excluded from the denominator because nomination is not available on them — they route to the will instead.</w:t>
      </w:r>
      <w:r>
        <w:t xml:space="preserve"> </w:t>
      </w:r>
      <w:r>
        <w:t xml:space="preserve">“</w:t>
      </w:r>
      <w:r>
        <w:t xml:space="preserve">Don’t know</w:t>
      </w:r>
      <w:r>
        <w:t xml:space="preserve">”</w:t>
      </w:r>
      <w:r>
        <w:t xml:space="preserve"> </w:t>
      </w:r>
      <w:r>
        <w:t xml:space="preserve">counts as a gap; the whole point is that uncertainty is itself the problem.</w:t>
      </w:r>
    </w:p>
    <w:p>
      <w:pPr>
        <w:pStyle w:val="BodyText"/>
      </w:pPr>
      <w:r>
        <w:t xml:space="preserve">Expect most reports to come back ugly. Roughly 72% of individual investors have no nominee on their demat accounts and mutual fund folios, per Zerodha’s own published figure, so a score of 5 or more gaps out of 10 should be the norm, not the exception. If your pilot reports come back clean, your sample is wrong.</w:t>
      </w:r>
    </w:p>
    <w:bookmarkEnd w:id="30"/>
    <w:bookmarkStart w:id="31" w:name="red-flags-ranked"/>
    <w:p>
      <w:pPr>
        <w:pStyle w:val="Heading3"/>
      </w:pPr>
      <w:r>
        <w:t xml:space="preserve">Red flags, ranked</w:t>
      </w:r>
    </w:p>
    <w:p>
      <w:pPr>
        <w:pStyle w:val="FirstParagraph"/>
      </w:pPr>
      <w:r>
        <w:t xml:space="preserve">These print above the gap score regardless of count:</w:t>
      </w:r>
    </w:p>
    <w:p>
      <w:pPr>
        <w:numPr>
          <w:ilvl w:val="0"/>
          <w:numId w:val="1001"/>
        </w:numPr>
        <w:pStyle w:val="Compact"/>
      </w:pPr>
      <w:r>
        <w:t xml:space="preserve">Minor children and no guardian named in a will</w:t>
      </w:r>
    </w:p>
    <w:p>
      <w:pPr>
        <w:numPr>
          <w:ilvl w:val="0"/>
          <w:numId w:val="1001"/>
        </w:numPr>
        <w:pStyle w:val="Compact"/>
      </w:pPr>
      <w:r>
        <w:t xml:space="preserve">Nominee on the largest-band asset is someone other than the primary dependant</w:t>
      </w:r>
    </w:p>
    <w:p>
      <w:pPr>
        <w:numPr>
          <w:ilvl w:val="0"/>
          <w:numId w:val="1001"/>
        </w:numPr>
        <w:pStyle w:val="Compact"/>
      </w:pPr>
      <w:r>
        <w:t xml:space="preserve">Will exists but is over five years old, or unsigned</w:t>
      </w:r>
    </w:p>
    <w:p>
      <w:pPr>
        <w:numPr>
          <w:ilvl w:val="0"/>
          <w:numId w:val="1001"/>
        </w:numPr>
        <w:pStyle w:val="Compact"/>
      </w:pPr>
      <w:r>
        <w:t xml:space="preserve">Property or business stake held, and no will at all</w:t>
      </w:r>
    </w:p>
    <w:p>
      <w:pPr>
        <w:numPr>
          <w:ilvl w:val="0"/>
          <w:numId w:val="1001"/>
        </w:numPr>
        <w:pStyle w:val="Compact"/>
      </w:pPr>
      <w:r>
        <w:t xml:space="preserve">Nobody knows where the documents are kept</w:t>
      </w:r>
    </w:p>
    <w:p>
      <w:pPr>
        <w:numPr>
          <w:ilvl w:val="0"/>
          <w:numId w:val="1001"/>
        </w:numPr>
        <w:pStyle w:val="Compact"/>
      </w:pPr>
      <w:r>
        <w:t xml:space="preserve">NRI heirs and no will</w:t>
      </w:r>
    </w:p>
    <w:bookmarkEnd w:id="31"/>
    <w:bookmarkStart w:id="32" w:name="cost-exposure-estimate"/>
    <w:p>
      <w:pPr>
        <w:pStyle w:val="Heading3"/>
      </w:pPr>
      <w:r>
        <w:t xml:space="preserve">Cost exposure estimate</w:t>
      </w:r>
    </w:p>
    <w:p>
      <w:pPr>
        <w:pStyle w:val="FirstParagraph"/>
      </w:pPr>
      <w:r>
        <w:t xml:space="preserve">Exposure = (Movable asset midpoint × State court fee rate) + Professional fee + Liquidity gap cost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Source</w:t>
            </w:r>
          </w:p>
        </w:tc>
        <w:tc>
          <w:tcPr/>
          <w:p>
            <w:pPr>
              <w:pStyle w:val="Compact"/>
              <w:jc w:val="left"/>
            </w:pPr>
            <w:r>
              <w:t xml:space="preserve">Default</w:t>
            </w:r>
          </w:p>
        </w:tc>
      </w:tr>
      <w:tr>
        <w:tc>
          <w:tcPr/>
          <w:p>
            <w:pPr>
              <w:pStyle w:val="Compact"/>
              <w:jc w:val="left"/>
            </w:pPr>
            <w:r>
              <w:t xml:space="preserve">Movable asset midpoint</w:t>
            </w:r>
          </w:p>
        </w:tc>
        <w:tc>
          <w:tcPr/>
          <w:p>
            <w:pPr>
              <w:pStyle w:val="Compact"/>
              <w:jc w:val="left"/>
            </w:pPr>
            <w:r>
              <w:t xml:space="preserve">Midpoint of the value bands ticked in field 5.5, summed across nomination-eligible categories</w:t>
            </w:r>
          </w:p>
        </w:tc>
        <w:tc>
          <w:tcPr/>
          <w:p>
            <w:pPr>
              <w:pStyle w:val="Compact"/>
              <w:jc w:val="left"/>
            </w:pPr>
            <w:r>
              <w:t xml:space="preserve">Skip page 3’s rupee figure if all bands are</w:t>
            </w:r>
            <w:r>
              <w:t xml:space="preserve"> </w:t>
            </w:r>
            <w:r>
              <w:t xml:space="preserve">“</w:t>
            </w:r>
            <w:r>
              <w:t xml:space="preserve">Prefer not to say</w:t>
            </w:r>
            <w:r>
              <w:t xml:space="preserve">”</w:t>
            </w:r>
          </w:p>
        </w:tc>
      </w:tr>
      <w:tr>
        <w:tc>
          <w:tcPr/>
          <w:p>
            <w:pPr>
              <w:pStyle w:val="Compact"/>
              <w:jc w:val="left"/>
            </w:pPr>
            <w:r>
              <w:t xml:space="preserve">Court fee rate</w:t>
            </w:r>
          </w:p>
        </w:tc>
        <w:tc>
          <w:tcPr/>
          <w:p>
            <w:pPr>
              <w:pStyle w:val="Compact"/>
              <w:jc w:val="left"/>
            </w:pPr>
            <w:r>
              <w:t xml:space="preserve">State table, keyed off city</w:t>
            </w:r>
          </w:p>
        </w:tc>
        <w:tc>
          <w:tcPr/>
          <w:p>
            <w:pPr>
              <w:pStyle w:val="Compact"/>
              <w:jc w:val="left"/>
            </w:pPr>
            <w:r>
              <w:t xml:space="preserve">2.5%, capped at Rs 75,000</w:t>
            </w:r>
          </w:p>
        </w:tc>
      </w:tr>
      <w:tr>
        <w:tc>
          <w:tcPr/>
          <w:p>
            <w:pPr>
              <w:pStyle w:val="Compact"/>
              <w:jc w:val="left"/>
            </w:pPr>
            <w:r>
              <w:t xml:space="preserve">Professional fee</w:t>
            </w:r>
          </w:p>
        </w:tc>
        <w:tc>
          <w:tcPr/>
          <w:p>
            <w:pPr>
              <w:pStyle w:val="Compact"/>
              <w:jc w:val="left"/>
            </w:pPr>
            <w:r>
              <w:t xml:space="preserve">Adrika’s own succession-certificate quote</w:t>
            </w:r>
          </w:p>
        </w:tc>
        <w:tc>
          <w:tcPr/>
          <w:p>
            <w:pPr>
              <w:pStyle w:val="Compact"/>
              <w:jc w:val="left"/>
            </w:pPr>
            <w:r>
              <w:t xml:space="preserve">Rs 45,000</w:t>
            </w:r>
          </w:p>
        </w:tc>
      </w:tr>
      <w:tr>
        <w:tc>
          <w:tcPr/>
          <w:p>
            <w:pPr>
              <w:pStyle w:val="Compact"/>
              <w:jc w:val="left"/>
            </w:pPr>
            <w:r>
              <w:t xml:space="preserve">Liquidity gap cost</w:t>
            </w:r>
          </w:p>
        </w:tc>
        <w:tc>
          <w:tcPr/>
          <w:p>
            <w:pPr>
              <w:pStyle w:val="Compact"/>
              <w:jc w:val="left"/>
            </w:pPr>
            <w:r>
              <w:t xml:space="preserve">Months of delay × monthly household expense, only shown when dependants exist</w:t>
            </w:r>
          </w:p>
        </w:tc>
        <w:tc>
          <w:tcPr/>
          <w:p>
            <w:pPr>
              <w:pStyle w:val="Compact"/>
              <w:jc w:val="left"/>
            </w:pPr>
            <w:r>
              <w:t xml:space="preserve">6 months, expense not asked — shown as</w:t>
            </w:r>
            <w:r>
              <w:t xml:space="preserve"> </w:t>
            </w:r>
            <w:r>
              <w:t xml:space="preserve">“</w:t>
            </w:r>
            <w:r>
              <w:t xml:space="preserve">months without access</w:t>
            </w:r>
            <w:r>
              <w:t xml:space="preserve">”</w:t>
            </w:r>
            <w:r>
              <w:t xml:space="preserve"> </w:t>
            </w:r>
            <w:r>
              <w:t xml:space="preserve">rather than a rupee figure</w:t>
            </w:r>
          </w:p>
        </w:tc>
      </w:tr>
    </w:tbl>
    <w:p>
      <w:pPr>
        <w:pStyle w:val="BodyText"/>
      </w:pPr>
      <w:r>
        <w:t xml:space="preserve">Output on page 3 reads as a range, never a point estimate:</w:t>
      </w:r>
      <w:r>
        <w:t xml:space="preserve"> </w:t>
      </w:r>
      <w:r>
        <w:t xml:space="preserve">“</w:t>
      </w:r>
      <w:r>
        <w:t xml:space="preserve">Rs 60,000 to Rs 1,20,000 in fees, and 6 to 12 months before your family can access these funds.</w:t>
      </w:r>
      <w:r>
        <w:t xml:space="preserve">”</w:t>
      </w:r>
    </w:p>
    <w:p>
      <w:pPr>
        <w:pStyle w:val="BodyText"/>
      </w:pPr>
      <w:r>
        <w:rPr>
          <w:bCs/>
          <w:b/>
        </w:rPr>
        <w:t xml:space="preserve">Guardrails.</w:t>
      </w:r>
      <w:r>
        <w:t xml:space="preserve"> </w:t>
      </w:r>
      <w:r>
        <w:t xml:space="preserve">Print the assumption line under every figure. Never state the exposure as certain — a nominated asset with a clean will may transmit in weeks. And never compute an exposure number at all when the person declined every value band; an invented figure is the fastest way to lose an insurer partner.</w:t>
      </w:r>
    </w:p>
    <w:bookmarkEnd w:id="32"/>
    <w:bookmarkEnd w:id="33"/>
    <w:bookmarkStart w:id="35" w:name="offer-stack-and-pricing"/>
    <w:p>
      <w:pPr>
        <w:pStyle w:val="Heading2"/>
      </w:pPr>
      <w:r>
        <w:t xml:space="preserve">Offer stack and pricing</w:t>
      </w:r>
    </w:p>
    <w:p>
      <w:pPr>
        <w:pStyle w:val="FirstParagraph"/>
      </w:pPr>
      <w:r>
        <w:t xml:space="preserve">Wills and legal instruments are drafted in-house by Adrika Law Firm, so the full fee and the turnaround stay with us.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Offer</w:t>
            </w:r>
          </w:p>
        </w:tc>
        <w:tc>
          <w:tcPr/>
          <w:p>
            <w:pPr>
              <w:pStyle w:val="Compact"/>
              <w:jc w:val="left"/>
            </w:pPr>
            <w:r>
              <w:t xml:space="preserve">Price</w:t>
            </w:r>
          </w:p>
        </w:tc>
        <w:tc>
          <w:tcPr/>
          <w:p>
            <w:pPr>
              <w:pStyle w:val="Compact"/>
              <w:jc w:val="left"/>
            </w:pPr>
            <w:r>
              <w:t xml:space="preserve">Delivered by</w:t>
            </w:r>
          </w:p>
        </w:tc>
        <w:tc>
          <w:tcPr/>
          <w:p>
            <w:pPr>
              <w:pStyle w:val="Compact"/>
              <w:jc w:val="left"/>
            </w:pPr>
            <w:r>
              <w:t xml:space="preserve">Gross margin</w:t>
            </w:r>
          </w:p>
        </w:tc>
        <w:tc>
          <w:tcPr/>
          <w:p>
            <w:pPr>
              <w:pStyle w:val="Compact"/>
              <w:jc w:val="left"/>
            </w:pPr>
            <w:r>
              <w:t xml:space="preserve">Trigger</w:t>
            </w:r>
          </w:p>
        </w:tc>
      </w:tr>
      <w:tr>
        <w:tc>
          <w:tcPr/>
          <w:p>
            <w:pPr>
              <w:pStyle w:val="Compact"/>
              <w:jc w:val="left"/>
            </w:pPr>
            <w:r>
              <w:t xml:space="preserve">Family Protection Report</w:t>
            </w:r>
          </w:p>
        </w:tc>
        <w:tc>
          <w:tcPr/>
          <w:p>
            <w:pPr>
              <w:pStyle w:val="Compact"/>
              <w:jc w:val="left"/>
            </w:pPr>
            <w:r>
              <w:t xml:space="preserve">Free</w:t>
            </w:r>
          </w:p>
        </w:tc>
        <w:tc>
          <w:tcPr/>
          <w:p>
            <w:pPr>
              <w:pStyle w:val="Compact"/>
              <w:jc w:val="left"/>
            </w:pPr>
            <w:r>
              <w:t xml:space="preserve">Automated</w:t>
            </w:r>
          </w:p>
        </w:tc>
        <w:tc>
          <w:tcPr/>
          <w:p>
            <w:pPr>
              <w:pStyle w:val="Compact"/>
              <w:jc w:val="left"/>
            </w:pPr>
            <w:r>
              <w:t xml:space="preserve">—</w:t>
            </w:r>
          </w:p>
        </w:tc>
        <w:tc>
          <w:tcPr/>
          <w:p>
            <w:pPr>
              <w:pStyle w:val="Compact"/>
              <w:jc w:val="left"/>
            </w:pPr>
            <w:r>
              <w:t xml:space="preserve">Entry</w:t>
            </w:r>
          </w:p>
        </w:tc>
      </w:tr>
      <w:tr>
        <w:tc>
          <w:tcPr/>
          <w:p>
            <w:pPr>
              <w:pStyle w:val="Compact"/>
              <w:jc w:val="left"/>
            </w:pPr>
            <w:r>
              <w:t xml:space="preserve">Nomination Fix</w:t>
            </w:r>
          </w:p>
        </w:tc>
        <w:tc>
          <w:tcPr/>
          <w:p>
            <w:pPr>
              <w:pStyle w:val="Compact"/>
              <w:jc w:val="left"/>
            </w:pPr>
            <w:r>
              <w:t xml:space="preserve">Rs 2,500</w:t>
            </w:r>
          </w:p>
        </w:tc>
        <w:tc>
          <w:tcPr/>
          <w:p>
            <w:pPr>
              <w:pStyle w:val="Compact"/>
              <w:jc w:val="left"/>
            </w:pPr>
            <w:r>
              <w:t xml:space="preserve">Ops associate</w:t>
            </w:r>
          </w:p>
        </w:tc>
        <w:tc>
          <w:tcPr/>
          <w:p>
            <w:pPr>
              <w:pStyle w:val="Compact"/>
              <w:jc w:val="left"/>
            </w:pPr>
            <w:r>
              <w:t xml:space="preserve">~80%</w:t>
            </w:r>
          </w:p>
        </w:tc>
        <w:tc>
          <w:tcPr/>
          <w:p>
            <w:pPr>
              <w:pStyle w:val="Compact"/>
              <w:jc w:val="left"/>
            </w:pPr>
            <w:r>
              <w:t xml:space="preserve">Gap score 3+</w:t>
            </w:r>
          </w:p>
        </w:tc>
      </w:tr>
      <w:tr>
        <w:tc>
          <w:tcPr/>
          <w:p>
            <w:pPr>
              <w:pStyle w:val="Compact"/>
              <w:jc w:val="left"/>
            </w:pPr>
            <w:r>
              <w:t xml:space="preserve">Adrika Will</w:t>
            </w:r>
          </w:p>
        </w:tc>
        <w:tc>
          <w:tcPr/>
          <w:p>
            <w:pPr>
              <w:pStyle w:val="Compact"/>
              <w:jc w:val="left"/>
            </w:pPr>
            <w:r>
              <w:t xml:space="preserve">Rs 9,500</w:t>
            </w:r>
          </w:p>
        </w:tc>
        <w:tc>
          <w:tcPr/>
          <w:p>
            <w:pPr>
              <w:pStyle w:val="Compact"/>
              <w:jc w:val="left"/>
            </w:pPr>
            <w:r>
              <w:t xml:space="preserve">Adrika, in-house</w:t>
            </w:r>
          </w:p>
        </w:tc>
        <w:tc>
          <w:tcPr/>
          <w:p>
            <w:pPr>
              <w:pStyle w:val="Compact"/>
              <w:jc w:val="left"/>
            </w:pPr>
            <w:r>
              <w:t xml:space="preserve">~65%</w:t>
            </w:r>
          </w:p>
        </w:tc>
        <w:tc>
          <w:tcPr/>
          <w:p>
            <w:pPr>
              <w:pStyle w:val="Compact"/>
              <w:jc w:val="left"/>
            </w:pPr>
            <w:r>
              <w:t xml:space="preserve">Property, business stake, or minor children</w:t>
            </w:r>
          </w:p>
        </w:tc>
      </w:tr>
      <w:tr>
        <w:tc>
          <w:tcPr/>
          <w:p>
            <w:pPr>
              <w:pStyle w:val="Compact"/>
              <w:jc w:val="left"/>
            </w:pPr>
            <w:r>
              <w:t xml:space="preserve">Adrika Will — registered</w:t>
            </w:r>
          </w:p>
        </w:tc>
        <w:tc>
          <w:tcPr/>
          <w:p>
            <w:pPr>
              <w:pStyle w:val="Compact"/>
              <w:jc w:val="left"/>
            </w:pPr>
            <w:r>
              <w:t xml:space="preserve">Rs 18,000</w:t>
            </w:r>
          </w:p>
        </w:tc>
        <w:tc>
          <w:tcPr/>
          <w:p>
            <w:pPr>
              <w:pStyle w:val="Compact"/>
              <w:jc w:val="left"/>
            </w:pPr>
            <w:r>
              <w:t xml:space="preserve">Adrika + registrar</w:t>
            </w:r>
          </w:p>
        </w:tc>
        <w:tc>
          <w:tcPr/>
          <w:p>
            <w:pPr>
              <w:pStyle w:val="Compact"/>
              <w:jc w:val="left"/>
            </w:pPr>
            <w:r>
              <w:t xml:space="preserve">~55%</w:t>
            </w:r>
          </w:p>
        </w:tc>
        <w:tc>
          <w:tcPr/>
          <w:p>
            <w:pPr>
              <w:pStyle w:val="Compact"/>
              <w:jc w:val="left"/>
            </w:pPr>
            <w:r>
              <w:t xml:space="preserve">Estate over Rs 1 Cr, or blended family</w:t>
            </w:r>
          </w:p>
        </w:tc>
      </w:tr>
      <w:tr>
        <w:tc>
          <w:tcPr/>
          <w:p>
            <w:pPr>
              <w:pStyle w:val="Compact"/>
              <w:jc w:val="left"/>
            </w:pPr>
            <w:r>
              <w:t xml:space="preserve">Claim Assist (post-death)</w:t>
            </w:r>
          </w:p>
        </w:tc>
        <w:tc>
          <w:tcPr/>
          <w:p>
            <w:pPr>
              <w:pStyle w:val="Compact"/>
              <w:jc w:val="left"/>
            </w:pPr>
            <w:r>
              <w:t xml:space="preserve">Rs 25,000 flat + 10% on recovered dormant assets</w:t>
            </w:r>
          </w:p>
        </w:tc>
        <w:tc>
          <w:tcPr/>
          <w:p>
            <w:pPr>
              <w:pStyle w:val="Compact"/>
              <w:jc w:val="left"/>
            </w:pPr>
            <w:r>
              <w:t xml:space="preserve">Adrika + ops</w:t>
            </w:r>
          </w:p>
        </w:tc>
        <w:tc>
          <w:tcPr/>
          <w:p>
            <w:pPr>
              <w:pStyle w:val="Compact"/>
              <w:jc w:val="left"/>
            </w:pPr>
            <w:r>
              <w:t xml:space="preserve">~55%</w:t>
            </w:r>
          </w:p>
        </w:tc>
        <w:tc>
          <w:tcPr/>
          <w:p>
            <w:pPr>
              <w:pStyle w:val="Compact"/>
              <w:jc w:val="left"/>
            </w:pPr>
            <w:r>
              <w:t xml:space="preserve">Death in a covered household</w:t>
            </w:r>
          </w:p>
        </w:tc>
      </w:tr>
      <w:tr>
        <w:tc>
          <w:tcPr/>
          <w:p>
            <w:pPr>
              <w:pStyle w:val="Compact"/>
              <w:jc w:val="left"/>
            </w:pPr>
            <w:r>
              <w:t xml:space="preserve">B2B white-label</w:t>
            </w:r>
          </w:p>
        </w:tc>
        <w:tc>
          <w:tcPr/>
          <w:p>
            <w:pPr>
              <w:pStyle w:val="Compact"/>
              <w:jc w:val="left"/>
            </w:pPr>
            <w:r>
              <w:t xml:space="preserve">Rs 60 per life per year</w:t>
            </w:r>
          </w:p>
        </w:tc>
        <w:tc>
          <w:tcPr/>
          <w:p>
            <w:pPr>
              <w:pStyle w:val="Compact"/>
              <w:jc w:val="left"/>
            </w:pPr>
            <w:r>
              <w:t xml:space="preserve">Automated</w:t>
            </w:r>
          </w:p>
        </w:tc>
        <w:tc>
          <w:tcPr/>
          <w:p>
            <w:pPr>
              <w:pStyle w:val="Compact"/>
              <w:jc w:val="left"/>
            </w:pPr>
            <w:r>
              <w:t xml:space="preserve">~90%</w:t>
            </w:r>
          </w:p>
        </w:tc>
        <w:tc>
          <w:tcPr/>
          <w:p>
            <w:pPr>
              <w:pStyle w:val="Compact"/>
              <w:jc w:val="left"/>
            </w:pPr>
            <w:r>
              <w:t xml:space="preserve">Channel contract</w:t>
            </w:r>
          </w:p>
        </w:tc>
      </w:tr>
    </w:tbl>
    <w:bookmarkStart w:id="34" w:name="pricing-rules"/>
    <w:p>
      <w:pPr>
        <w:pStyle w:val="Heading3"/>
      </w:pPr>
      <w:r>
        <w:t xml:space="preserve">Pricing rules</w:t>
      </w:r>
    </w:p>
    <w:p>
      <w:pPr>
        <w:numPr>
          <w:ilvl w:val="0"/>
          <w:numId w:val="1002"/>
        </w:numPr>
        <w:pStyle w:val="Compact"/>
      </w:pPr>
      <w:r>
        <w:t xml:space="preserve">Never discount the report. It is already free; discounting anything below it destroys the anchor.</w:t>
      </w:r>
    </w:p>
    <w:p>
      <w:pPr>
        <w:numPr>
          <w:ilvl w:val="0"/>
          <w:numId w:val="1002"/>
        </w:numPr>
        <w:pStyle w:val="Compact"/>
      </w:pPr>
      <w:r>
        <w:t xml:space="preserve">Quote Claim Assist as a flat fee, not hourly. Bereaved families cannot evaluate an hourly rate and will not engage on one.</w:t>
      </w:r>
    </w:p>
    <w:p>
      <w:pPr>
        <w:numPr>
          <w:ilvl w:val="0"/>
          <w:numId w:val="1002"/>
        </w:numPr>
        <w:pStyle w:val="Compact"/>
      </w:pPr>
      <w:r>
        <w:t xml:space="preserve">The success fee is charged only on assets the family did not know existed. Charging a percentage on a nominated, known asset the family would have received anyway is the fastest route to a regulatory complaint and a reputational problem.</w:t>
      </w:r>
    </w:p>
    <w:p>
      <w:pPr>
        <w:numPr>
          <w:ilvl w:val="0"/>
          <w:numId w:val="1002"/>
        </w:numPr>
        <w:pStyle w:val="Compact"/>
      </w:pPr>
      <w:r>
        <w:t xml:space="preserve">For B2B, price the readiness module low enough that the partner treats it as free. You are buying distribution, not ARR.</w:t>
      </w:r>
    </w:p>
    <w:bookmarkEnd w:id="34"/>
    <w:bookmarkEnd w:id="35"/>
    <w:bookmarkStart w:id="39" w:name="build-steps"/>
    <w:p>
      <w:pPr>
        <w:pStyle w:val="Heading2"/>
      </w:pPr>
      <w:r>
        <w:t xml:space="preserve">Build steps</w:t>
      </w:r>
    </w:p>
    <w:p>
      <w:pPr>
        <w:pStyle w:val="FirstParagraph"/>
      </w:pPr>
      <w:r>
        <w:t xml:space="preserve">Six working days on your existing stack. No new paid SaaS.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Day</w:t>
            </w:r>
          </w:p>
        </w:tc>
        <w:tc>
          <w:tcPr/>
          <w:p>
            <w:pPr>
              <w:pStyle w:val="Compact"/>
              <w:jc w:val="left"/>
            </w:pPr>
            <w:r>
              <w:t xml:space="preserve">Build</w:t>
            </w:r>
          </w:p>
        </w:tc>
        <w:tc>
          <w:tcPr/>
          <w:p>
            <w:pPr>
              <w:pStyle w:val="Compact"/>
              <w:jc w:val="left"/>
            </w:pPr>
            <w:r>
              <w:t xml:space="preserve">Tool</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Form screens 1–4</w:t>
            </w:r>
          </w:p>
        </w:tc>
        <w:tc>
          <w:tcPr/>
          <w:p>
            <w:pPr>
              <w:pStyle w:val="Compact"/>
              <w:jc w:val="left"/>
            </w:pPr>
            <w:r>
              <w:t xml:space="preserve">React on Netlify</w:t>
            </w:r>
          </w:p>
        </w:tc>
        <w:tc>
          <w:tcPr/>
          <w:p>
            <w:pPr>
              <w:pStyle w:val="Compact"/>
              <w:jc w:val="left"/>
            </w:pPr>
            <w:r>
              <w:t xml:space="preserve">Identity + asset checklist captured</w:t>
            </w:r>
          </w:p>
        </w:tc>
      </w:tr>
      <w:tr>
        <w:tc>
          <w:tcPr/>
          <w:p>
            <w:pPr>
              <w:pStyle w:val="Compact"/>
              <w:jc w:val="left"/>
            </w:pPr>
            <w:r>
              <w:t xml:space="preserve">2</w:t>
            </w:r>
          </w:p>
        </w:tc>
        <w:tc>
          <w:tcPr/>
          <w:p>
            <w:pPr>
              <w:pStyle w:val="Compact"/>
              <w:jc w:val="left"/>
            </w:pPr>
            <w:r>
              <w:t xml:space="preserve">Form screens 5–12, conditional per-category loop</w:t>
            </w:r>
          </w:p>
        </w:tc>
        <w:tc>
          <w:tcPr/>
          <w:p>
            <w:pPr>
              <w:pStyle w:val="Compact"/>
              <w:jc w:val="left"/>
            </w:pPr>
            <w:r>
              <w:t xml:space="preserve">React</w:t>
            </w:r>
          </w:p>
        </w:tc>
        <w:tc>
          <w:tcPr/>
          <w:p>
            <w:pPr>
              <w:pStyle w:val="Compact"/>
              <w:jc w:val="left"/>
            </w:pPr>
            <w:r>
              <w:t xml:space="preserve">Full capture working end to end</w:t>
            </w:r>
          </w:p>
        </w:tc>
      </w:tr>
      <w:tr>
        <w:tc>
          <w:tcPr/>
          <w:p>
            <w:pPr>
              <w:pStyle w:val="Compact"/>
              <w:jc w:val="left"/>
            </w:pPr>
            <w:r>
              <w:t xml:space="preserve">2</w:t>
            </w:r>
          </w:p>
        </w:tc>
        <w:tc>
          <w:tcPr/>
          <w:p>
            <w:pPr>
              <w:pStyle w:val="Compact"/>
              <w:jc w:val="left"/>
            </w:pPr>
            <w:r>
              <w:t xml:space="preserve">Schema + row-level security, no numeric fields</w:t>
            </w:r>
          </w:p>
        </w:tc>
        <w:tc>
          <w:tcPr/>
          <w:p>
            <w:pPr>
              <w:pStyle w:val="Compact"/>
              <w:jc w:val="left"/>
            </w:pPr>
            <w:r>
              <w:t xml:space="preserve">Supabase</w:t>
            </w:r>
          </w:p>
        </w:tc>
        <w:tc>
          <w:tcPr/>
          <w:p>
            <w:pPr>
              <w:pStyle w:val="Compact"/>
              <w:jc w:val="left"/>
            </w:pPr>
            <w:r>
              <w:t xml:space="preserve">Storage live</w:t>
            </w:r>
          </w:p>
        </w:tc>
      </w:tr>
      <w:tr>
        <w:tc>
          <w:tcPr/>
          <w:p>
            <w:pPr>
              <w:pStyle w:val="Compact"/>
              <w:jc w:val="left"/>
            </w:pPr>
            <w:r>
              <w:t xml:space="preserve">3</w:t>
            </w:r>
          </w:p>
        </w:tc>
        <w:tc>
          <w:tcPr/>
          <w:p>
            <w:pPr>
              <w:pStyle w:val="Compact"/>
              <w:jc w:val="left"/>
            </w:pPr>
            <w:r>
              <w:t xml:space="preserve">Institution autocomplete list, 120 entries</w:t>
            </w:r>
          </w:p>
        </w:tc>
        <w:tc>
          <w:tcPr/>
          <w:p>
            <w:pPr>
              <w:pStyle w:val="Compact"/>
              <w:jc w:val="left"/>
            </w:pPr>
            <w:r>
              <w:t xml:space="preserve">Supabase seed table</w:t>
            </w:r>
          </w:p>
        </w:tc>
        <w:tc>
          <w:tcPr/>
          <w:p>
            <w:pPr>
              <w:pStyle w:val="Compact"/>
              <w:jc w:val="left"/>
            </w:pPr>
            <w:r>
              <w:t xml:space="preserve">Typeahead working</w:t>
            </w:r>
          </w:p>
        </w:tc>
      </w:tr>
      <w:tr>
        <w:tc>
          <w:tcPr/>
          <w:p>
            <w:pPr>
              <w:pStyle w:val="Compact"/>
              <w:jc w:val="left"/>
            </w:pPr>
            <w:r>
              <w:t xml:space="preserve">3–4</w:t>
            </w:r>
          </w:p>
        </w:tc>
        <w:tc>
          <w:tcPr/>
          <w:p>
            <w:pPr>
              <w:pStyle w:val="Compact"/>
              <w:jc w:val="left"/>
            </w:pPr>
            <w:r>
              <w:t xml:space="preserve">Report template, 6 slides, placeholder tokens</w:t>
            </w:r>
          </w:p>
        </w:tc>
        <w:tc>
          <w:tcPr/>
          <w:p>
            <w:pPr>
              <w:pStyle w:val="Compact"/>
              <w:jc w:val="left"/>
            </w:pPr>
            <w:r>
              <w:t xml:space="preserve">Google Slides</w:t>
            </w:r>
          </w:p>
        </w:tc>
        <w:tc>
          <w:tcPr/>
          <w:p>
            <w:pPr>
              <w:pStyle w:val="Compact"/>
              <w:jc w:val="left"/>
            </w:pPr>
            <w:r>
              <w:t xml:space="preserve">Template locked</w:t>
            </w:r>
          </w:p>
        </w:tc>
      </w:tr>
      <w:tr>
        <w:tc>
          <w:tcPr/>
          <w:p>
            <w:pPr>
              <w:pStyle w:val="Compact"/>
              <w:jc w:val="left"/>
            </w:pPr>
            <w:r>
              <w:t xml:space="preserve">4</w:t>
            </w:r>
          </w:p>
        </w:tc>
        <w:tc>
          <w:tcPr/>
          <w:p>
            <w:pPr>
              <w:pStyle w:val="Compact"/>
              <w:jc w:val="left"/>
            </w:pPr>
            <w:r>
              <w:t xml:space="preserve">Scoring + PDF generation + Drive export</w:t>
            </w:r>
          </w:p>
        </w:tc>
        <w:tc>
          <w:tcPr/>
          <w:p>
            <w:pPr>
              <w:pStyle w:val="Compact"/>
              <w:jc w:val="left"/>
            </w:pPr>
            <w:r>
              <w:t xml:space="preserve">Apps Script</w:t>
            </w:r>
          </w:p>
        </w:tc>
        <w:tc>
          <w:tcPr/>
          <w:p>
            <w:pPr>
              <w:pStyle w:val="Compact"/>
              <w:jc w:val="left"/>
            </w:pPr>
            <w:r>
              <w:t xml:space="preserve">PDF generated from a test row</w:t>
            </w:r>
          </w:p>
        </w:tc>
      </w:tr>
      <w:tr>
        <w:tc>
          <w:tcPr/>
          <w:p>
            <w:pPr>
              <w:pStyle w:val="Compact"/>
              <w:jc w:val="left"/>
            </w:pPr>
            <w:r>
              <w:t xml:space="preserve">5</w:t>
            </w:r>
          </w:p>
        </w:tc>
        <w:tc>
          <w:tcPr/>
          <w:p>
            <w:pPr>
              <w:pStyle w:val="Compact"/>
              <w:jc w:val="left"/>
            </w:pPr>
            <w:r>
              <w:t xml:space="preserve">WhatsApp delivery, 6-month nudge sequence</w:t>
            </w:r>
          </w:p>
        </w:tc>
        <w:tc>
          <w:tcPr/>
          <w:p>
            <w:pPr>
              <w:pStyle w:val="Compact"/>
              <w:jc w:val="left"/>
            </w:pPr>
            <w:r>
              <w:t xml:space="preserve">AiSensy</w:t>
            </w:r>
          </w:p>
        </w:tc>
        <w:tc>
          <w:tcPr/>
          <w:p>
            <w:pPr>
              <w:pStyle w:val="Compact"/>
              <w:jc w:val="left"/>
            </w:pPr>
            <w:r>
              <w:t xml:space="preserve">Report lands on WhatsApp</w:t>
            </w:r>
          </w:p>
        </w:tc>
      </w:tr>
      <w:tr>
        <w:tc>
          <w:tcPr/>
          <w:p>
            <w:pPr>
              <w:pStyle w:val="Compact"/>
              <w:jc w:val="left"/>
            </w:pPr>
            <w:r>
              <w:t xml:space="preserve">5</w:t>
            </w:r>
          </w:p>
        </w:tc>
        <w:tc>
          <w:tcPr/>
          <w:p>
            <w:pPr>
              <w:pStyle w:val="Compact"/>
              <w:jc w:val="left"/>
            </w:pPr>
            <w:r>
              <w:t xml:space="preserve">Ops case tracker, 6 columns</w:t>
            </w:r>
          </w:p>
        </w:tc>
        <w:tc>
          <w:tcPr/>
          <w:p>
            <w:pPr>
              <w:pStyle w:val="Compact"/>
              <w:jc w:val="left"/>
            </w:pPr>
            <w:r>
              <w:t xml:space="preserve">Sheets</w:t>
            </w:r>
          </w:p>
        </w:tc>
        <w:tc>
          <w:tcPr/>
          <w:p>
            <w:pPr>
              <w:pStyle w:val="Compact"/>
              <w:jc w:val="left"/>
            </w:pPr>
            <w:r>
              <w:t xml:space="preserve">Paid cases trackable</w:t>
            </w:r>
          </w:p>
        </w:tc>
      </w:tr>
      <w:tr>
        <w:tc>
          <w:tcPr/>
          <w:p>
            <w:pPr>
              <w:pStyle w:val="Compact"/>
              <w:jc w:val="left"/>
            </w:pPr>
            <w:r>
              <w:t xml:space="preserve">6</w:t>
            </w:r>
          </w:p>
        </w:tc>
        <w:tc>
          <w:tcPr/>
          <w:p>
            <w:pPr>
              <w:pStyle w:val="Compact"/>
              <w:jc w:val="left"/>
            </w:pPr>
            <w:r>
              <w:t xml:space="preserve">Institution nomination link library</w:t>
            </w:r>
          </w:p>
        </w:tc>
        <w:tc>
          <w:tcPr/>
          <w:p>
            <w:pPr>
              <w:pStyle w:val="Compact"/>
              <w:jc w:val="left"/>
            </w:pPr>
            <w:r>
              <w:t xml:space="preserve">Sheets → Supabase</w:t>
            </w:r>
          </w:p>
        </w:tc>
        <w:tc>
          <w:tcPr/>
          <w:p>
            <w:pPr>
              <w:pStyle w:val="Compact"/>
              <w:jc w:val="left"/>
            </w:pPr>
            <w:r>
              <w:t xml:space="preserve">Page 4 links live</w:t>
            </w:r>
          </w:p>
        </w:tc>
      </w:tr>
    </w:tbl>
    <w:bookmarkStart w:id="36" w:name="X7ede425eb7d9cb4ec5fb7c582ffb381ca39e4f6"/>
    <w:p>
      <w:pPr>
        <w:pStyle w:val="Heading3"/>
      </w:pPr>
      <w:r>
        <w:t xml:space="preserve">The institution link library is the actual work</w:t>
      </w:r>
    </w:p>
    <w:p>
      <w:pPr>
        <w:pStyle w:val="FirstParagraph"/>
      </w:pPr>
      <w:r>
        <w:t xml:space="preserve">Everything else is plumbing. This is the asset. For each institution: the exact URL of its nomination page, whether nomination can be completed fully online, whether e-sign or a physical form is required, and a realistic time estimate.</w:t>
      </w:r>
    </w:p>
    <w:p>
      <w:pPr>
        <w:pStyle w:val="BodyText"/>
      </w:pPr>
      <w:r>
        <w:t xml:space="preserve">Start with the 25 institutions that cover roughly 90% of cases: SBI, HDFC, ICICI, Axis, Kotak, PNB, BoB, Canara; Zerodha, Groww, Upstox, Angel One, ICICI Direct, HDFC Securities; CAMS and KFintech for mutual funds; LIC, HDFC Life, ICICI Pru, SBI Life, Max Life, Bajaj Allianz; EPFO, NPS-NSDL, and India Post.</w:t>
      </w:r>
    </w:p>
    <w:p>
      <w:pPr>
        <w:pStyle w:val="BodyText"/>
      </w:pPr>
      <w:r>
        <w:t xml:space="preserve">Build it once, maintain it quarterly. Nobody else has one. A competitor can clone your form in a weekend and cannot clone this in a month.</w:t>
      </w:r>
    </w:p>
    <w:bookmarkEnd w:id="36"/>
    <w:bookmarkStart w:id="37" w:name="schema"/>
    <w:p>
      <w:pPr>
        <w:pStyle w:val="Heading3"/>
      </w:pPr>
      <w:r>
        <w:t xml:space="preserve">Schema</w:t>
      </w:r>
    </w:p>
    <w:p>
      <w:pPr>
        <w:pStyle w:val="FirstParagraph"/>
      </w:pPr>
      <w:r>
        <w:t xml:space="preserve">Three tables, nothing else.</w:t>
      </w:r>
    </w:p>
    <w:p>
      <w:pPr>
        <w:numPr>
          <w:ilvl w:val="0"/>
          <w:numId w:val="1003"/>
        </w:numPr>
        <w:pStyle w:val="Compact"/>
      </w:pPr>
      <w:r>
        <w:rPr>
          <w:rStyle w:val="VerbatimChar"/>
        </w:rPr>
        <w:t xml:space="preserve">respondents</w:t>
      </w:r>
      <w:r>
        <w:t xml:space="preserve"> </w:t>
      </w:r>
      <w:r>
        <w:t xml:space="preserve">— name, mobile, email, city, age band, marital status, succession law, dependants, consent flags, created date</w:t>
      </w:r>
    </w:p>
    <w:p>
      <w:pPr>
        <w:numPr>
          <w:ilvl w:val="0"/>
          <w:numId w:val="1003"/>
        </w:numPr>
        <w:pStyle w:val="Compact"/>
      </w:pPr>
      <w:r>
        <w:rPr>
          <w:rStyle w:val="VerbatimChar"/>
        </w:rPr>
        <w:t xml:space="preserve">holdings</w:t>
      </w:r>
      <w:r>
        <w:t xml:space="preserve"> </w:t>
      </w:r>
      <w:r>
        <w:t xml:space="preserve">— respondent id, category code, institution name, account count band, nominee status, nominee relationship, value band</w:t>
      </w:r>
    </w:p>
    <w:p>
      <w:pPr>
        <w:numPr>
          <w:ilvl w:val="0"/>
          <w:numId w:val="1003"/>
        </w:numPr>
        <w:pStyle w:val="Compact"/>
      </w:pPr>
      <w:r>
        <w:rPr>
          <w:rStyle w:val="VerbatimChar"/>
        </w:rPr>
        <w:t xml:space="preserve">cases</w:t>
      </w:r>
      <w:r>
        <w:t xml:space="preserve"> </w:t>
      </w:r>
      <w:r>
        <w:t xml:space="preserve">— respondent id, offer type, status, quoted amount, assigned to, opened date, closed date</w:t>
      </w:r>
    </w:p>
    <w:p>
      <w:pPr>
        <w:pStyle w:val="FirstParagraph"/>
      </w:pPr>
      <w:r>
        <w:t xml:space="preserve">No column in</w:t>
      </w:r>
      <w:r>
        <w:t xml:space="preserve"> </w:t>
      </w:r>
      <w:r>
        <w:rPr>
          <w:rStyle w:val="VerbatimChar"/>
        </w:rPr>
        <w:t xml:space="preserve">holdings</w:t>
      </w:r>
      <w:r>
        <w:t xml:space="preserve"> </w:t>
      </w:r>
      <w:r>
        <w:t xml:space="preserve">accepts a number that identifies an account. Enforce it at the database level with a check constraint, not in the form, so a future edit to the UI cannot quietly break the rule.</w:t>
      </w:r>
    </w:p>
    <w:bookmarkEnd w:id="37"/>
    <w:bookmarkStart w:id="38" w:name="dpdp-posture"/>
    <w:p>
      <w:pPr>
        <w:pStyle w:val="Heading3"/>
      </w:pPr>
      <w:r>
        <w:t xml:space="preserve">DPDP posture</w:t>
      </w:r>
    </w:p>
    <w:p>
      <w:pPr>
        <w:pStyle w:val="FirstParagraph"/>
      </w:pPr>
      <w:r>
        <w:t xml:space="preserve">The Rules were notified 13 November 2025; substantive obligations and penalties commence 13 May 2027, with Consent Manager registration opening around November 2026 and no expected grace period. Three things to get right now, while they are cheap:</w:t>
      </w:r>
    </w:p>
    <w:p>
      <w:pPr>
        <w:numPr>
          <w:ilvl w:val="0"/>
          <w:numId w:val="1004"/>
        </w:numPr>
        <w:pStyle w:val="Compact"/>
      </w:pPr>
      <w:r>
        <w:t xml:space="preserve">A plain-language consent notice at screen 12, stating purpose, retention period and how to withdraw</w:t>
      </w:r>
    </w:p>
    <w:p>
      <w:pPr>
        <w:numPr>
          <w:ilvl w:val="0"/>
          <w:numId w:val="1004"/>
        </w:numPr>
        <w:pStyle w:val="Compact"/>
      </w:pPr>
      <w:r>
        <w:t xml:space="preserve">A working deletion path — one WhatsApp message deletes the row</w:t>
      </w:r>
    </w:p>
    <w:p>
      <w:pPr>
        <w:numPr>
          <w:ilvl w:val="0"/>
          <w:numId w:val="1004"/>
        </w:numPr>
        <w:pStyle w:val="Compact"/>
      </w:pPr>
      <w:r>
        <w:t xml:space="preserve">Named retention: purge respondents with no case activity after 36 months</w:t>
      </w:r>
    </w:p>
    <w:p>
      <w:pPr>
        <w:pStyle w:val="FirstParagraph"/>
      </w:pPr>
      <w:r>
        <w:t xml:space="preserve">Doing this at 500 records costs a day. Retrofitting it at 50,000 records costs a quarter.</w:t>
      </w:r>
    </w:p>
    <w:bookmarkEnd w:id="38"/>
    <w:bookmarkEnd w:id="39"/>
    <w:bookmarkStart w:id="45" w:name="ops-runbook"/>
    <w:p>
      <w:pPr>
        <w:pStyle w:val="Heading2"/>
      </w:pPr>
      <w:r>
        <w:t xml:space="preserve">Ops runbook</w:t>
      </w:r>
    </w:p>
    <w:p>
      <w:pPr>
        <w:pStyle w:val="FirstParagraph"/>
      </w:pPr>
      <w:r>
        <w:t xml:space="preserve">The product is six days of work. The business is this section.</w:t>
      </w:r>
    </w:p>
    <w:bookmarkStart w:id="40" w:name="nomination-fix-rs-2500-target-2.5-hours"/>
    <w:p>
      <w:pPr>
        <w:pStyle w:val="Heading3"/>
      </w:pPr>
      <w:r>
        <w:t xml:space="preserve">Nomination Fix — Rs 2,500, target 2.5 hours</w:t>
      </w:r>
    </w:p>
    <w:p>
      <w:pPr>
        <w:numPr>
          <w:ilvl w:val="0"/>
          <w:numId w:val="1005"/>
        </w:numPr>
        <w:pStyle w:val="Compact"/>
      </w:pPr>
      <w:r>
        <w:t xml:space="preserve">Ops associate calls within 24 hours of report delivery, references the specific gap count on page 2</w:t>
      </w:r>
    </w:p>
    <w:p>
      <w:pPr>
        <w:numPr>
          <w:ilvl w:val="0"/>
          <w:numId w:val="1005"/>
        </w:numPr>
        <w:pStyle w:val="Compact"/>
      </w:pPr>
      <w:r>
        <w:t xml:space="preserve">Customer shares screenshots or does a screen-share; associate never asks for passwords or OTPs and never logs in on the customer’s behalf</w:t>
      </w:r>
    </w:p>
    <w:p>
      <w:pPr>
        <w:numPr>
          <w:ilvl w:val="0"/>
          <w:numId w:val="1005"/>
        </w:numPr>
        <w:pStyle w:val="Compact"/>
      </w:pPr>
      <w:r>
        <w:t xml:space="preserve">Associate walks the customer through each institution’s nomination flow, one at a time, in one sitting where possible</w:t>
      </w:r>
    </w:p>
    <w:p>
      <w:pPr>
        <w:numPr>
          <w:ilvl w:val="0"/>
          <w:numId w:val="1005"/>
        </w:numPr>
        <w:pStyle w:val="Compact"/>
      </w:pPr>
      <w:r>
        <w:t xml:space="preserve">Physical-form institutions: associate pre-fills the PDF, couriers it, tracks return</w:t>
      </w:r>
    </w:p>
    <w:p>
      <w:pPr>
        <w:numPr>
          <w:ilvl w:val="0"/>
          <w:numId w:val="1005"/>
        </w:numPr>
        <w:pStyle w:val="Compact"/>
      </w:pPr>
      <w:r>
        <w:t xml:space="preserve">Confirmation screenshot per institution filed against the case</w:t>
      </w:r>
    </w:p>
    <w:p>
      <w:pPr>
        <w:numPr>
          <w:ilvl w:val="0"/>
          <w:numId w:val="1005"/>
        </w:numPr>
        <w:pStyle w:val="Compact"/>
      </w:pPr>
      <w:r>
        <w:t xml:space="preserve">Revised report auto-regenerates with a clean gap score — this is the deliverable, and it is what gets shared</w:t>
      </w:r>
    </w:p>
    <w:p>
      <w:pPr>
        <w:pStyle w:val="FirstParagraph"/>
      </w:pPr>
      <w:r>
        <w:t xml:space="preserve">The hard rule: never take credentials. The moment an associate logs in as a customer, you have a fraud exposure that no revenue justifies.</w:t>
      </w:r>
    </w:p>
    <w:bookmarkEnd w:id="40"/>
    <w:bookmarkStart w:id="41" w:name="X4f4b9b2a8b4b84083819d9e0c269bfc7e4d9eb7"/>
    <w:p>
      <w:pPr>
        <w:pStyle w:val="Heading3"/>
      </w:pPr>
      <w:r>
        <w:t xml:space="preserve">Claim Assist — Rs 25,000 flat plus 10% on recovered dormant assets</w:t>
      </w:r>
    </w:p>
    <w:p>
      <w:pPr>
        <w:pStyle w:val="FirstParagraph"/>
      </w:pPr>
      <w:r>
        <w:t xml:space="preserve">Run as a checklist per institution type. Adrika handles anything requiring a legal instrument; ops handles the rest.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Owner</w:t>
            </w:r>
          </w:p>
        </w:tc>
        <w:tc>
          <w:tcPr/>
          <w:p>
            <w:pPr>
              <w:pStyle w:val="Compact"/>
              <w:jc w:val="left"/>
            </w:pPr>
            <w:r>
              <w:t xml:space="preserve">Typical time</w:t>
            </w:r>
          </w:p>
        </w:tc>
      </w:tr>
      <w:tr>
        <w:tc>
          <w:tcPr/>
          <w:p>
            <w:pPr>
              <w:pStyle w:val="Compact"/>
              <w:jc w:val="left"/>
            </w:pPr>
            <w:r>
              <w:t xml:space="preserve">Death certificate, multiple certified copies</w:t>
            </w:r>
          </w:p>
        </w:tc>
        <w:tc>
          <w:tcPr/>
          <w:p>
            <w:pPr>
              <w:pStyle w:val="Compact"/>
              <w:jc w:val="left"/>
            </w:pPr>
            <w:r>
              <w:t xml:space="preserve">Ops</w:t>
            </w:r>
          </w:p>
        </w:tc>
        <w:tc>
          <w:tcPr/>
          <w:p>
            <w:pPr>
              <w:pStyle w:val="Compact"/>
              <w:jc w:val="left"/>
            </w:pPr>
            <w:r>
              <w:t xml:space="preserve">1–3 weeks</w:t>
            </w:r>
          </w:p>
        </w:tc>
      </w:tr>
      <w:tr>
        <w:tc>
          <w:tcPr/>
          <w:p>
            <w:pPr>
              <w:pStyle w:val="Compact"/>
              <w:jc w:val="left"/>
            </w:pPr>
            <w:r>
              <w:t xml:space="preserve">Legal heir certificate</w:t>
            </w:r>
          </w:p>
        </w:tc>
        <w:tc>
          <w:tcPr/>
          <w:p>
            <w:pPr>
              <w:pStyle w:val="Compact"/>
              <w:jc w:val="left"/>
            </w:pPr>
            <w:r>
              <w:t xml:space="preserve">Adrika</w:t>
            </w:r>
          </w:p>
        </w:tc>
        <w:tc>
          <w:tcPr/>
          <w:p>
            <w:pPr>
              <w:pStyle w:val="Compact"/>
              <w:jc w:val="left"/>
            </w:pPr>
            <w:r>
              <w:t xml:space="preserve">2–6 weeks</w:t>
            </w:r>
          </w:p>
        </w:tc>
      </w:tr>
      <w:tr>
        <w:tc>
          <w:tcPr/>
          <w:p>
            <w:pPr>
              <w:pStyle w:val="Compact"/>
              <w:jc w:val="left"/>
            </w:pPr>
            <w:r>
              <w:t xml:space="preserve">Bank claims, nominated</w:t>
            </w:r>
          </w:p>
        </w:tc>
        <w:tc>
          <w:tcPr/>
          <w:p>
            <w:pPr>
              <w:pStyle w:val="Compact"/>
              <w:jc w:val="left"/>
            </w:pPr>
            <w:r>
              <w:t xml:space="preserve">Ops</w:t>
            </w:r>
          </w:p>
        </w:tc>
        <w:tc>
          <w:tcPr/>
          <w:p>
            <w:pPr>
              <w:pStyle w:val="Compact"/>
              <w:jc w:val="left"/>
            </w:pPr>
            <w:r>
              <w:t xml:space="preserve">2–4 weeks</w:t>
            </w:r>
          </w:p>
        </w:tc>
      </w:tr>
      <w:tr>
        <w:tc>
          <w:tcPr/>
          <w:p>
            <w:pPr>
              <w:pStyle w:val="Compact"/>
              <w:jc w:val="left"/>
            </w:pPr>
            <w:r>
              <w:t xml:space="preserve">Life insurance death claim</w:t>
            </w:r>
          </w:p>
        </w:tc>
        <w:tc>
          <w:tcPr/>
          <w:p>
            <w:pPr>
              <w:pStyle w:val="Compact"/>
              <w:jc w:val="left"/>
            </w:pPr>
            <w:r>
              <w:t xml:space="preserve">Ops</w:t>
            </w:r>
          </w:p>
        </w:tc>
        <w:tc>
          <w:tcPr/>
          <w:p>
            <w:pPr>
              <w:pStyle w:val="Compact"/>
              <w:jc w:val="left"/>
            </w:pPr>
            <w:r>
              <w:t xml:space="preserve">3–6 weeks</w:t>
            </w:r>
          </w:p>
        </w:tc>
      </w:tr>
      <w:tr>
        <w:tc>
          <w:tcPr/>
          <w:p>
            <w:pPr>
              <w:pStyle w:val="Compact"/>
              <w:jc w:val="left"/>
            </w:pPr>
            <w:r>
              <w:t xml:space="preserve">EPF and EPS</w:t>
            </w:r>
          </w:p>
        </w:tc>
        <w:tc>
          <w:tcPr/>
          <w:p>
            <w:pPr>
              <w:pStyle w:val="Compact"/>
              <w:jc w:val="left"/>
            </w:pPr>
            <w:r>
              <w:t xml:space="preserve">Ops</w:t>
            </w:r>
          </w:p>
        </w:tc>
        <w:tc>
          <w:tcPr/>
          <w:p>
            <w:pPr>
              <w:pStyle w:val="Compact"/>
              <w:jc w:val="left"/>
            </w:pPr>
            <w:r>
              <w:t xml:space="preserve">4–8 weeks</w:t>
            </w:r>
          </w:p>
        </w:tc>
      </w:tr>
      <w:tr>
        <w:tc>
          <w:tcPr/>
          <w:p>
            <w:pPr>
              <w:pStyle w:val="Compact"/>
              <w:jc w:val="left"/>
            </w:pPr>
            <w:r>
              <w:t xml:space="preserve">Demat transmission</w:t>
            </w:r>
          </w:p>
        </w:tc>
        <w:tc>
          <w:tcPr/>
          <w:p>
            <w:pPr>
              <w:pStyle w:val="Compact"/>
              <w:jc w:val="left"/>
            </w:pPr>
            <w:r>
              <w:t xml:space="preserve">Ops</w:t>
            </w:r>
          </w:p>
        </w:tc>
        <w:tc>
          <w:tcPr/>
          <w:p>
            <w:pPr>
              <w:pStyle w:val="Compact"/>
              <w:jc w:val="left"/>
            </w:pPr>
            <w:r>
              <w:t xml:space="preserve">2–6 weeks</w:t>
            </w:r>
          </w:p>
        </w:tc>
      </w:tr>
      <w:tr>
        <w:tc>
          <w:tcPr/>
          <w:p>
            <w:pPr>
              <w:pStyle w:val="Compact"/>
              <w:jc w:val="left"/>
            </w:pPr>
            <w:r>
              <w:t xml:space="preserve">Mutual fund transmission</w:t>
            </w:r>
          </w:p>
        </w:tc>
        <w:tc>
          <w:tcPr/>
          <w:p>
            <w:pPr>
              <w:pStyle w:val="Compact"/>
              <w:jc w:val="left"/>
            </w:pPr>
            <w:r>
              <w:t xml:space="preserve">Ops</w:t>
            </w:r>
          </w:p>
        </w:tc>
        <w:tc>
          <w:tcPr/>
          <w:p>
            <w:pPr>
              <w:pStyle w:val="Compact"/>
              <w:jc w:val="left"/>
            </w:pPr>
            <w:r>
              <w:t xml:space="preserve">3–6 weeks</w:t>
            </w:r>
          </w:p>
        </w:tc>
      </w:tr>
      <w:tr>
        <w:tc>
          <w:tcPr/>
          <w:p>
            <w:pPr>
              <w:pStyle w:val="Compact"/>
              <w:jc w:val="left"/>
            </w:pPr>
            <w:r>
              <w:t xml:space="preserve">Dormant asset sweep</w:t>
            </w:r>
          </w:p>
        </w:tc>
        <w:tc>
          <w:tcPr/>
          <w:p>
            <w:pPr>
              <w:pStyle w:val="Compact"/>
              <w:jc w:val="left"/>
            </w:pPr>
            <w:r>
              <w:t xml:space="preserve">Ops</w:t>
            </w:r>
          </w:p>
        </w:tc>
        <w:tc>
          <w:tcPr/>
          <w:p>
            <w:pPr>
              <w:pStyle w:val="Compact"/>
              <w:jc w:val="left"/>
            </w:pPr>
            <w:r>
              <w:t xml:space="preserve">Parallel, ongoing</w:t>
            </w:r>
          </w:p>
        </w:tc>
      </w:tr>
      <w:tr>
        <w:tc>
          <w:tcPr/>
          <w:p>
            <w:pPr>
              <w:pStyle w:val="Compact"/>
              <w:jc w:val="left"/>
            </w:pPr>
            <w:r>
              <w:t xml:space="preserve">Property mutation</w:t>
            </w:r>
          </w:p>
        </w:tc>
        <w:tc>
          <w:tcPr/>
          <w:p>
            <w:pPr>
              <w:pStyle w:val="Compact"/>
              <w:jc w:val="left"/>
            </w:pPr>
            <w:r>
              <w:t xml:space="preserve">Adrika</w:t>
            </w:r>
          </w:p>
        </w:tc>
        <w:tc>
          <w:tcPr/>
          <w:p>
            <w:pPr>
              <w:pStyle w:val="Compact"/>
              <w:jc w:val="left"/>
            </w:pPr>
            <w:r>
              <w:t xml:space="preserve">6–16 weeks</w:t>
            </w:r>
          </w:p>
        </w:tc>
      </w:tr>
      <w:tr>
        <w:tc>
          <w:tcPr/>
          <w:p>
            <w:pPr>
              <w:pStyle w:val="Compact"/>
              <w:jc w:val="left"/>
            </w:pPr>
            <w:r>
              <w:t xml:space="preserve">Succession certificate, only if unavoidable</w:t>
            </w:r>
          </w:p>
        </w:tc>
        <w:tc>
          <w:tcPr/>
          <w:p>
            <w:pPr>
              <w:pStyle w:val="Compact"/>
              <w:jc w:val="left"/>
            </w:pPr>
            <w:r>
              <w:t xml:space="preserve">Adrika</w:t>
            </w:r>
          </w:p>
        </w:tc>
        <w:tc>
          <w:tcPr/>
          <w:p>
            <w:pPr>
              <w:pStyle w:val="Compact"/>
              <w:jc w:val="left"/>
            </w:pPr>
            <w:r>
              <w:t xml:space="preserve">3–12 months</w:t>
            </w:r>
          </w:p>
        </w:tc>
      </w:tr>
    </w:tbl>
    <w:bookmarkEnd w:id="41"/>
    <w:bookmarkStart w:id="42" w:name="the-dormant-asset-sweep"/>
    <w:p>
      <w:pPr>
        <w:pStyle w:val="Heading3"/>
      </w:pPr>
      <w:r>
        <w:t xml:space="preserve">The dormant asset sweep</w:t>
      </w:r>
    </w:p>
    <w:p>
      <w:pPr>
        <w:pStyle w:val="FirstParagraph"/>
      </w:pPr>
      <w:r>
        <w:t xml:space="preserve">Run on every Claim Assist case, in parallel, from day one. Four free searches against the deceased’s details:</w:t>
      </w:r>
    </w:p>
    <w:p>
      <w:pPr>
        <w:numPr>
          <w:ilvl w:val="0"/>
          <w:numId w:val="1006"/>
        </w:numPr>
        <w:pStyle w:val="Compact"/>
      </w:pPr>
      <w:r>
        <w:t xml:space="preserve">UDGAM for dormant bank deposits across participating banks</w:t>
      </w:r>
    </w:p>
    <w:p>
      <w:pPr>
        <w:numPr>
          <w:ilvl w:val="0"/>
          <w:numId w:val="1006"/>
        </w:numPr>
        <w:pStyle w:val="Compact"/>
      </w:pPr>
      <w:r>
        <w:t xml:space="preserve">MITRA for mutual fund folios with no investor-initiated transaction in ten years</w:t>
      </w:r>
    </w:p>
    <w:p>
      <w:pPr>
        <w:numPr>
          <w:ilvl w:val="0"/>
          <w:numId w:val="1006"/>
        </w:numPr>
        <w:pStyle w:val="Compact"/>
      </w:pPr>
      <w:r>
        <w:t xml:space="preserve">Bima Bharosa for unclaimed amounts across life, general and health insurers</w:t>
      </w:r>
    </w:p>
    <w:p>
      <w:pPr>
        <w:numPr>
          <w:ilvl w:val="0"/>
          <w:numId w:val="1006"/>
        </w:numPr>
        <w:pStyle w:val="Compact"/>
      </w:pPr>
      <w:r>
        <w:t xml:space="preserve">IEPF for shares and dividends transferred after seven years unclaimed</w:t>
      </w:r>
    </w:p>
    <w:p>
      <w:pPr>
        <w:pStyle w:val="FirstParagraph"/>
      </w:pPr>
      <w:r>
        <w:t xml:space="preserve">This costs an hour and finds money the family did not know about. It is where the 10% success fee comes from, and it is the part of the service that generates referrals — nobody refers you for filing paperwork correctly, everybody refers you for finding a policy their father never mentioned.</w:t>
      </w:r>
    </w:p>
    <w:bookmarkEnd w:id="42"/>
    <w:bookmarkStart w:id="43" w:name="avoiding-the-succession-certificate"/>
    <w:p>
      <w:pPr>
        <w:pStyle w:val="Heading3"/>
      </w:pPr>
      <w:r>
        <w:t xml:space="preserve">Avoiding the succession certificate</w:t>
      </w:r>
    </w:p>
    <w:p>
      <w:pPr>
        <w:pStyle w:val="FirstParagraph"/>
      </w:pPr>
      <w:r>
        <w:t xml:space="preserve">Treat this as the primary ops objective, not a fallback. Court fees at 2–3% of movable asset value plus roughly Rs 45,000 in professional fees plus three to six months uncontested means every case you route around it saves the family more than your entire fee. Where a valid nomination exists, most institutions settle on the nominee’s application, a death certificate and KYC — SEBI’s January 2025 reforms removed the affidavit, indemnity, undertaking and attestation requirements that used to make this painful.</w:t>
      </w:r>
    </w:p>
    <w:p>
      <w:pPr>
        <w:pStyle w:val="BodyText"/>
      </w:pPr>
      <w:r>
        <w:t xml:space="preserve">Build a one-page decision tree: nomination present → direct transmission; no nomination but a registered will → probate path; neither → succession certificate. Give it to the ops associate on day one.</w:t>
      </w:r>
    </w:p>
    <w:bookmarkEnd w:id="43"/>
    <w:bookmarkStart w:id="44" w:name="staffing"/>
    <w:p>
      <w:pPr>
        <w:pStyle w:val="Heading3"/>
      </w:pPr>
      <w:r>
        <w:t xml:space="preserve">Staffing</w:t>
      </w:r>
    </w:p>
    <w:p>
      <w:pPr>
        <w:pStyle w:val="FirstParagraph"/>
      </w:pPr>
      <w:r>
        <w:t xml:space="preserve">One ops associate handles roughly 12 Nomination Fix cases or 4 Claim Assist cases a week. Adrika absorbs the legal load until case volume passes about 8 open settlements, at which point it needs a dedicated junior.</w:t>
      </w:r>
    </w:p>
    <w:bookmarkEnd w:id="44"/>
    <w:bookmarkEnd w:id="45"/>
    <w:bookmarkStart w:id="49" w:name="launch-plan-and-kill-criteria"/>
    <w:p>
      <w:pPr>
        <w:pStyle w:val="Heading2"/>
      </w:pPr>
      <w:r>
        <w:t xml:space="preserve">Launch plan and kill criteria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Weeks</w:t>
            </w:r>
          </w:p>
        </w:tc>
        <w:tc>
          <w:tcPr/>
          <w:p>
            <w:pPr>
              <w:pStyle w:val="Compact"/>
              <w:jc w:val="left"/>
            </w:pPr>
            <w:r>
              <w:t xml:space="preserve">Focus</w:t>
            </w:r>
          </w:p>
        </w:tc>
        <w:tc>
          <w:tcPr/>
          <w:p>
            <w:pPr>
              <w:pStyle w:val="Compact"/>
              <w:jc w:val="left"/>
            </w:pPr>
            <w:r>
              <w:t xml:space="preserve">Done when</w:t>
            </w:r>
          </w:p>
        </w:tc>
      </w:tr>
      <w:tr>
        <w:tc>
          <w:tcPr/>
          <w:p>
            <w:pPr>
              <w:pStyle w:val="Compact"/>
              <w:jc w:val="left"/>
            </w:pPr>
            <w:r>
              <w:t xml:space="preserve">1–2</w:t>
            </w:r>
          </w:p>
        </w:tc>
        <w:tc>
          <w:tcPr/>
          <w:p>
            <w:pPr>
              <w:pStyle w:val="Compact"/>
              <w:jc w:val="left"/>
            </w:pPr>
            <w:r>
              <w:t xml:space="preserve">Build the form, template and link library</w:t>
            </w:r>
          </w:p>
        </w:tc>
        <w:tc>
          <w:tcPr/>
          <w:p>
            <w:pPr>
              <w:pStyle w:val="Compact"/>
              <w:jc w:val="left"/>
            </w:pPr>
            <w:r>
              <w:t xml:space="preserve">10 reports generated end to end</w:t>
            </w:r>
          </w:p>
        </w:tc>
      </w:tr>
      <w:tr>
        <w:tc>
          <w:tcPr/>
          <w:p>
            <w:pPr>
              <w:pStyle w:val="Compact"/>
              <w:jc w:val="left"/>
            </w:pPr>
            <w:r>
              <w:t xml:space="preserve">3</w:t>
            </w:r>
          </w:p>
        </w:tc>
        <w:tc>
          <w:tcPr/>
          <w:p>
            <w:pPr>
              <w:pStyle w:val="Compact"/>
              <w:jc w:val="left"/>
            </w:pPr>
            <w:r>
              <w:t xml:space="preserve">Warm test: 25 people from your network, delivered by hand if needed</w:t>
            </w:r>
          </w:p>
        </w:tc>
        <w:tc>
          <w:tcPr/>
          <w:p>
            <w:pPr>
              <w:pStyle w:val="Compact"/>
              <w:jc w:val="left"/>
            </w:pPr>
            <w:r>
              <w:t xml:space="preserve">Completion rate and gap distribution measured</w:t>
            </w:r>
          </w:p>
        </w:tc>
      </w:tr>
      <w:tr>
        <w:tc>
          <w:tcPr/>
          <w:p>
            <w:pPr>
              <w:pStyle w:val="Compact"/>
              <w:jc w:val="left"/>
            </w:pPr>
            <w:r>
              <w:t xml:space="preserve">4</w:t>
            </w:r>
          </w:p>
        </w:tc>
        <w:tc>
          <w:tcPr/>
          <w:p>
            <w:pPr>
              <w:pStyle w:val="Compact"/>
              <w:jc w:val="left"/>
            </w:pPr>
            <w:r>
              <w:t xml:space="preserve">Sell Nomination Fix to those 25</w:t>
            </w:r>
          </w:p>
        </w:tc>
        <w:tc>
          <w:tcPr/>
          <w:p>
            <w:pPr>
              <w:pStyle w:val="Compact"/>
              <w:jc w:val="left"/>
            </w:pPr>
            <w:r>
              <w:t xml:space="preserve">First rupee collected</w:t>
            </w:r>
          </w:p>
        </w:tc>
      </w:tr>
      <w:tr>
        <w:tc>
          <w:tcPr/>
          <w:p>
            <w:pPr>
              <w:pStyle w:val="Compact"/>
              <w:jc w:val="left"/>
            </w:pPr>
            <w:r>
              <w:t xml:space="preserve">5–6</w:t>
            </w:r>
          </w:p>
        </w:tc>
        <w:tc>
          <w:tcPr/>
          <w:p>
            <w:pPr>
              <w:pStyle w:val="Compact"/>
              <w:jc w:val="left"/>
            </w:pPr>
            <w:r>
              <w:t xml:space="preserve">Channel pitch: 2 EB platforms, 2 corporate brokers, 1 insurer</w:t>
            </w:r>
          </w:p>
        </w:tc>
        <w:tc>
          <w:tcPr/>
          <w:p>
            <w:pPr>
              <w:pStyle w:val="Compact"/>
              <w:jc w:val="left"/>
            </w:pPr>
            <w:r>
              <w:t xml:space="preserve">One free pilot signed for 500+ lives</w:t>
            </w:r>
          </w:p>
        </w:tc>
      </w:tr>
      <w:tr>
        <w:tc>
          <w:tcPr/>
          <w:p>
            <w:pPr>
              <w:pStyle w:val="Compact"/>
              <w:jc w:val="left"/>
            </w:pPr>
            <w:r>
              <w:t xml:space="preserve">7–8</w:t>
            </w:r>
          </w:p>
        </w:tc>
        <w:tc>
          <w:tcPr/>
          <w:p>
            <w:pPr>
              <w:pStyle w:val="Compact"/>
              <w:jc w:val="left"/>
            </w:pPr>
            <w:r>
              <w:t xml:space="preserve">Run the pilot; deliver 3 Claim Assist cases free to build the runbook</w:t>
            </w:r>
          </w:p>
        </w:tc>
        <w:tc>
          <w:tcPr/>
          <w:p>
            <w:pPr>
              <w:pStyle w:val="Compact"/>
              <w:jc w:val="left"/>
            </w:pPr>
            <w:r>
              <w:t xml:space="preserve">Real cost per case known</w:t>
            </w:r>
          </w:p>
        </w:tc>
      </w:tr>
    </w:tbl>
    <w:bookmarkStart w:id="46" w:name="channel-targets-in-order"/>
    <w:p>
      <w:pPr>
        <w:pStyle w:val="Heading3"/>
      </w:pPr>
      <w:r>
        <w:t xml:space="preserve">Channel targets, in order</w:t>
      </w:r>
    </w:p>
    <w:p>
      <w:pPr>
        <w:pStyle w:val="FirstParagraph"/>
      </w:pPr>
      <w:r>
        <w:t xml:space="preserve">Start with employee benefits platforms. Plum reported close to Rs 70 crore revenue in FY25, reached EBITDA profitability, and raised a $20.6M Series B in March 2026 led by Peak XV — they bundle group term life alongside health and are actively looking for differentiated non-health benefits. Onsurity, Pazcare, Loop and Nova sit in the same position. Group term life claim support is the one benefit where HR is currently helpless, which is exactly the gap to sell into.</w:t>
      </w:r>
    </w:p>
    <w:p>
      <w:pPr>
        <w:pStyle w:val="BodyText"/>
      </w:pPr>
      <w:r>
        <w:t xml:space="preserve">Approach them with a free pilot, not a price. You want 500 lives and their engagement data, not their first cheque.</w:t>
      </w:r>
    </w:p>
    <w:bookmarkEnd w:id="46"/>
    <w:bookmarkStart w:id="47" w:name="metrics"/>
    <w:p>
      <w:pPr>
        <w:pStyle w:val="Heading3"/>
      </w:pPr>
      <w:r>
        <w:t xml:space="preserve">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Pass</w:t>
            </w:r>
          </w:p>
        </w:tc>
        <w:tc>
          <w:tcPr/>
          <w:p>
            <w:pPr>
              <w:pStyle w:val="Compact"/>
              <w:jc w:val="left"/>
            </w:pPr>
            <w:r>
              <w:t xml:space="preserve">Kill</w:t>
            </w:r>
          </w:p>
        </w:tc>
      </w:tr>
      <w:tr>
        <w:tc>
          <w:tcPr/>
          <w:p>
            <w:pPr>
              <w:pStyle w:val="Compact"/>
              <w:jc w:val="left"/>
            </w:pPr>
            <w:r>
              <w:t xml:space="preserve">Form completion once started</w:t>
            </w:r>
          </w:p>
        </w:tc>
        <w:tc>
          <w:tcPr/>
          <w:p>
            <w:pPr>
              <w:pStyle w:val="Compact"/>
              <w:jc w:val="left"/>
            </w:pPr>
            <w:r>
              <w:t xml:space="preserve">Over 50%</w:t>
            </w:r>
          </w:p>
        </w:tc>
        <w:tc>
          <w:tcPr/>
          <w:p>
            <w:pPr>
              <w:pStyle w:val="Compact"/>
              <w:jc w:val="left"/>
            </w:pPr>
            <w:r>
              <w:t xml:space="preserve">Under 30% — cut to 8 questions</w:t>
            </w:r>
          </w:p>
        </w:tc>
      </w:tr>
      <w:tr>
        <w:tc>
          <w:tcPr/>
          <w:p>
            <w:pPr>
              <w:pStyle w:val="Compact"/>
              <w:jc w:val="left"/>
            </w:pPr>
            <w:r>
              <w:t xml:space="preserve">Reports showing 3+ gaps</w:t>
            </w:r>
          </w:p>
        </w:tc>
        <w:tc>
          <w:tcPr/>
          <w:p>
            <w:pPr>
              <w:pStyle w:val="Compact"/>
              <w:jc w:val="left"/>
            </w:pPr>
            <w:r>
              <w:t xml:space="preserve">Over 60%</w:t>
            </w:r>
          </w:p>
        </w:tc>
        <w:tc>
          <w:tcPr/>
          <w:p>
            <w:pPr>
              <w:pStyle w:val="Compact"/>
              <w:jc w:val="left"/>
            </w:pPr>
            <w:r>
              <w:t xml:space="preserve">Under 40% — the problem is smaller than assumed</w:t>
            </w:r>
          </w:p>
        </w:tc>
      </w:tr>
      <w:tr>
        <w:tc>
          <w:tcPr/>
          <w:p>
            <w:pPr>
              <w:pStyle w:val="Compact"/>
              <w:jc w:val="left"/>
            </w:pPr>
            <w:r>
              <w:t xml:space="preserve">Report to Nomination Fix conversion</w:t>
            </w:r>
          </w:p>
        </w:tc>
        <w:tc>
          <w:tcPr/>
          <w:p>
            <w:pPr>
              <w:pStyle w:val="Compact"/>
              <w:jc w:val="left"/>
            </w:pPr>
            <w:r>
              <w:t xml:space="preserve">Over 5%</w:t>
            </w:r>
          </w:p>
        </w:tc>
        <w:tc>
          <w:tcPr/>
          <w:p>
            <w:pPr>
              <w:pStyle w:val="Compact"/>
              <w:jc w:val="left"/>
            </w:pPr>
            <w:r>
              <w:t xml:space="preserve">Under 2% — nobody pays for anything here</w:t>
            </w:r>
          </w:p>
        </w:tc>
      </w:tr>
      <w:tr>
        <w:tc>
          <w:tcPr/>
          <w:p>
            <w:pPr>
              <w:pStyle w:val="Compact"/>
              <w:jc w:val="left"/>
            </w:pPr>
            <w:r>
              <w:t xml:space="preserve">Channel partners accepting a free pilot</w:t>
            </w:r>
          </w:p>
        </w:tc>
        <w:tc>
          <w:tcPr/>
          <w:p>
            <w:pPr>
              <w:pStyle w:val="Compact"/>
              <w:jc w:val="left"/>
            </w:pPr>
            <w:r>
              <w:t xml:space="preserve">1 of 5</w:t>
            </w:r>
          </w:p>
        </w:tc>
        <w:tc>
          <w:tcPr/>
          <w:p>
            <w:pPr>
              <w:pStyle w:val="Compact"/>
              <w:jc w:val="left"/>
            </w:pPr>
            <w:r>
              <w:t xml:space="preserve">0 of 5 — the B2B2C thesis is dead</w:t>
            </w:r>
          </w:p>
        </w:tc>
      </w:tr>
      <w:tr>
        <w:tc>
          <w:tcPr/>
          <w:p>
            <w:pPr>
              <w:pStyle w:val="Compact"/>
              <w:jc w:val="left"/>
            </w:pPr>
            <w:r>
              <w:t xml:space="preserve">Cost per Claim Assist case</w:t>
            </w:r>
          </w:p>
        </w:tc>
        <w:tc>
          <w:tcPr/>
          <w:p>
            <w:pPr>
              <w:pStyle w:val="Compact"/>
              <w:jc w:val="left"/>
            </w:pPr>
            <w:r>
              <w:t xml:space="preserve">Under Rs 12,000</w:t>
            </w:r>
          </w:p>
        </w:tc>
        <w:tc>
          <w:tcPr/>
          <w:p>
            <w:pPr>
              <w:pStyle w:val="Compact"/>
              <w:jc w:val="left"/>
            </w:pPr>
            <w:r>
              <w:t xml:space="preserve">Over Rs 20,000 — margin too thin to scale</w:t>
            </w:r>
          </w:p>
        </w:tc>
      </w:tr>
    </w:tbl>
    <w:bookmarkEnd w:id="47"/>
    <w:bookmarkStart w:id="48" w:name="open-questions"/>
    <w:p>
      <w:pPr>
        <w:pStyle w:val="Heading3"/>
      </w:pPr>
      <w:r>
        <w:t xml:space="preserve">Open questions</w:t>
      </w:r>
    </w:p>
    <w:p>
      <w:pPr>
        <w:numPr>
          <w:ilvl w:val="0"/>
          <w:numId w:val="1007"/>
        </w:numPr>
        <w:pStyle w:val="Compact"/>
      </w:pPr>
      <w:r>
        <w:t xml:space="preserve">Is Adrika registered as a firm with practising advocates, or structured around a single practitioner? Determines whether it can carry the settlement volume.</w:t>
      </w:r>
    </w:p>
    <w:p>
      <w:pPr>
        <w:numPr>
          <w:ilvl w:val="0"/>
          <w:numId w:val="1007"/>
        </w:numPr>
        <w:pStyle w:val="Compact"/>
      </w:pPr>
      <w:r>
        <w:t xml:space="preserve">Does the Mitigata relationship permit selling a non-cyber VAS through the same insurer contacts, or does this need a clean separate entity?</w:t>
      </w:r>
    </w:p>
    <w:p>
      <w:pPr>
        <w:numPr>
          <w:ilvl w:val="0"/>
          <w:numId w:val="1007"/>
        </w:numPr>
        <w:pStyle w:val="Compact"/>
      </w:pPr>
      <w:r>
        <w:t xml:space="preserve">Who runs ops for the first 20 cases — a hire, or you?</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Protection Report — Build Spec</dc:title>
  <dc:creator/>
  <cp:keywords/>
  <dcterms:created xsi:type="dcterms:W3CDTF">2026-09-25T17:07:01Z</dcterms:created>
  <dcterms:modified xsi:type="dcterms:W3CDTF">2026-09-25T17:07:01Z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September 2026</vt:lpwstr>
  </property>
</Properties>
</file>