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4" w:lineRule="auto"/>
      </w:pPr>
      <w:r>
        <w:rPr>
          <w:rFonts w:ascii="Aptos" w:hAnsi="Aptos"/>
          <w:b/>
          <w:i w:val="0"/>
          <w:color w:val="85776B"/>
          <w:sz w:val="20"/>
        </w:rPr>
        <w:t>MIRELLIS</w:t>
      </w:r>
    </w:p>
    <w:p>
      <w:pPr>
        <w:spacing w:before="0" w:after="80" w:line="264" w:lineRule="auto"/>
      </w:pPr>
      <w:r>
        <w:rPr>
          <w:rFonts w:ascii="Aptos" w:hAnsi="Aptos"/>
          <w:b/>
          <w:i w:val="0"/>
          <w:color w:val="2E2B28"/>
          <w:sz w:val="50"/>
        </w:rPr>
        <w:t>App Reset — V1 Product Brief</w:t>
      </w:r>
    </w:p>
    <w:p>
      <w:pPr>
        <w:spacing w:before="0" w:after="360" w:line="264" w:lineRule="auto"/>
      </w:pPr>
      <w:r>
        <w:rPr>
          <w:rFonts w:ascii="Aptos" w:hAnsi="Aptos"/>
          <w:b w:val="0"/>
          <w:i w:val="0"/>
          <w:color w:val="6E655D"/>
          <w:sz w:val="26"/>
        </w:rPr>
        <w:t>A private, immediate experience for the transition a person is in right now.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C6B1"/>
          <w:left w:val="single" w:sz="4" w:space="0" w:color="D8C6B1"/>
          <w:bottom w:val="single" w:sz="4" w:space="0" w:color="D8C6B1"/>
          <w:right w:val="single" w:sz="4" w:space="0" w:color="D8C6B1"/>
          <w:insideH w:val="single" w:sz="4" w:space="0" w:color="D8C6B1"/>
          <w:insideV w:val="single" w:sz="4" w:space="0" w:color="D8C6B1"/>
        </w:tblBorders>
      </w:tblPr>
      <w:tblGrid>
        <w:gridCol w:w="2000"/>
        <w:gridCol w:w="7360"/>
      </w:tblGrid>
      <w:tr>
        <w:tc>
          <w:tcPr>
            <w:tcW w:type="dxa" w:w="2000"/>
            <w:shd w:fill="F6F1E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6E655D"/>
                <w:sz w:val="19"/>
              </w:rPr>
              <w:t>Decision</w:t>
            </w:r>
          </w:p>
        </w:tc>
        <w:tc>
          <w:tcPr>
            <w:tcW w:type="dxa" w:w="73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E2B28"/>
                <w:sz w:val="21"/>
              </w:rPr>
              <w:t>Approved direction: reset the app around one complete Work → Recovery experience.</w:t>
            </w:r>
          </w:p>
        </w:tc>
      </w:tr>
      <w:tr>
        <w:tc>
          <w:tcPr>
            <w:tcW w:type="dxa" w:w="2000"/>
            <w:shd w:fill="F6F1E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6E655D"/>
                <w:sz w:val="19"/>
              </w:rPr>
              <w:t>Status</w:t>
            </w:r>
          </w:p>
        </w:tc>
        <w:tc>
          <w:tcPr>
            <w:tcW w:type="dxa" w:w="73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E2B28"/>
                <w:sz w:val="21"/>
              </w:rPr>
              <w:t>Product brief approved. No live-site or app implementation is authorised by this document.</w:t>
            </w:r>
          </w:p>
        </w:tc>
      </w:tr>
      <w:tr>
        <w:tc>
          <w:tcPr>
            <w:tcW w:type="dxa" w:w="2000"/>
            <w:shd w:fill="F6F1E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6E655D"/>
                <w:sz w:val="19"/>
              </w:rPr>
              <w:t>Canonical V1</w:t>
            </w:r>
          </w:p>
        </w:tc>
        <w:tc>
          <w:tcPr>
            <w:tcW w:type="dxa" w:w="73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E2B28"/>
                <w:sz w:val="21"/>
              </w:rPr>
              <w:t>Sleep → Wakefulness; Wakefulness → Readiness; Readiness → Focus; Focus → Recovery.</w:t>
            </w:r>
          </w:p>
        </w:tc>
      </w:tr>
      <w:tr>
        <w:tc>
          <w:tcPr>
            <w:tcW w:type="dxa" w:w="2000"/>
            <w:shd w:fill="F6F1E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6E655D"/>
                <w:sz w:val="19"/>
              </w:rPr>
              <w:t>First vertical slice</w:t>
            </w:r>
          </w:p>
        </w:tc>
        <w:tc>
          <w:tcPr>
            <w:tcW w:type="dxa" w:w="73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E2B28"/>
                <w:sz w:val="21"/>
              </w:rPr>
              <w:t>Work → Recovery only.</w:t>
            </w:r>
          </w:p>
        </w:tc>
      </w:tr>
    </w:tbl>
    <w:p>
      <w:pPr>
        <w:keepNext/>
        <w:spacing w:before="320" w:after="120"/>
      </w:pPr>
      <w:r>
        <w:rPr>
          <w:rFonts w:ascii="Aptos" w:hAnsi="Aptos"/>
          <w:b/>
          <w:i w:val="0"/>
          <w:color w:val="2E2B28"/>
          <w:sz w:val="32"/>
        </w:rPr>
        <w:t>The decision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C6B1"/>
          <w:left w:val="single" w:sz="4" w:space="0" w:color="D8C6B1"/>
          <w:bottom w:val="single" w:sz="4" w:space="0" w:color="D8C6B1"/>
          <w:right w:val="single" w:sz="4" w:space="0" w:color="D8C6B1"/>
          <w:insideH w:val="single" w:sz="4" w:space="0" w:color="D8C6B1"/>
          <w:insideV w:val="single" w:sz="4" w:space="0" w:color="D8C6B1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FE7DB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85776B"/>
                <w:sz w:val="18"/>
              </w:rPr>
              <w:t xml:space="preserve">PRODUCT JOB  </w:t>
            </w:r>
            <w:r>
              <w:rPr>
                <w:rFonts w:ascii="Aptos" w:hAnsi="Aptos"/>
                <w:b w:val="0"/>
                <w:i w:val="0"/>
                <w:color w:val="2E2B28"/>
                <w:sz w:val="21"/>
              </w:rPr>
              <w:t>Help a person move from the state they have explicitly named to one small, practical next action. The app is not a content library, a diagnosis tool, or a performance dashboard.</w:t>
            </w:r>
          </w:p>
        </w:tc>
      </w:tr>
    </w:tbl>
    <w:p>
      <w:pPr>
        <w:spacing w:before="0" w:after="160" w:line="264" w:lineRule="auto"/>
      </w:pPr>
      <w:r>
        <w:rPr>
          <w:rFonts w:ascii="Aptos" w:hAnsi="Aptos"/>
          <w:b w:val="0"/>
          <w:i w:val="0"/>
          <w:color w:val="2E2B28"/>
          <w:sz w:val="22"/>
        </w:rPr>
        <w:t>Mirellis will preserve its institutional and research architecture, but change the consumer entry point. The person should not need to learn the model before receiving value.</w:t>
      </w:r>
    </w:p>
    <w:p>
      <w:pPr>
        <w:keepNext/>
        <w:spacing w:before="320" w:after="120"/>
      </w:pPr>
      <w:r>
        <w:rPr>
          <w:rFonts w:ascii="Aptos" w:hAnsi="Aptos"/>
          <w:b/>
          <w:i w:val="0"/>
          <w:color w:val="2E2B28"/>
          <w:sz w:val="32"/>
        </w:rPr>
        <w:t>Operating model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C6B1"/>
          <w:left w:val="single" w:sz="4" w:space="0" w:color="D8C6B1"/>
          <w:bottom w:val="single" w:sz="4" w:space="0" w:color="D8C6B1"/>
          <w:right w:val="single" w:sz="4" w:space="0" w:color="D8C6B1"/>
          <w:insideH w:val="single" w:sz="4" w:space="0" w:color="D8C6B1"/>
          <w:insideV w:val="single" w:sz="4" w:space="0" w:color="D8C6B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1E8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E2B28"/>
                <w:sz w:val="19"/>
              </w:rPr>
              <w:t>Recognise</w:t>
            </w:r>
          </w:p>
        </w:tc>
        <w:tc>
          <w:tcPr>
            <w:tcW w:type="dxa" w:w="1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1E8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E2B28"/>
                <w:sz w:val="19"/>
              </w:rPr>
              <w:t>Name</w:t>
            </w:r>
          </w:p>
        </w:tc>
        <w:tc>
          <w:tcPr>
            <w:tcW w:type="dxa" w:w="1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1E8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E2B28"/>
                <w:sz w:val="19"/>
              </w:rPr>
              <w:t>Begin</w:t>
            </w:r>
          </w:p>
        </w:tc>
        <w:tc>
          <w:tcPr>
            <w:tcW w:type="dxa" w:w="1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1E8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E2B28"/>
                <w:sz w:val="19"/>
              </w:rPr>
              <w:t>Notice</w:t>
            </w:r>
          </w:p>
        </w:tc>
        <w:tc>
          <w:tcPr>
            <w:tcW w:type="dxa" w:w="1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1E8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E2B28"/>
                <w:sz w:val="19"/>
              </w:rPr>
              <w:t>Understand</w:t>
            </w:r>
          </w:p>
        </w:tc>
        <w:tc>
          <w:tcPr>
            <w:tcW w:type="dxa" w:w="1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1E8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E2B28"/>
                <w:sz w:val="19"/>
              </w:rPr>
              <w:t>Choose</w:t>
            </w:r>
          </w:p>
        </w:tc>
      </w:tr>
      <w:tr>
        <w:tc>
          <w:tcPr>
            <w:tcW w:type="dxa" w:w="1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6E655D"/>
                <w:sz w:val="17"/>
              </w:rPr>
              <w:t>Work has ended, but my mind has not.</w:t>
            </w:r>
          </w:p>
        </w:tc>
        <w:tc>
          <w:tcPr>
            <w:tcW w:type="dxa" w:w="1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6E655D"/>
                <w:sz w:val="17"/>
              </w:rPr>
              <w:t>Choose the closest explicit description.</w:t>
            </w:r>
          </w:p>
        </w:tc>
        <w:tc>
          <w:tcPr>
            <w:tcW w:type="dxa" w:w="1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6E655D"/>
                <w:sz w:val="17"/>
              </w:rPr>
              <w:t>One guided transition; no library.</w:t>
            </w:r>
          </w:p>
        </w:tc>
        <w:tc>
          <w:tcPr>
            <w:tcW w:type="dxa" w:w="1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6E655D"/>
                <w:sz w:val="17"/>
              </w:rPr>
              <w:t>Person records whether anything shifted.</w:t>
            </w:r>
          </w:p>
        </w:tc>
        <w:tc>
          <w:tcPr>
            <w:tcW w:type="dxa" w:w="1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6E655D"/>
                <w:sz w:val="17"/>
              </w:rPr>
              <w:t>Optional finding and context.</w:t>
            </w:r>
          </w:p>
        </w:tc>
        <w:tc>
          <w:tcPr>
            <w:tcW w:type="dxa" w:w="1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6E655D"/>
                <w:sz w:val="17"/>
              </w:rPr>
              <w:t>Optional physical ritual tool.</w:t>
            </w:r>
          </w:p>
        </w:tc>
      </w:tr>
    </w:tbl>
    <w:p>
      <w:pPr>
        <w:spacing w:before="160" w:after="80" w:line="264" w:lineRule="auto"/>
      </w:pPr>
      <w:r>
        <w:rPr>
          <w:rFonts w:ascii="Aptos" w:hAnsi="Aptos"/>
          <w:b w:val="0"/>
          <w:i/>
          <w:color w:val="6E655D"/>
          <w:sz w:val="21"/>
        </w:rPr>
        <w:t>The experience is intentionally ordered: practical value first, deeper explanation second, commerce last. The transition must work without a purchase.</w:t>
      </w:r>
    </w:p>
    <w:p>
      <w:r>
        <w:br w:type="page"/>
      </w:r>
    </w:p>
    <w:p>
      <w:pPr>
        <w:keepNext/>
        <w:spacing w:before="320" w:after="120"/>
      </w:pPr>
      <w:r>
        <w:rPr>
          <w:rFonts w:ascii="Aptos" w:hAnsi="Aptos"/>
          <w:b/>
          <w:i w:val="0"/>
          <w:color w:val="2E2B28"/>
          <w:sz w:val="32"/>
        </w:rPr>
        <w:t>What stays, moves, and stops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C6B1"/>
          <w:left w:val="single" w:sz="4" w:space="0" w:color="D8C6B1"/>
          <w:bottom w:val="single" w:sz="4" w:space="0" w:color="D8C6B1"/>
          <w:right w:val="single" w:sz="4" w:space="0" w:color="D8C6B1"/>
          <w:insideH w:val="single" w:sz="4" w:space="0" w:color="D8C6B1"/>
          <w:insideV w:val="single" w:sz="4" w:space="0" w:color="D8C6B1"/>
        </w:tblBorders>
      </w:tblPr>
      <w:tblGrid>
        <w:gridCol w:w="2000"/>
        <w:gridCol w:w="7360"/>
      </w:tblGrid>
      <w:tr>
        <w:tc>
          <w:tcPr>
            <w:tcW w:type="dxa" w:w="2000"/>
            <w:shd w:fill="F6F1E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6E655D"/>
                <w:sz w:val="19"/>
              </w:rPr>
              <w:t>Stays</w:t>
            </w:r>
          </w:p>
        </w:tc>
        <w:tc>
          <w:tcPr>
            <w:tcW w:type="dxa" w:w="73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E2B28"/>
                <w:sz w:val="21"/>
              </w:rPr>
              <w:t>The four canonical transitions, Observatory evidence and Findings, Sound as an experience ingredient, the optional physical products, local-first records, interruption/resume, and an optional personal reflection history.</w:t>
            </w:r>
          </w:p>
        </w:tc>
      </w:tr>
      <w:tr>
        <w:tc>
          <w:tcPr>
            <w:tcW w:type="dxa" w:w="2000"/>
            <w:shd w:fill="F6F1E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6E655D"/>
                <w:sz w:val="19"/>
              </w:rPr>
              <w:t>Moves</w:t>
            </w:r>
          </w:p>
        </w:tc>
        <w:tc>
          <w:tcPr>
            <w:tcW w:type="dxa" w:w="73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E2B28"/>
                <w:sz w:val="21"/>
              </w:rPr>
              <w:t>Mirror becomes a deliberate reflection path for people who want to explore patterns. It is not the default way into a known, immediate difficulty. Sound and ritual cease to be primary destinations and become parts of a transition.</w:t>
            </w:r>
          </w:p>
        </w:tc>
      </w:tr>
      <w:tr>
        <w:tc>
          <w:tcPr>
            <w:tcW w:type="dxa" w:w="2000"/>
            <w:shd w:fill="F6F1E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6E655D"/>
                <w:sz w:val="19"/>
              </w:rPr>
              <w:t>Stops in V1</w:t>
            </w:r>
          </w:p>
        </w:tc>
        <w:tc>
          <w:tcPr>
            <w:tcW w:type="dxa" w:w="73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E2B28"/>
                <w:sz w:val="21"/>
              </w:rPr>
              <w:t>Module-led home screens, generic Explore journeys, article libraries as the opening task, default assessments, scores, streaks, gamification, pressure to purchase, automatic research donation, and fake personalisation.</w:t>
            </w:r>
          </w:p>
        </w:tc>
      </w:tr>
      <w:tr>
        <w:tc>
          <w:tcPr>
            <w:tcW w:type="dxa" w:w="2000"/>
            <w:shd w:fill="F6F1E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6E655D"/>
                <w:sz w:val="19"/>
              </w:rPr>
              <w:t>Adds</w:t>
            </w:r>
          </w:p>
        </w:tc>
        <w:tc>
          <w:tcPr>
            <w:tcW w:type="dxa" w:w="73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E2B28"/>
                <w:sz w:val="21"/>
              </w:rPr>
              <w:t>A single recognition-led entry; one complete guided Work → Recovery transition; truthful outcome capture; optional links to the relevant Finding and Stillness Elixir after completion.</w:t>
            </w:r>
          </w:p>
        </w:tc>
      </w:tr>
    </w:tbl>
    <w:p>
      <w:pPr>
        <w:keepNext/>
        <w:spacing w:before="320" w:after="120"/>
      </w:pPr>
      <w:r>
        <w:rPr>
          <w:rFonts w:ascii="Aptos" w:hAnsi="Aptos"/>
          <w:b/>
          <w:i w:val="0"/>
          <w:color w:val="2E2B28"/>
          <w:sz w:val="32"/>
        </w:rPr>
        <w:t>V1: Work → Recovery</w:t>
      </w:r>
    </w:p>
    <w:p>
      <w:pPr>
        <w:spacing w:before="0" w:after="40" w:line="264" w:lineRule="auto"/>
      </w:pPr>
      <w:r>
        <w:rPr>
          <w:rFonts w:ascii="Aptos" w:hAnsi="Aptos"/>
          <w:b/>
          <w:i w:val="0"/>
          <w:color w:val="85776B"/>
          <w:sz w:val="20"/>
        </w:rPr>
        <w:t>Opening statement</w:t>
      </w:r>
    </w:p>
    <w:p>
      <w:pPr>
        <w:spacing w:before="0" w:after="200" w:line="264" w:lineRule="auto"/>
      </w:pPr>
      <w:r>
        <w:rPr>
          <w:rFonts w:ascii="Aptos" w:hAnsi="Aptos"/>
          <w:b/>
          <w:i w:val="0"/>
          <w:color w:val="2E2B28"/>
          <w:sz w:val="28"/>
        </w:rPr>
        <w:t>“Work has ended. Did your mind?”</w:t>
      </w:r>
    </w:p>
    <w:p>
      <w:pPr>
        <w:spacing w:before="0" w:after="120" w:line="264" w:lineRule="auto"/>
      </w:pPr>
      <w:r>
        <w:rPr>
          <w:rFonts w:ascii="Aptos" w:hAnsi="Aptos"/>
          <w:b w:val="0"/>
          <w:i w:val="0"/>
          <w:color w:val="2E2B28"/>
          <w:sz w:val="22"/>
        </w:rPr>
        <w:t>The first screen should offer recognition, not explanation. The person can begin directly from a website CTA or open the app and select this moment.</w:t>
      </w:r>
    </w:p>
    <w:p>
      <w:pPr>
        <w:keepNext/>
        <w:spacing w:before="200" w:after="120"/>
      </w:pPr>
      <w:r>
        <w:rPr>
          <w:rFonts w:ascii="Aptos" w:hAnsi="Aptos"/>
          <w:b/>
          <w:i w:val="0"/>
          <w:color w:val="2E2B28"/>
          <w:sz w:val="26"/>
        </w:rPr>
        <w:t>Entry and branch rules</w:t>
      </w:r>
    </w:p>
    <w:p>
      <w:pPr>
        <w:spacing w:before="0" w:after="100" w:line="264" w:lineRule="auto"/>
      </w:pPr>
      <w:r>
        <w:rPr>
          <w:rFonts w:ascii="Aptos" w:hAnsi="Aptos"/>
          <w:b/>
          <w:i w:val="0"/>
          <w:color w:val="2E2B28"/>
          <w:sz w:val="21"/>
        </w:rPr>
        <w:t>Ask one question only: “What feels closest right now?”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E2B28"/>
          <w:sz w:val="21"/>
        </w:rPr>
        <w:t>“I’m still thinking about unfinished work.” → a concrete closure cue: name the next action and close the work surface.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E2B28"/>
          <w:sz w:val="21"/>
        </w:rPr>
        <w:t>“I feel restless and keep checking things.” → an interruption cue: put the device away and shift attention through the selected sound environment.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E2B28"/>
          <w:sz w:val="21"/>
        </w:rPr>
        <w:t>“I’m physically tired but mentally active.” → a settling cue: reduce light and follow a slower breath/tactile instruction.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E2B28"/>
          <w:sz w:val="21"/>
        </w:rPr>
        <w:t>“I’m not sure; I just haven’t switched off.” → the simplest neutral version.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C6B1"/>
          <w:left w:val="single" w:sz="4" w:space="0" w:color="D8C6B1"/>
          <w:bottom w:val="single" w:sz="4" w:space="0" w:color="D8C6B1"/>
          <w:right w:val="single" w:sz="4" w:space="0" w:color="D8C6B1"/>
          <w:insideH w:val="single" w:sz="4" w:space="0" w:color="D8C6B1"/>
          <w:insideV w:val="single" w:sz="4" w:space="0" w:color="D8C6B1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FE7DB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85776B"/>
                <w:sz w:val="18"/>
              </w:rPr>
              <w:t xml:space="preserve">BRANCHING CONSTRAINT  </w:t>
            </w:r>
            <w:r>
              <w:rPr>
                <w:rFonts w:ascii="Aptos" w:hAnsi="Aptos"/>
                <w:b w:val="0"/>
                <w:i w:val="0"/>
                <w:color w:val="2E2B28"/>
                <w:sz w:val="21"/>
              </w:rPr>
              <w:t>A choice may appear only when it produces a visibly different next instruction or experience. If the content does not differ, remove the choice rather than simulating personalisation.</w:t>
            </w:r>
          </w:p>
        </w:tc>
      </w:tr>
    </w:tbl>
    <w:p>
      <w:pPr>
        <w:keepNext/>
        <w:spacing w:before="200" w:after="120"/>
      </w:pPr>
      <w:r>
        <w:rPr>
          <w:rFonts w:ascii="Aptos" w:hAnsi="Aptos"/>
          <w:b/>
          <w:i w:val="0"/>
          <w:color w:val="2E2B28"/>
          <w:sz w:val="26"/>
        </w:rPr>
        <w:t>The guided transition</w:t>
      </w:r>
    </w:p>
    <w:p>
      <w:pPr>
        <w:pStyle w:val="ListNumber"/>
        <w:spacing w:after="100" w:line="264" w:lineRule="auto"/>
      </w:pPr>
      <w:r>
        <w:rPr>
          <w:rFonts w:ascii="Aptos" w:hAnsi="Aptos"/>
          <w:b w:val="0"/>
          <w:i w:val="0"/>
          <w:color w:val="2E2B28"/>
          <w:sz w:val="21"/>
        </w:rPr>
        <w:t>Set the environment: one clear, non-medical instruction that can be completed without a Mirellis product.</w:t>
      </w:r>
    </w:p>
    <w:p>
      <w:pPr>
        <w:pStyle w:val="ListNumber"/>
        <w:spacing w:after="100" w:line="264" w:lineRule="auto"/>
      </w:pPr>
      <w:r>
        <w:rPr>
          <w:rFonts w:ascii="Aptos" w:hAnsi="Aptos"/>
          <w:b w:val="0"/>
          <w:i w:val="0"/>
          <w:color w:val="2E2B28"/>
          <w:sz w:val="21"/>
        </w:rPr>
        <w:t>Begin the approved Work → Recovery sound environment. The interface becomes quiet; no article rail, competing navigation, or progress-performance language.</w:t>
      </w:r>
    </w:p>
    <w:p>
      <w:pPr>
        <w:pStyle w:val="ListNumber"/>
        <w:spacing w:after="100" w:line="264" w:lineRule="auto"/>
      </w:pPr>
      <w:r>
        <w:rPr>
          <w:rFonts w:ascii="Aptos" w:hAnsi="Aptos"/>
          <w:b w:val="0"/>
          <w:i w:val="0"/>
          <w:color w:val="2E2B28"/>
          <w:sz w:val="21"/>
        </w:rPr>
        <w:t>Offer no more than a few paced prompts, matched to the person’s explicit choice. The practice should be completable in approximately 8–10 minutes.</w:t>
      </w:r>
    </w:p>
    <w:p>
      <w:pPr>
        <w:pStyle w:val="ListNumber"/>
        <w:spacing w:after="100" w:line="264" w:lineRule="auto"/>
      </w:pPr>
      <w:r>
        <w:rPr>
          <w:rFonts w:ascii="Aptos" w:hAnsi="Aptos"/>
          <w:b w:val="0"/>
          <w:i w:val="0"/>
          <w:color w:val="2E2B28"/>
          <w:sz w:val="21"/>
        </w:rPr>
        <w:t>Support interruption and resume. Leaving early carries no penalty and never silently advances or saves a path.</w:t>
      </w:r>
    </w:p>
    <w:p>
      <w:pPr>
        <w:keepNext/>
        <w:spacing w:before="200" w:after="120"/>
      </w:pPr>
      <w:r>
        <w:rPr>
          <w:rFonts w:ascii="Aptos" w:hAnsi="Aptos"/>
          <w:b/>
          <w:i w:val="0"/>
          <w:color w:val="2E2B28"/>
          <w:sz w:val="26"/>
        </w:rPr>
        <w:t>Truthful close</w:t>
      </w:r>
    </w:p>
    <w:p>
      <w:pPr>
        <w:spacing w:before="0" w:after="100" w:line="264" w:lineRule="auto"/>
      </w:pPr>
      <w:r>
        <w:rPr>
          <w:rFonts w:ascii="Aptos" w:hAnsi="Aptos"/>
          <w:b/>
          <w:i w:val="0"/>
          <w:color w:val="2E2B28"/>
          <w:sz w:val="21"/>
        </w:rPr>
        <w:t>Ask: “Did anything shift?”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E2B28"/>
          <w:sz w:val="21"/>
        </w:rPr>
        <w:t>Yes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E2B28"/>
          <w:sz w:val="21"/>
        </w:rPr>
        <w:t>A little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E2B28"/>
          <w:sz w:val="21"/>
        </w:rPr>
        <w:t>Not really</w:t>
      </w:r>
    </w:p>
    <w:p>
      <w:pPr>
        <w:spacing w:before="0" w:after="120" w:line="264" w:lineRule="auto"/>
      </w:pPr>
      <w:r>
        <w:rPr>
          <w:rFonts w:ascii="Aptos" w:hAnsi="Aptos"/>
          <w:b w:val="0"/>
          <w:i w:val="0"/>
          <w:color w:val="2E2B28"/>
          <w:sz w:val="22"/>
        </w:rPr>
        <w:t>Then offer an optional prompt: “What did you notice?” The note is the person’s own record; Mirellis does not interpret it.</w:t>
      </w:r>
    </w:p>
    <w:p>
      <w:pPr>
        <w:spacing w:before="0" w:after="160" w:line="264" w:lineRule="auto"/>
      </w:pPr>
      <w:r>
        <w:rPr>
          <w:rFonts w:ascii="Aptos" w:hAnsi="Aptos"/>
          <w:b w:val="0"/>
          <w:i/>
          <w:color w:val="6E655D"/>
          <w:sz w:val="21"/>
        </w:rPr>
        <w:t>Primary action: “Back to today.” A saved practice or next-day suggestion may appear only if the person deliberately chooses an action whose visible consequence is stated.</w:t>
      </w:r>
    </w:p>
    <w:p>
      <w:pPr>
        <w:keepNext/>
        <w:spacing w:before="320" w:after="120"/>
      </w:pPr>
      <w:r>
        <w:rPr>
          <w:rFonts w:ascii="Aptos" w:hAnsi="Aptos"/>
          <w:b/>
          <w:i w:val="0"/>
          <w:color w:val="2E2B28"/>
          <w:sz w:val="32"/>
        </w:rPr>
        <w:t>After the experience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C6B1"/>
          <w:left w:val="single" w:sz="4" w:space="0" w:color="D8C6B1"/>
          <w:bottom w:val="single" w:sz="4" w:space="0" w:color="D8C6B1"/>
          <w:right w:val="single" w:sz="4" w:space="0" w:color="D8C6B1"/>
          <w:insideH w:val="single" w:sz="4" w:space="0" w:color="D8C6B1"/>
          <w:insideV w:val="single" w:sz="4" w:space="0" w:color="D8C6B1"/>
        </w:tblBorders>
      </w:tblPr>
      <w:tblGrid>
        <w:gridCol w:w="2000"/>
        <w:gridCol w:w="7360"/>
      </w:tblGrid>
      <w:tr>
        <w:tc>
          <w:tcPr>
            <w:tcW w:type="dxa" w:w="2000"/>
            <w:shd w:fill="F6F1E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6E655D"/>
                <w:sz w:val="19"/>
              </w:rPr>
              <w:t>Research</w:t>
            </w:r>
          </w:p>
        </w:tc>
        <w:tc>
          <w:tcPr>
            <w:tcW w:type="dxa" w:w="73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E2B28"/>
                <w:sz w:val="21"/>
              </w:rPr>
              <w:t>Optional: “Understand this transition.” Opens the related Observatory Finding or investigation only after the practice.</w:t>
            </w:r>
          </w:p>
        </w:tc>
      </w:tr>
      <w:tr>
        <w:tc>
          <w:tcPr>
            <w:tcW w:type="dxa" w:w="2000"/>
            <w:shd w:fill="F6F1E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6E655D"/>
                <w:sz w:val="19"/>
              </w:rPr>
              <w:t>Product</w:t>
            </w:r>
          </w:p>
        </w:tc>
        <w:tc>
          <w:tcPr>
            <w:tcW w:type="dxa" w:w="73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E2B28"/>
                <w:sz w:val="21"/>
              </w:rPr>
              <w:t>Optional: “A ritual tool for this transition.” Stillness Elixir is framed as a physical instrument, not a requirement or a cure.</w:t>
            </w:r>
          </w:p>
        </w:tc>
      </w:tr>
      <w:tr>
        <w:tc>
          <w:tcPr>
            <w:tcW w:type="dxa" w:w="2000"/>
            <w:shd w:fill="F6F1E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6E655D"/>
                <w:sz w:val="19"/>
              </w:rPr>
              <w:t>Record</w:t>
            </w:r>
          </w:p>
        </w:tc>
        <w:tc>
          <w:tcPr>
            <w:tcW w:type="dxa" w:w="73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E2B28"/>
                <w:sz w:val="21"/>
              </w:rPr>
              <w:t>A local observation record may be kept only when the person explicitly saves it. The person can edit, export, or delete it.</w:t>
            </w:r>
          </w:p>
        </w:tc>
      </w:tr>
      <w:tr>
        <w:tc>
          <w:tcPr>
            <w:tcW w:type="dxa" w:w="2000"/>
            <w:shd w:fill="F6F1E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6E655D"/>
                <w:sz w:val="19"/>
              </w:rPr>
              <w:t>Research participation</w:t>
            </w:r>
          </w:p>
        </w:tc>
        <w:tc>
          <w:tcPr>
            <w:tcW w:type="dxa" w:w="73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E2B28"/>
                <w:sz w:val="21"/>
              </w:rPr>
              <w:t>Never automatic. A separate, understandable consent request is required before any observation is used beyond the person’s own device.</w:t>
            </w:r>
          </w:p>
        </w:tc>
      </w:tr>
    </w:tbl>
    <w:p>
      <w:pPr>
        <w:keepNext/>
        <w:spacing w:before="320" w:after="120"/>
      </w:pPr>
      <w:r>
        <w:rPr>
          <w:rFonts w:ascii="Aptos" w:hAnsi="Aptos"/>
          <w:b/>
          <w:i w:val="0"/>
          <w:color w:val="2E2B28"/>
          <w:sz w:val="32"/>
        </w:rPr>
        <w:t>Trust, privacy, and product boundaries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E2B28"/>
          <w:sz w:val="21"/>
        </w:rPr>
        <w:t>No scores, diagnoses, inferred readiness, hidden models, engagement optimisation, or social features.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E2B28"/>
          <w:sz w:val="21"/>
        </w:rPr>
        <w:t>Every displayed observation is authored, selected, or confirmed by the person and linked to visible local evidence.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E2B28"/>
          <w:sz w:val="21"/>
        </w:rPr>
        <w:t>No free-text interpretation. Mirellis may store a person’s note but must not infer meaning from it.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E2B28"/>
          <w:sz w:val="21"/>
        </w:rPr>
        <w:t>The transition functions without purchase, account creation, or research participation.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E2B28"/>
          <w:sz w:val="21"/>
        </w:rPr>
        <w:t>Accessible controls have a minimum 44 × 44 px target; keyboard focus is visible; save/completion feedback uses accessible status text; reduced motion is respected.</w:t>
      </w:r>
    </w:p>
    <w:p>
      <w:pPr>
        <w:keepNext/>
        <w:spacing w:before="320" w:after="120"/>
      </w:pPr>
      <w:r>
        <w:rPr>
          <w:rFonts w:ascii="Aptos" w:hAnsi="Aptos"/>
          <w:b/>
          <w:i w:val="0"/>
          <w:color w:val="2E2B28"/>
          <w:sz w:val="32"/>
        </w:rPr>
        <w:t>Minimal local-first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C6B1"/>
          <w:left w:val="single" w:sz="4" w:space="0" w:color="D8C6B1"/>
          <w:bottom w:val="single" w:sz="4" w:space="0" w:color="D8C6B1"/>
          <w:right w:val="single" w:sz="4" w:space="0" w:color="D8C6B1"/>
          <w:insideH w:val="single" w:sz="4" w:space="0" w:color="D8C6B1"/>
          <w:insideV w:val="single" w:sz="4" w:space="0" w:color="D8C6B1"/>
        </w:tblBorders>
      </w:tblPr>
      <w:tblGrid>
        <w:gridCol w:w="2000"/>
        <w:gridCol w:w="7360"/>
      </w:tblGrid>
      <w:tr>
        <w:tc>
          <w:tcPr>
            <w:tcW w:type="dxa" w:w="2000"/>
            <w:shd w:fill="F6F1E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6E655D"/>
                <w:sz w:val="19"/>
              </w:rPr>
              <w:t>Practice record</w:t>
            </w:r>
          </w:p>
        </w:tc>
        <w:tc>
          <w:tcPr>
            <w:tcW w:type="dxa" w:w="73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E2B28"/>
                <w:sz w:val="21"/>
              </w:rPr>
              <w:t>transition_id, practice_id, selected_entry, started_at, completed_at or left_at, explicit_outcome, saved_by_person.</w:t>
            </w:r>
          </w:p>
        </w:tc>
      </w:tr>
      <w:tr>
        <w:tc>
          <w:tcPr>
            <w:tcW w:type="dxa" w:w="2000"/>
            <w:shd w:fill="F6F1E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6E655D"/>
                <w:sz w:val="19"/>
              </w:rPr>
              <w:t>Reflection</w:t>
            </w:r>
          </w:p>
        </w:tc>
        <w:tc>
          <w:tcPr>
            <w:tcW w:type="dxa" w:w="73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E2B28"/>
                <w:sz w:val="21"/>
              </w:rPr>
              <w:t>optional_note, authored_at, edited_at. No derived attributes, labels, or scores.</w:t>
            </w:r>
          </w:p>
        </w:tc>
      </w:tr>
      <w:tr>
        <w:tc>
          <w:tcPr>
            <w:tcW w:type="dxa" w:w="2000"/>
            <w:shd w:fill="F6F1E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6E655D"/>
                <w:sz w:val="19"/>
              </w:rPr>
              <w:t>Consent</w:t>
            </w:r>
          </w:p>
        </w:tc>
        <w:tc>
          <w:tcPr>
            <w:tcW w:type="dxa" w:w="73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E2B28"/>
                <w:sz w:val="21"/>
              </w:rPr>
              <w:t>separate research_consent value, timestamp, and clear scope. Default: no consent.</w:t>
            </w:r>
          </w:p>
        </w:tc>
      </w:tr>
      <w:tr>
        <w:tc>
          <w:tcPr>
            <w:tcW w:type="dxa" w:w="2000"/>
            <w:shd w:fill="F6F1E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6E655D"/>
                <w:sz w:val="19"/>
              </w:rPr>
              <w:t>Person control</w:t>
            </w:r>
          </w:p>
        </w:tc>
        <w:tc>
          <w:tcPr>
            <w:tcW w:type="dxa" w:w="73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E2B28"/>
                <w:sz w:val="21"/>
              </w:rPr>
              <w:t>view, edit, export, delete, and cancel deletion. Deletion confirmation must be cancelable.</w:t>
            </w:r>
          </w:p>
        </w:tc>
      </w:tr>
    </w:tbl>
    <w:p>
      <w:r>
        <w:br w:type="page"/>
      </w:r>
    </w:p>
    <w:p>
      <w:pPr>
        <w:keepNext/>
        <w:spacing w:before="320" w:after="120"/>
      </w:pPr>
      <w:r>
        <w:rPr>
          <w:rFonts w:ascii="Aptos" w:hAnsi="Aptos"/>
          <w:b/>
          <w:i w:val="0"/>
          <w:color w:val="2E2B28"/>
          <w:sz w:val="32"/>
        </w:rPr>
        <w:t>Build order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E2B28"/>
          <w:sz w:val="21"/>
        </w:rPr>
        <w:t>First: audit the current app only to identify reusable infrastructure—sound delivery, local storage, outcome capture, resume handling, accessibility foundations, and deployment pipeline.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E2B28"/>
          <w:sz w:val="21"/>
        </w:rPr>
        <w:t>Then: replace the consumer interface with the Work → Recovery vertical slice. Do not preserve module navigation for compatibility.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E2B28"/>
          <w:sz w:val="21"/>
        </w:rPr>
        <w:t>Next: implement the four honest entry routes and their materially different first cues.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E2B28"/>
          <w:sz w:val="21"/>
        </w:rPr>
        <w:t>Then: implement the practice, interruption/resume, truthful close, optional note, and local record.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E2B28"/>
          <w:sz w:val="21"/>
        </w:rPr>
        <w:t>Afterward: add the post-completion Observatory and Stillness doors. They must be optional and secondary.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E2B28"/>
          <w:sz w:val="21"/>
        </w:rPr>
        <w:t>Finally: test with real people before adding the second canonical transition.</w:t>
      </w:r>
    </w:p>
    <w:p>
      <w:pPr>
        <w:keepNext/>
        <w:spacing w:before="320" w:after="120"/>
      </w:pPr>
      <w:r>
        <w:rPr>
          <w:rFonts w:ascii="Aptos" w:hAnsi="Aptos"/>
          <w:b/>
          <w:i w:val="0"/>
          <w:color w:val="2E2B28"/>
          <w:sz w:val="32"/>
        </w:rPr>
        <w:t>Acceptance criteria for the first test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E2B28"/>
          <w:sz w:val="21"/>
        </w:rPr>
        <w:t>A first-time visitor can begin Work → Recovery in one decision from the landing screen.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E2B28"/>
          <w:sz w:val="21"/>
        </w:rPr>
        <w:t>Every offered entry choice changes the next cue; there are no false branches.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E2B28"/>
          <w:sz w:val="21"/>
        </w:rPr>
        <w:t>The practice works with no purchase and no account.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E2B28"/>
          <w:sz w:val="21"/>
        </w:rPr>
        <w:t>People can leave, resume, and finish without losing agency or being silently moved to another practice.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E2B28"/>
          <w:sz w:val="21"/>
        </w:rPr>
        <w:t>Outcome and note capture are optional, explicit, locally controlled, and accessible.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E2B28"/>
          <w:sz w:val="21"/>
        </w:rPr>
        <w:t>The Observatory and product are available after the experience, not required before it.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E2B28"/>
          <w:sz w:val="21"/>
        </w:rPr>
        <w:t>There are no scores, streaks, inferred progress, generic recommendations, fake Observatory content, or automatic research contribution.</w:t>
      </w:r>
    </w:p>
    <w:p>
      <w:pPr>
        <w:keepNext/>
        <w:spacing w:before="320" w:after="120"/>
      </w:pPr>
      <w:r>
        <w:rPr>
          <w:rFonts w:ascii="Aptos" w:hAnsi="Aptos"/>
          <w:b/>
          <w:i w:val="0"/>
          <w:color w:val="2E2B28"/>
          <w:sz w:val="32"/>
        </w:rPr>
        <w:t>Decisions still required before implementation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C6B1"/>
          <w:left w:val="single" w:sz="4" w:space="0" w:color="D8C6B1"/>
          <w:bottom w:val="single" w:sz="4" w:space="0" w:color="D8C6B1"/>
          <w:right w:val="single" w:sz="4" w:space="0" w:color="D8C6B1"/>
          <w:insideH w:val="single" w:sz="4" w:space="0" w:color="D8C6B1"/>
          <w:insideV w:val="single" w:sz="4" w:space="0" w:color="D8C6B1"/>
        </w:tblBorders>
      </w:tblPr>
      <w:tblGrid>
        <w:gridCol w:w="2000"/>
        <w:gridCol w:w="7360"/>
      </w:tblGrid>
      <w:tr>
        <w:tc>
          <w:tcPr>
            <w:tcW w:type="dxa" w:w="2000"/>
            <w:shd w:fill="F6F1E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6E655D"/>
                <w:sz w:val="19"/>
              </w:rPr>
              <w:t>Practice content</w:t>
            </w:r>
          </w:p>
        </w:tc>
        <w:tc>
          <w:tcPr>
            <w:tcW w:type="dxa" w:w="73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E2B28"/>
                <w:sz w:val="21"/>
              </w:rPr>
              <w:t>Approve the exact Work → Recovery script, sound asset, cue timing, and any product-use wording.</w:t>
            </w:r>
          </w:p>
        </w:tc>
      </w:tr>
      <w:tr>
        <w:tc>
          <w:tcPr>
            <w:tcW w:type="dxa" w:w="2000"/>
            <w:shd w:fill="F6F1E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6E655D"/>
                <w:sz w:val="19"/>
              </w:rPr>
              <w:t>Outcome language</w:t>
            </w:r>
          </w:p>
        </w:tc>
        <w:tc>
          <w:tcPr>
            <w:tcW w:type="dxa" w:w="73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E2B28"/>
                <w:sz w:val="21"/>
              </w:rPr>
              <w:t>Approve the final close copy and the exact choices; avoid language that implies recovery, cure, or measured improvement.</w:t>
            </w:r>
          </w:p>
        </w:tc>
      </w:tr>
      <w:tr>
        <w:tc>
          <w:tcPr>
            <w:tcW w:type="dxa" w:w="2000"/>
            <w:shd w:fill="F6F1E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6E655D"/>
                <w:sz w:val="19"/>
              </w:rPr>
              <w:t>Research scope</w:t>
            </w:r>
          </w:p>
        </w:tc>
        <w:tc>
          <w:tcPr>
            <w:tcW w:type="dxa" w:w="73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E2B28"/>
                <w:sz w:val="21"/>
              </w:rPr>
              <w:t>Decide whether V1 includes a separate, optional research-consent flow or remains fully local-only for the first test.</w:t>
            </w:r>
          </w:p>
        </w:tc>
      </w:tr>
      <w:tr>
        <w:tc>
          <w:tcPr>
            <w:tcW w:type="dxa" w:w="2000"/>
            <w:shd w:fill="F6F1E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6E655D"/>
                <w:sz w:val="19"/>
              </w:rPr>
              <w:t>Commercial door</w:t>
            </w:r>
          </w:p>
        </w:tc>
        <w:tc>
          <w:tcPr>
            <w:tcW w:type="dxa" w:w="73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E2B28"/>
                <w:sz w:val="21"/>
              </w:rPr>
              <w:t>Confirm whether Stillness Elixir appears in V1 after completion or is deferred until usefulness is demonstrated.</w:t>
            </w:r>
          </w:p>
        </w:tc>
      </w:tr>
      <w:tr>
        <w:tc>
          <w:tcPr>
            <w:tcW w:type="dxa" w:w="2000"/>
            <w:shd w:fill="F6F1E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6E655D"/>
                <w:sz w:val="19"/>
              </w:rPr>
              <w:t>Evaluation</w:t>
            </w:r>
          </w:p>
        </w:tc>
        <w:tc>
          <w:tcPr>
            <w:tcW w:type="dxa" w:w="73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E2B28"/>
                <w:sz w:val="21"/>
              </w:rPr>
              <w:t>Approve a small, consent-respecting test plan focused on starts, completion, self-reported outcome, research opens, and voluntary product exploration—not engagement optimisation.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C6B1"/>
          <w:left w:val="single" w:sz="4" w:space="0" w:color="D8C6B1"/>
          <w:bottom w:val="single" w:sz="4" w:space="0" w:color="D8C6B1"/>
          <w:right w:val="single" w:sz="4" w:space="0" w:color="D8C6B1"/>
          <w:insideH w:val="single" w:sz="4" w:space="0" w:color="D8C6B1"/>
          <w:insideV w:val="single" w:sz="4" w:space="0" w:color="D8C6B1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FE7DB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85776B"/>
                <w:sz w:val="18"/>
              </w:rPr>
              <w:t xml:space="preserve">VERSION FREEZE  </w:t>
            </w:r>
            <w:r>
              <w:rPr>
                <w:rFonts w:ascii="Aptos" w:hAnsi="Aptos"/>
                <w:b w:val="0"/>
                <w:i w:val="0"/>
                <w:color w:val="2E2B28"/>
                <w:sz w:val="21"/>
              </w:rPr>
              <w:t>V1 is one complete Work → Recovery experience. Do not add new transitions, a dashboard, a content library, scores, AI interpretation, or broader personalisation until the first vertical slice has been tested with real people and deliberately reviewed.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ptos" w:hAnsi="Aptos"/>
        <w:b w:val="0"/>
        <w:i w:val="0"/>
        <w:color w:val="6E655D"/>
        <w:sz w:val="17"/>
      </w:rPr>
      <w:t>Internal working brief  • 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ptos" w:hAnsi="Aptos"/>
        <w:b/>
        <w:i w:val="0"/>
        <w:color w:val="6E655D"/>
        <w:sz w:val="17"/>
      </w:rPr>
      <w:t>MIRELLIS  /  PRODUCT RESET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