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Calibri" w:hAnsi="Calibri"/>
          <w:b/>
          <w:color w:val="7A5A00"/>
          <w:sz w:val="22"/>
        </w:rPr>
        <w:t>COMPETITIVE INTELLIGENCE &amp; GROWTH ROADMAP</w:t>
      </w:r>
    </w:p>
    <w:p>
      <w:pPr>
        <w:spacing w:before="320" w:after="160"/>
        <w:jc w:val="center"/>
      </w:pPr>
      <w:r>
        <w:rPr>
          <w:rFonts w:ascii="Calibri" w:hAnsi="Calibri"/>
          <w:b/>
          <w:color w:val="0B2545"/>
          <w:sz w:val="58"/>
        </w:rPr>
        <w:t>Mirellis can win the</w:t>
        <w:br/>
        <w:t>transition—not the commodity shelf.</w:t>
      </w:r>
    </w:p>
    <w:p>
      <w:pPr>
        <w:spacing w:after="560"/>
        <w:jc w:val="center"/>
      </w:pPr>
      <w:r>
        <w:rPr>
          <w:color w:val="5B6573"/>
          <w:sz w:val="26"/>
        </w:rPr>
        <w:t>A decision-ready view of the sleep, stress and focus landscape;</w:t>
        <w:br/>
        <w:t>what to borrow, what to avoid, and the 12-month operating path.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</w:pPr>
            <w:r/>
            <w:r>
              <w:rPr>
                <w:b/>
                <w:color w:val="0B2545"/>
                <w:sz w:val="20"/>
              </w:rPr>
              <w:t xml:space="preserve">RECOMMENDED STRATEGIC MOVE  </w:t>
            </w:r>
            <w:r>
              <w:rPr>
                <w:sz w:val="20"/>
              </w:rPr>
              <w:t>Use the website to earn trust and capture intent; use the app to make a person take one real next action; use ritual objects and a governed directory as optional, honest commercial doors.</w:t>
            </w:r>
          </w:p>
        </w:tc>
      </w:tr>
    </w:tbl>
    <w:p>
      <w:pPr>
        <w:spacing w:after="40"/>
      </w:pPr>
    </w:p>
    <w:p>
      <w:pPr>
        <w:spacing w:before="800"/>
        <w:jc w:val="center"/>
      </w:pPr>
      <w:r>
        <w:rPr>
          <w:color w:val="5B6573"/>
          <w:sz w:val="19"/>
        </w:rPr>
        <w:t>Prepared from the supplied competition deck, existing Mirellis product authorities and current public-source validation.</w:t>
        <w:br/>
        <w:t>Research snapshot: 25 August 2026.</w:t>
      </w:r>
    </w:p>
    <w:p>
      <w:r>
        <w:br w:type="page"/>
      </w:r>
    </w:p>
    <w:p>
      <w:pPr>
        <w:pStyle w:val="Heading1"/>
      </w:pPr>
      <w:r>
        <w:t>1. Executive decision</w:t>
      </w:r>
    </w:p>
    <w:p>
      <w:r>
        <w:rPr>
          <w:i w:val="0"/>
        </w:rPr>
        <w:t>Mirellis is not entering one market. It is meeting the same person at three very different moments: when they search for an explanation, when they need help now, and when they decide whether to buy a tool or seek professional support. The competitors in the supplied deck dominate one of those moments at a time. Mirellis should connect them without pretending to be a clinic, a supplement company or a generic content library.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</w:pPr>
            <w:r/>
            <w:r>
              <w:rPr>
                <w:b/>
                <w:color w:val="0B2545"/>
                <w:sz w:val="20"/>
              </w:rPr>
              <w:t xml:space="preserve">CORE THESIS  </w:t>
            </w:r>
            <w:r>
              <w:rPr>
                <w:sz w:val="20"/>
              </w:rPr>
              <w:t>The most defensible category is a private, evidence-aware transition companion: it helps a person cross a difficult boundary in their day, then lets them understand, repeat or escalate that choice on their terms.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79"/>
        <w:gridCol w:w="4780"/>
      </w:tblGrid>
      <w:tr>
        <w:tc>
          <w:tcPr>
            <w:tcW w:type="dxa" w:w="45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Do</w:t>
            </w:r>
          </w:p>
        </w:tc>
        <w:tc>
          <w:tcPr>
            <w:tcW w:type="dxa" w:w="47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Do not</w:t>
            </w:r>
          </w:p>
        </w:tc>
      </w:tr>
      <w:tr>
        <w:tc>
          <w:tcPr>
            <w:tcW w:type="dxa" w:w="4579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Own named, ordinary moments: ‘I cannot begin’, ‘I cannot stop work’, ‘I cannot settle’.</w:t>
            </w:r>
          </w:p>
        </w:tc>
        <w:tc>
          <w:tcPr>
            <w:tcW w:type="dxa" w:w="478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Compete head-on for broad ‘sleep tips’, ‘stress relief’ or ‘best magnesium’ queries.</w:t>
            </w:r>
          </w:p>
        </w:tc>
      </w:tr>
      <w:tr>
        <w:tc>
          <w:tcPr>
            <w:tcW w:type="dxa" w:w="4579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Make one small action useful without an account, purchase or data donation.</w:t>
            </w:r>
          </w:p>
        </w:tc>
        <w:tc>
          <w:tcPr>
            <w:tcW w:type="dxa" w:w="478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Gate immediate help behind a quiz, subscription or a product claim.</w:t>
            </w:r>
          </w:p>
        </w:tc>
      </w:tr>
      <w:tr>
        <w:tc>
          <w:tcPr>
            <w:tcW w:type="dxa" w:w="4579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Build proof through reviewed evidence, field learning and transparent limits.</w:t>
            </w:r>
          </w:p>
        </w:tc>
        <w:tc>
          <w:tcPr>
            <w:tcW w:type="dxa" w:w="478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Borrow clinical authority or rank providers by payment.</w:t>
            </w:r>
          </w:p>
        </w:tc>
      </w:tr>
      <w:tr>
        <w:tc>
          <w:tcPr>
            <w:tcW w:type="dxa" w:w="4579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Sell ritual instruments as optional tools within a practice.</w:t>
            </w:r>
          </w:p>
        </w:tc>
        <w:tc>
          <w:tcPr>
            <w:tcW w:type="dxa" w:w="478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Sell an oil or supplement as the answer to a broad human difficulty.</w:t>
            </w:r>
          </w:p>
        </w:tc>
      </w:tr>
    </w:tbl>
    <w:p>
      <w:pPr>
        <w:spacing w:after="40"/>
      </w:pPr>
    </w:p>
    <w:p>
      <w:r>
        <w:rPr>
          <w:i w:val="0"/>
        </w:rPr>
        <w:t>The operating sequence is therefore: establish one credible public doorway → deliver one complete app action → earn voluntary repeat use → add a product door only where it adds practical value → add directory and partner revenue only after governance is real.</w:t>
      </w:r>
    </w:p>
    <w:p>
      <w:pPr>
        <w:pStyle w:val="Heading1"/>
      </w:pPr>
      <w:r>
        <w:t>2. What the search and marketplace landscape actually rewards</w:t>
      </w:r>
    </w:p>
    <w:p>
      <w:r>
        <w:rPr>
          <w:i w:val="0"/>
        </w:rPr>
        <w:t>The deck’s Google results split into authorities (CDC, Mayo Clinic, Cleveland Clinic, Johns Hopkins, AASM), explanatory publishers (Healthline, Psychology Today), and a commercial publisher with deep category architecture (Sleep Foundation). Those players win through age, medical editorial systems, link equity, coverage and—in the commercial case—product-comparison intent. They do not all solve the same job for the visitor.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3168"/>
        <w:gridCol w:w="4104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Arena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What wins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What that means for Mirellis</w:t>
            </w:r>
          </w:p>
        </w:tc>
      </w:tr>
      <w:tr>
        <w:tc>
          <w:tcPr>
            <w:tcW w:type="dxa" w:w="208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Clinical / public health</w:t>
            </w:r>
          </w:p>
        </w:tc>
        <w:tc>
          <w:tcPr>
            <w:tcW w:type="dxa" w:w="316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Institutional authority, safety, condition pages, care routing.</w:t>
            </w:r>
          </w:p>
        </w:tc>
        <w:tc>
          <w:tcPr>
            <w:tcW w:type="dxa" w:w="4104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Cite and route; never imitate their diagnosis posture.</w:t>
            </w:r>
          </w:p>
        </w:tc>
      </w:tr>
      <w:tr>
        <w:tc>
          <w:tcPr>
            <w:tcW w:type="dxa" w:w="208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SEO publisher</w:t>
            </w:r>
          </w:p>
        </w:tc>
        <w:tc>
          <w:tcPr>
            <w:tcW w:type="dxa" w:w="316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Topic clusters, internal links, clear editorial review, comparison pages and tools.</w:t>
            </w:r>
          </w:p>
        </w:tc>
        <w:tc>
          <w:tcPr>
            <w:tcW w:type="dxa" w:w="4104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Build fewer, deeper transition pages; publish a transparent editorial method.</w:t>
            </w:r>
          </w:p>
        </w:tc>
      </w:tr>
      <w:tr>
        <w:tc>
          <w:tcPr>
            <w:tcW w:type="dxa" w:w="208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Creator / habit brand</w:t>
            </w:r>
          </w:p>
        </w:tc>
        <w:tc>
          <w:tcPr>
            <w:tcW w:type="dxa" w:w="316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 memorable framework, newsletter, book and repeatable language.</w:t>
            </w:r>
          </w:p>
        </w:tc>
        <w:tc>
          <w:tcPr>
            <w:tcW w:type="dxa" w:w="4104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Create a recognisable ‘transition practice’ system, but keep it grounded and non-grandiose.</w:t>
            </w:r>
          </w:p>
        </w:tc>
      </w:tr>
      <w:tr>
        <w:tc>
          <w:tcPr>
            <w:tcW w:type="dxa" w:w="208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App / device</w:t>
            </w:r>
          </w:p>
        </w:tc>
        <w:tc>
          <w:tcPr>
            <w:tcW w:type="dxa" w:w="316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Immediate feedback, repetition, data, subscriptions and a product ecosystem.</w:t>
            </w:r>
          </w:p>
        </w:tc>
        <w:tc>
          <w:tcPr>
            <w:tcW w:type="dxa" w:w="4104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Offer immediate action first; do not copy scores or opaque personalisation.</w:t>
            </w:r>
          </w:p>
        </w:tc>
      </w:tr>
      <w:tr>
        <w:tc>
          <w:tcPr>
            <w:tcW w:type="dxa" w:w="208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Amazon commodity shelf</w:t>
            </w:r>
          </w:p>
        </w:tc>
        <w:tc>
          <w:tcPr>
            <w:tcW w:type="dxa" w:w="316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Keywords, reviews, dosage/ingredient claims, price, bundles and replenishment.</w:t>
            </w:r>
          </w:p>
        </w:tc>
        <w:tc>
          <w:tcPr>
            <w:tcW w:type="dxa" w:w="4104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Avoid the race to the bottom; compete on ritual context, sensory quality and trusted use.</w:t>
            </w:r>
          </w:p>
        </w:tc>
      </w:tr>
    </w:tbl>
    <w:p>
      <w:pPr>
        <w:spacing w:after="40"/>
      </w:pPr>
    </w:p>
    <w:p>
      <w:pPr>
        <w:spacing w:before="40" w:after="100" w:line="240" w:lineRule="auto"/>
      </w:pPr>
      <w:r>
        <w:rPr>
          <w:i/>
          <w:color w:val="5B6573"/>
          <w:sz w:val="17"/>
        </w:rPr>
        <w:t>Evidence: [S1]–[S8], plus the supplied competition deck. Amazon category order is volatile; this report uses it to identify category economics, not a fixed top-10 ranking.</w:t>
      </w:r>
    </w:p>
    <w:p>
      <w:pPr>
        <w:pStyle w:val="Heading1"/>
      </w:pPr>
      <w:r>
        <w:t>3. The important competitors are business-model archetypes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5"/>
        <w:gridCol w:w="2592"/>
        <w:gridCol w:w="2592"/>
        <w:gridCol w:w="2520"/>
      </w:tblGrid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Archetype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Observed model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Learning to adopt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Boundary to keep</w:t>
            </w:r>
          </w:p>
        </w:tc>
      </w:tr>
      <w:tr>
        <w:tc>
          <w:tcPr>
            <w:tcW w:type="dxa" w:w="165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Sleep Foundation</w:t>
            </w:r>
          </w:p>
        </w:tc>
        <w:tc>
          <w:tcPr>
            <w:tcW w:type="dxa" w:w="259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Large sleep-content and product-review hub; affiliate, cost-per-click and advertising relationships are disclosed. [S1][S2]</w:t>
            </w:r>
          </w:p>
        </w:tc>
        <w:tc>
          <w:tcPr>
            <w:tcW w:type="dxa" w:w="259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Clear taxonomy, testing/editorial separation, product decision tools, conspicuous commercial disclosures.</w:t>
            </w:r>
          </w:p>
        </w:tc>
        <w:tc>
          <w:tcPr>
            <w:tcW w:type="dxa" w:w="252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Do not turn evidence into affiliate-first ‘best’ pages before Mirellis has an independent evaluation method.</w:t>
            </w:r>
          </w:p>
        </w:tc>
      </w:tr>
      <w:tr>
        <w:tc>
          <w:tcPr>
            <w:tcW w:type="dxa" w:w="165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Muse</w:t>
            </w:r>
          </w:p>
        </w:tc>
        <w:tc>
          <w:tcPr>
            <w:tcW w:type="dxa" w:w="259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Hardware sale + recurring Premium + professional portal/referral economics. Current site advertises device bundles, annual Premium and professional subscriptions. [S3][S4][S5]</w:t>
            </w:r>
          </w:p>
        </w:tc>
        <w:tc>
          <w:tcPr>
            <w:tcW w:type="dxa" w:w="259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Layered value: device, ongoing guidance, partner workflow; explain what each level unlocks.</w:t>
            </w:r>
          </w:p>
        </w:tc>
        <w:tc>
          <w:tcPr>
            <w:tcW w:type="dxa" w:w="252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Do not import brain scores, AI interpretation or health claims without the device, validation and governance that support them.</w:t>
            </w:r>
          </w:p>
        </w:tc>
      </w:tr>
      <w:tr>
        <w:tc>
          <w:tcPr>
            <w:tcW w:type="dxa" w:w="165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James Clear / Atoms</w:t>
            </w:r>
          </w:p>
        </w:tc>
        <w:tc>
          <w:tcPr>
            <w:tcW w:type="dxa" w:w="259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Book-led authority, newsletter capture, app extension, courses and related products. Atoms turns a single habit framework into reminders, small steps and daily lessons. [S6][S7]</w:t>
            </w:r>
          </w:p>
        </w:tc>
        <w:tc>
          <w:tcPr>
            <w:tcW w:type="dxa" w:w="259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One memorable framework; free learning as acquisition; product reinforces—not replaces—the core promise.</w:t>
            </w:r>
          </w:p>
        </w:tc>
        <w:tc>
          <w:tcPr>
            <w:tcW w:type="dxa" w:w="252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Mirellis should not become a streak-based habit tracker; its own authority rejects score and streak pressure.</w:t>
            </w:r>
          </w:p>
        </w:tc>
      </w:tr>
      <w:tr>
        <w:tc>
          <w:tcPr>
            <w:tcW w:type="dxa" w:w="165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Focus To-Do</w:t>
            </w:r>
          </w:p>
        </w:tc>
        <w:tc>
          <w:tcPr>
            <w:tcW w:type="dxa" w:w="259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Utility app built around Pomodoro, tasks, reminders, statistics and cross-device availability. [S8]</w:t>
            </w:r>
          </w:p>
        </w:tc>
        <w:tc>
          <w:tcPr>
            <w:tcW w:type="dxa" w:w="259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An explicit job, short path to start, simple repeat loop, practical reliability.</w:t>
            </w:r>
          </w:p>
        </w:tc>
        <w:tc>
          <w:tcPr>
            <w:tcW w:type="dxa" w:w="252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Avoid turning attention support into task management or productivity surveillance.</w:t>
            </w:r>
          </w:p>
        </w:tc>
      </w:tr>
      <w:tr>
        <w:tc>
          <w:tcPr>
            <w:tcW w:type="dxa" w:w="165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Headspace</w:t>
            </w:r>
          </w:p>
        </w:tc>
        <w:tc>
          <w:tcPr>
            <w:tcW w:type="dxa" w:w="259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Recurring subscription, employer/organization access and a higher-touch care ladder. [S9][S10]</w:t>
            </w:r>
          </w:p>
        </w:tc>
        <w:tc>
          <w:tcPr>
            <w:tcW w:type="dxa" w:w="259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A free entry can lead into clearly different service levels; care access is operationally distinct.</w:t>
            </w:r>
          </w:p>
        </w:tc>
        <w:tc>
          <w:tcPr>
            <w:tcW w:type="dxa" w:w="252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Do not advertise a care layer until qualified care, privacy and escalation standards exist.</w:t>
            </w:r>
          </w:p>
        </w:tc>
      </w:tr>
    </w:tbl>
    <w:p>
      <w:pPr>
        <w:spacing w:after="40"/>
      </w:pPr>
    </w:p>
    <w:p>
      <w:pPr>
        <w:pStyle w:val="Heading1"/>
      </w:pPr>
      <w:r>
        <w:t>4. Amazon confirms a commodity market—so do not enter as a commodity</w:t>
      </w:r>
    </w:p>
    <w:p>
      <w:r>
        <w:rPr>
          <w:i w:val="0"/>
        </w:rPr>
        <w:t>Across the reviewed Amazon magnesium and ashwagandha bestseller pages, the market is crowded with capsules, gummies, powders, oil sprays and blends. The observable price band is roughly US$8–38 for many single- or multi-ingredient offerings, with premium branded blends above that. The listings compete through form factor, dose, ingredient trademark, third-party-testing language, count, ‘high absorption’ and review volume. [S11][S12]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2951"/>
        <w:gridCol w:w="4392"/>
      </w:tblGrid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If Mirellis sells…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The shelf will compare…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A defensible response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 generic oil</w:t>
            </w:r>
          </w:p>
        </w:tc>
        <w:tc>
          <w:tcPr>
            <w:tcW w:type="dxa" w:w="2951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Price / volume / purity / review count</w:t>
            </w:r>
          </w:p>
        </w:tc>
        <w:tc>
          <w:tcPr>
            <w:tcW w:type="dxa" w:w="439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Do not lead with generic oil. Build a named ritual instrument with sensory design, clear use moment, provenance and practice pairing.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 supplement or nootropic</w:t>
            </w:r>
          </w:p>
        </w:tc>
        <w:tc>
          <w:tcPr>
            <w:tcW w:type="dxa" w:w="2951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Dose / claims / certifications / price / delivery</w:t>
            </w:r>
          </w:p>
        </w:tc>
        <w:tc>
          <w:tcPr>
            <w:tcW w:type="dxa" w:w="439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Defer unless clinical, regulatory, formulation and claims capabilities exist. It is a different risk business.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 sleep or stress bundle</w:t>
            </w:r>
          </w:p>
        </w:tc>
        <w:tc>
          <w:tcPr>
            <w:tcW w:type="dxa" w:w="2951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Contents / discount / replenishment</w:t>
            </w:r>
          </w:p>
        </w:tc>
        <w:tc>
          <w:tcPr>
            <w:tcW w:type="dxa" w:w="439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Bundle an optional physical object with a specific, tested practice and clear replenishment logic—not a vague wellness promise.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40" w:after="40"/>
            </w:pPr>
            <w:r/>
            <w:r>
              <w:rPr>
                <w:b/>
                <w:color w:val="7A5A00"/>
                <w:sz w:val="20"/>
              </w:rPr>
              <w:t xml:space="preserve">COMMERCIAL IMPLICATION  </w:t>
            </w:r>
            <w:r>
              <w:rPr>
                <w:sz w:val="20"/>
              </w:rPr>
              <w:t>Mirellis should not use Amazon as its primary brand-building channel at first. Use its price visibility to set guardrails; reserve any future marketplace presence for a proven hero ritual object with packaging, review operations and strict claims governance.</w:t>
            </w:r>
          </w:p>
        </w:tc>
      </w:tr>
    </w:tbl>
    <w:p>
      <w:pPr>
        <w:spacing w:after="40"/>
      </w:pPr>
    </w:p>
    <w:p>
      <w:pPr>
        <w:pStyle w:val="Heading1"/>
      </w:pPr>
      <w:r>
        <w:t>5. Mirellis has a stronger starting point than the generic competitors</w:t>
      </w:r>
    </w:p>
    <w:p>
      <w:r>
        <w:rPr>
          <w:i w:val="0"/>
        </w:rPr>
        <w:t>The internal product and site authorities already define a coherent system: public problem doors (Sleep, Focus, Restoration); a research-led Observatory; a private app organized around Waking, Focus, After Work and Night; optional ritual instruments; and a future practitioner directory. The app specification explicitly prevents diagnosis, hidden inference, scores, streaks, automatic research donation and product pressure. That restraint is not a limitation—it is the differentiated trust proposition.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3456"/>
        <w:gridCol w:w="396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Existing asset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Why it matters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Immediate implication</w:t>
            </w:r>
          </w:p>
        </w:tc>
      </w:tr>
      <w:tr>
        <w:tc>
          <w:tcPr>
            <w:tcW w:type="dxa" w:w="208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Problem-first website architecture</w:t>
            </w:r>
          </w:p>
        </w:tc>
        <w:tc>
          <w:tcPr>
            <w:tcW w:type="dxa" w:w="3456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Matches search intent without forcing people to learn internal transition language.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Make every concern page resolve into one helpful next step, not an article catalogue.</w:t>
            </w:r>
          </w:p>
        </w:tc>
      </w:tr>
      <w:tr>
        <w:tc>
          <w:tcPr>
            <w:tcW w:type="dxa" w:w="208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Observatory and editorial governance</w:t>
            </w:r>
          </w:p>
        </w:tc>
        <w:tc>
          <w:tcPr>
            <w:tcW w:type="dxa" w:w="3456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Can make claims traceable and distinguish Mirellis from anonymous wellness content.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Publish fewer, reviewable pieces with author, evidence, limitation and update date.</w:t>
            </w:r>
          </w:p>
        </w:tc>
      </w:tr>
      <w:tr>
        <w:tc>
          <w:tcPr>
            <w:tcW w:type="dxa" w:w="208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Action-first app authority</w:t>
            </w:r>
          </w:p>
        </w:tc>
        <w:tc>
          <w:tcPr>
            <w:tcW w:type="dxa" w:w="3456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 clear product job: a real next action at a difficult boundary.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Launch the Work → Recovery vertical slice before broadening scope.</w:t>
            </w:r>
          </w:p>
        </w:tc>
      </w:tr>
      <w:tr>
        <w:tc>
          <w:tcPr>
            <w:tcW w:type="dxa" w:w="208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Ritual products</w:t>
            </w:r>
          </w:p>
        </w:tc>
        <w:tc>
          <w:tcPr>
            <w:tcW w:type="dxa" w:w="3456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 physical extension of a practice, not the cause of the outcome.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Show the product after usefulness, with explicit non-necessity.</w:t>
            </w:r>
          </w:p>
        </w:tc>
      </w:tr>
      <w:tr>
        <w:tc>
          <w:tcPr>
            <w:tcW w:type="dxa" w:w="208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Directory principle</w:t>
            </w:r>
          </w:p>
        </w:tc>
        <w:tc>
          <w:tcPr>
            <w:tcW w:type="dxa" w:w="3456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Programs and fit matter more than broad provider labels.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Build a governed service, not a paid listing page.</w:t>
            </w:r>
          </w:p>
        </w:tc>
      </w:tr>
    </w:tbl>
    <w:p>
      <w:pPr>
        <w:spacing w:after="40"/>
      </w:pPr>
    </w:p>
    <w:p>
      <w:pPr>
        <w:spacing w:before="40" w:after="100" w:line="240" w:lineRule="auto"/>
      </w:pPr>
      <w:r>
        <w:rPr>
          <w:i/>
          <w:color w:val="5B6573"/>
          <w:sz w:val="17"/>
        </w:rPr>
        <w:t>Internal evidence: Mirellis public architecture v2; App Reset V1 brief; Unified V1 + V2 Pre-Build Specification v1.0.</w:t>
      </w:r>
    </w:p>
    <w:p>
      <w:pPr>
        <w:pStyle w:val="Heading1"/>
      </w:pPr>
      <w:r>
        <w:t>6. Recommended positioning and category design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</w:pPr>
            <w:r/>
            <w:r>
              <w:rPr>
                <w:b/>
                <w:color w:val="0B2545"/>
                <w:sz w:val="20"/>
              </w:rPr>
              <w:t xml:space="preserve">POSITIONING  </w:t>
            </w:r>
            <w:r>
              <w:rPr>
                <w:sz w:val="20"/>
              </w:rPr>
              <w:t>Mirellis is a private companion for difficult boundaries in the day. It helps someone name what is difficult, choose one practical next action, and keep only the record they deliberately choose.</w:t>
            </w:r>
          </w:p>
        </w:tc>
      </w:tr>
    </w:tbl>
    <w:p>
      <w:pPr>
        <w:spacing w:after="40"/>
      </w:pPr>
    </w:p>
    <w:p>
      <w:r>
        <w:rPr>
          <w:i w:val="0"/>
        </w:rPr>
        <w:t>This is narrower and more credible than ‘improve sleep, focus and stress’. It also creates a clean three-layer system:</w:t>
      </w:r>
    </w:p>
    <w:p>
      <w:pPr>
        <w:pStyle w:val="ListNumber"/>
        <w:spacing w:after="80" w:line="280" w:lineRule="auto"/>
      </w:pPr>
      <w:r>
        <w:t>Public learning: answer a specific question, state the evidence and limitation, then offer a non-diagnostic next step.</w:t>
      </w:r>
    </w:p>
    <w:p>
      <w:pPr>
        <w:pStyle w:val="ListNumber"/>
        <w:spacing w:after="80" w:line="280" w:lineRule="auto"/>
      </w:pPr>
      <w:r>
        <w:t>Private action: help now through a short, reviewed, repeatable practice; no account or purchase required for first value.</w:t>
      </w:r>
    </w:p>
    <w:p>
      <w:pPr>
        <w:pStyle w:val="ListNumber"/>
        <w:spacing w:after="80" w:line="280" w:lineRule="auto"/>
      </w:pPr>
      <w:r>
        <w:t>Optional ecosystem: a ritual instrument, a relevant professional option, or a partner program—always marked as optional and commercially transparent.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51"/>
        <w:gridCol w:w="4464"/>
        <w:gridCol w:w="2088"/>
      </w:tblGrid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Audience language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Product language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Commercial language</w:t>
            </w:r>
          </w:p>
        </w:tc>
      </w:tr>
      <w:tr>
        <w:tc>
          <w:tcPr>
            <w:tcW w:type="dxa" w:w="2951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‘I am still thinking about work.’</w:t>
            </w:r>
          </w:p>
        </w:tc>
        <w:tc>
          <w:tcPr>
            <w:tcW w:type="dxa" w:w="4464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‘A short closure practice to help you leave the work surface.’</w:t>
            </w:r>
          </w:p>
        </w:tc>
        <w:tc>
          <w:tcPr>
            <w:tcW w:type="dxa" w:w="208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‘An optional ritual tool for this practice.’</w:t>
            </w:r>
          </w:p>
        </w:tc>
      </w:tr>
      <w:tr>
        <w:tc>
          <w:tcPr>
            <w:tcW w:type="dxa" w:w="2951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‘I cannot begin this task.’</w:t>
            </w:r>
          </w:p>
        </w:tc>
        <w:tc>
          <w:tcPr>
            <w:tcW w:type="dxa" w:w="4464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‘Choose the smallest action that will exist when this session ends.’</w:t>
            </w:r>
          </w:p>
        </w:tc>
        <w:tc>
          <w:tcPr>
            <w:tcW w:type="dxa" w:w="208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‘No purchase required.’</w:t>
            </w:r>
          </w:p>
        </w:tc>
      </w:tr>
      <w:tr>
        <w:tc>
          <w:tcPr>
            <w:tcW w:type="dxa" w:w="2951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‘I meant to stop, but I did not.’</w:t>
            </w:r>
          </w:p>
        </w:tc>
        <w:tc>
          <w:tcPr>
            <w:tcW w:type="dxa" w:w="4464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‘A small night audit to decide what to try next.’</w:t>
            </w:r>
          </w:p>
        </w:tc>
        <w:tc>
          <w:tcPr>
            <w:tcW w:type="dxa" w:w="208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‘If this is persistent or concerning, find qualified help.’</w:t>
            </w:r>
          </w:p>
        </w:tc>
      </w:tr>
    </w:tbl>
    <w:p>
      <w:pPr>
        <w:spacing w:after="40"/>
      </w:pPr>
    </w:p>
    <w:p>
      <w:pPr>
        <w:pStyle w:val="Heading1"/>
      </w:pPr>
      <w:r>
        <w:t>7. Website roadmap: authority through useful, bounded pathways</w:t>
      </w:r>
    </w:p>
    <w:p>
      <w:r>
        <w:rPr>
          <w:i w:val="0"/>
        </w:rPr>
        <w:t>The goal is not ‘more SEO content’. The goal is a highly legible set of pages that a visitor, search engine and future partner can all understand: the problem, Mirellis’ scope, the practical next step, the evidence standard and the appropriate commercial door.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5040"/>
        <w:gridCol w:w="2951"/>
      </w:tblGrid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Phase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Build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Definition of done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0–30 days</w:t>
            </w:r>
          </w:p>
        </w:tc>
        <w:tc>
          <w:tcPr>
            <w:tcW w:type="dxa" w:w="50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Repair the conversion spine: one concise home promise; Sleep / Focus / Restoration doors; one app CTA per concern; clear product and directory boundaries; universal ‘get help’ route.</w:t>
            </w:r>
          </w:p>
        </w:tc>
        <w:tc>
          <w:tcPr>
            <w:tcW w:type="dxa" w:w="2951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Every entry page has one primary action; no old assessment/module journeys compete with it.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30–90 days</w:t>
            </w:r>
          </w:p>
        </w:tc>
        <w:tc>
          <w:tcPr>
            <w:tcW w:type="dxa" w:w="50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Create 9–12 cornerstone pages: 3 concern hubs, 3 immediate-moment guides, 3 evidence notes, 3 safety / care-routing pages. Add schema only where content truly supports it.</w:t>
            </w:r>
          </w:p>
        </w:tc>
        <w:tc>
          <w:tcPr>
            <w:tcW w:type="dxa" w:w="2951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Each page has author/reviewer, evidence / limitation, last-reviewed date, internal links and one useful next action.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3–6 months</w:t>
            </w:r>
          </w:p>
        </w:tc>
        <w:tc>
          <w:tcPr>
            <w:tcW w:type="dxa" w:w="50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Build a transition library around verified search language: ‘after work but cannot switch off’, ‘cannot start work’, ‘tired but mentally active’, ‘stopping for sleep’. Add email brief and editorial cadence.</w:t>
            </w:r>
          </w:p>
        </w:tc>
        <w:tc>
          <w:tcPr>
            <w:tcW w:type="dxa" w:w="2951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Organic landing traffic converts to a useful app start or email relationship; no programmatic thin pages.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6–12 months</w:t>
            </w:r>
          </w:p>
        </w:tc>
        <w:tc>
          <w:tcPr>
            <w:tcW w:type="dxa" w:w="50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Add carefully evaluated comparison / decision content only where Mirellis has a real rubric; publish practitioner program pages once directory quality is sufficient.</w:t>
            </w:r>
          </w:p>
        </w:tc>
        <w:tc>
          <w:tcPr>
            <w:tcW w:type="dxa" w:w="2951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Commercial disclosure, methodology and update process are visible on every evaluated or partnered page.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</w:pPr>
            <w:r/>
            <w:r>
              <w:rPr>
                <w:b/>
                <w:color w:val="0B2545"/>
                <w:sz w:val="20"/>
              </w:rPr>
              <w:t xml:space="preserve">SEO RULE  </w:t>
            </w:r>
            <w:r>
              <w:rPr>
                <w:sz w:val="20"/>
              </w:rPr>
              <w:t>Compete on the long-tail experience someone has at a transition—not on a generic medical condition or an ingredient keyword. This is where Mirellis has a credible point of view and can deliver a better next step.</w:t>
            </w:r>
          </w:p>
        </w:tc>
      </w:tr>
    </w:tbl>
    <w:p>
      <w:pPr>
        <w:spacing w:after="40"/>
      </w:pPr>
    </w:p>
    <w:p>
      <w:pPr>
        <w:pStyle w:val="Heading1"/>
      </w:pPr>
      <w:r>
        <w:t>8. The public information architecture should route, not overwhelm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2232"/>
        <w:gridCol w:w="180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Destination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Job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Primary CTA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Secondary door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Home</w:t>
            </w:r>
          </w:p>
        </w:tc>
        <w:tc>
          <w:tcPr>
            <w:tcW w:type="dxa" w:w="3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Recognize a difficult boundary.</w:t>
            </w:r>
          </w:p>
        </w:tc>
        <w:tc>
          <w:tcPr>
            <w:tcW w:type="dxa" w:w="223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‘What is difficult right now?’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Explore Sleep, Focus or Restoration.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Concern hub</w:t>
            </w:r>
          </w:p>
        </w:tc>
        <w:tc>
          <w:tcPr>
            <w:tcW w:type="dxa" w:w="3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Explain the concern in ordinary language and give immediate options.</w:t>
            </w:r>
          </w:p>
        </w:tc>
        <w:tc>
          <w:tcPr>
            <w:tcW w:type="dxa" w:w="223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Begin a relevant practice.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Understand the evidence; find help.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Observatory finding</w:t>
            </w:r>
          </w:p>
        </w:tc>
        <w:tc>
          <w:tcPr>
            <w:tcW w:type="dxa" w:w="3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Publish a bounded conclusion with its limits.</w:t>
            </w:r>
          </w:p>
        </w:tc>
        <w:tc>
          <w:tcPr>
            <w:tcW w:type="dxa" w:w="223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Try the related practical action.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Read sources / related finding.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Product page</w:t>
            </w:r>
          </w:p>
        </w:tc>
        <w:tc>
          <w:tcPr>
            <w:tcW w:type="dxa" w:w="3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Explain an object’s material, sensory and ritual role.</w:t>
            </w:r>
          </w:p>
        </w:tc>
        <w:tc>
          <w:tcPr>
            <w:tcW w:type="dxa" w:w="223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Choose the object only if wanted.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Try the practice without it.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Directory</w:t>
            </w:r>
          </w:p>
        </w:tc>
        <w:tc>
          <w:tcPr>
            <w:tcW w:type="dxa" w:w="3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Find a program or qualified practitioner with an appropriate fit.</w:t>
            </w:r>
          </w:p>
        </w:tc>
        <w:tc>
          <w:tcPr>
            <w:tcW w:type="dxa" w:w="223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Browse by need, location and program.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Safety / urgent-care guidance.</w:t>
            </w:r>
          </w:p>
        </w:tc>
      </w:tr>
    </w:tbl>
    <w:p>
      <w:pPr>
        <w:spacing w:after="40"/>
      </w:pPr>
    </w:p>
    <w:p>
      <w:r>
        <w:rPr>
          <w:i w:val="0"/>
        </w:rPr>
        <w:t>The key linking pattern is: concern → useful practice → optional understanding → optional tool or professional support. Reversing this order makes the site feel like a sales funnel; keeping it preserves the brand’s stated agency and trust constraints.</w:t>
      </w:r>
    </w:p>
    <w:p>
      <w:pPr>
        <w:pStyle w:val="Heading1"/>
      </w:pPr>
      <w:r>
        <w:t>9. Application roadmap: prove a complete action loop before expanding</w:t>
      </w:r>
    </w:p>
    <w:p>
      <w:r>
        <w:rPr>
          <w:i w:val="0"/>
        </w:rPr>
        <w:t>The existing approved product documents are unusually clear: the first release is not a library, diagnosis tool, performance dashboard or generic AI coach. It is a complete action loop. Keep that decision intact.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24"/>
        <w:gridCol w:w="3168"/>
        <w:gridCol w:w="2880"/>
        <w:gridCol w:w="2520"/>
      </w:tblGrid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Release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Scope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What to learn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Do not add yet</w:t>
            </w:r>
          </w:p>
        </w:tc>
      </w:tr>
      <w:tr>
        <w:tc>
          <w:tcPr>
            <w:tcW w:type="dxa" w:w="1224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V1 test</w:t>
            </w:r>
          </w:p>
        </w:tc>
        <w:tc>
          <w:tcPr>
            <w:tcW w:type="dxa" w:w="316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Work → Recovery: four truthful entry routes, 8–10 minute practice, interruption/resume, outcome choice, optional note, post-practice Observatory/product door.</w:t>
            </w:r>
          </w:p>
        </w:tc>
        <w:tc>
          <w:tcPr>
            <w:tcW w:type="dxa" w:w="288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Can a first-time person begin in one choice? Does the practice feel useful without a purchase?</w:t>
            </w:r>
          </w:p>
        </w:tc>
        <w:tc>
          <w:tcPr>
            <w:tcW w:type="dxa" w:w="252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Scores, streaks, dashboards, subscriptions, auto-recommendation or an app-wide library.</w:t>
            </w:r>
          </w:p>
        </w:tc>
      </w:tr>
      <w:tr>
        <w:tc>
          <w:tcPr>
            <w:tcW w:type="dxa" w:w="1224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V1.5</w:t>
            </w:r>
          </w:p>
        </w:tc>
        <w:tc>
          <w:tcPr>
            <w:tcW w:type="dxa" w:w="316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Refine script, sound, accessibility and repeat entry from observed use. Add one safe alternative only when the next action changes materially.</w:t>
            </w:r>
          </w:p>
        </w:tc>
        <w:tc>
          <w:tcPr>
            <w:tcW w:type="dxa" w:w="288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Which entry words and cues create recognition? Which people return voluntarily?</w:t>
            </w:r>
          </w:p>
        </w:tc>
        <w:tc>
          <w:tcPr>
            <w:tcW w:type="dxa" w:w="252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Growth nudges or ‘personalisation’ that lacks explicit input.</w:t>
            </w:r>
          </w:p>
        </w:tc>
      </w:tr>
      <w:tr>
        <w:tc>
          <w:tcPr>
            <w:tcW w:type="dxa" w:w="1224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V2</w:t>
            </w:r>
          </w:p>
        </w:tc>
        <w:tc>
          <w:tcPr>
            <w:tcW w:type="dxa" w:w="316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Shared action engine across Waking, Focus, After Work and Night; bounded experiments and private record.</w:t>
            </w:r>
          </w:p>
        </w:tc>
        <w:tc>
          <w:tcPr>
            <w:tcW w:type="dxa" w:w="288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Can people choose / override a transparent recommendation and see why it fits?</w:t>
            </w:r>
          </w:p>
        </w:tc>
        <w:tc>
          <w:tcPr>
            <w:tcW w:type="dxa" w:w="252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Free-text interpretation, diagnostic labels or medication/supplement protocols.</w:t>
            </w:r>
          </w:p>
        </w:tc>
      </w:tr>
      <w:tr>
        <w:tc>
          <w:tcPr>
            <w:tcW w:type="dxa" w:w="1224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V3</w:t>
            </w:r>
          </w:p>
        </w:tc>
        <w:tc>
          <w:tcPr>
            <w:tcW w:type="dxa" w:w="316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Directory handoff, carefully consented research participation, professional / partner journeys where operationally ready.</w:t>
            </w:r>
          </w:p>
        </w:tc>
        <w:tc>
          <w:tcPr>
            <w:tcW w:type="dxa" w:w="288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Does escalation happen appropriately and do partners create real value?</w:t>
            </w:r>
          </w:p>
        </w:tc>
        <w:tc>
          <w:tcPr>
            <w:tcW w:type="dxa" w:w="252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Selling personal data, automatic research use or pay-to-rank care routing.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</w:pPr>
            <w:r/>
            <w:r>
              <w:rPr>
                <w:b/>
                <w:color w:val="0B2545"/>
                <w:sz w:val="20"/>
              </w:rPr>
              <w:t xml:space="preserve">PRODUCT METRIC  </w:t>
            </w:r>
            <w:r>
              <w:rPr>
                <w:sz w:val="20"/>
              </w:rPr>
              <w:t>The leading signal is not minutes or daily active users. It is voluntary completion of a practical action, followed by an explicit, non-inferred outcome such as ‘yes’, ‘a little’ or ‘not really’.</w:t>
            </w:r>
          </w:p>
        </w:tc>
      </w:tr>
    </w:tbl>
    <w:p>
      <w:pPr>
        <w:spacing w:after="40"/>
      </w:pPr>
    </w:p>
    <w:p>
      <w:pPr>
        <w:pStyle w:val="Heading1"/>
      </w:pPr>
      <w:r>
        <w:t>10. Directory roadmap: turn it into a trust product, not a traffic product</w:t>
      </w:r>
    </w:p>
    <w:p>
      <w:r>
        <w:rPr>
          <w:i w:val="0"/>
        </w:rPr>
        <w:t>The current directory intent—showing doctors, researchers and practitioners by the programmes they run, rather than by a broad label alone—is the right foundation. The market lesson is that ‘find a therapist’ directories can monetize quickly, but care routing creates real safety, conflict and quality responsibilities.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68"/>
        <w:gridCol w:w="3240"/>
        <w:gridCol w:w="2448"/>
        <w:gridCol w:w="2736"/>
      </w:tblGrid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Stage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What exists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Revenue rule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Trust gate</w:t>
            </w:r>
          </w:p>
        </w:tc>
      </w:tr>
      <w:tr>
        <w:tc>
          <w:tcPr>
            <w:tcW w:type="dxa" w:w="136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0. Design</w:t>
            </w:r>
          </w:p>
        </w:tc>
        <w:tc>
          <w:tcPr>
            <w:tcW w:type="dxa" w:w="32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Taxonomy, verification policy, provider evidence form, safety routes, disclosure standard and removal process.</w:t>
            </w:r>
          </w:p>
        </w:tc>
        <w:tc>
          <w:tcPr>
            <w:tcW w:type="dxa" w:w="244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No listings revenue.</w:t>
            </w:r>
          </w:p>
        </w:tc>
        <w:tc>
          <w:tcPr>
            <w:tcW w:type="dxa" w:w="2736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Clinical / legal review of scope, eligibility and red flags.</w:t>
            </w:r>
          </w:p>
        </w:tc>
      </w:tr>
      <w:tr>
        <w:tc>
          <w:tcPr>
            <w:tcW w:type="dxa" w:w="136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1. Curated pilot</w:t>
            </w:r>
          </w:p>
        </w:tc>
        <w:tc>
          <w:tcPr>
            <w:tcW w:type="dxa" w:w="32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20–40 invited profiles organized by location, program, population served, access, language and cost range.</w:t>
            </w:r>
          </w:p>
        </w:tc>
        <w:tc>
          <w:tcPr>
            <w:tcW w:type="dxa" w:w="244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Free pilot or fixed onboarding fee only if it does not influence display.</w:t>
            </w:r>
          </w:p>
        </w:tc>
        <w:tc>
          <w:tcPr>
            <w:tcW w:type="dxa" w:w="2736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Every profile verified; no ‘best’ ranking; reporting and delisting route live.</w:t>
            </w:r>
          </w:p>
        </w:tc>
      </w:tr>
      <w:tr>
        <w:tc>
          <w:tcPr>
            <w:tcW w:type="dxa" w:w="136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2. Useful search</w:t>
            </w:r>
          </w:p>
        </w:tc>
        <w:tc>
          <w:tcPr>
            <w:tcW w:type="dxa" w:w="32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Program pages plus transparent filters and a contact / booking handoff.</w:t>
            </w:r>
          </w:p>
        </w:tc>
        <w:tc>
          <w:tcPr>
            <w:tcW w:type="dxa" w:w="244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Paid software tools, verified profile service or lead fee—clearly labeled and never rank-determining.</w:t>
            </w:r>
          </w:p>
        </w:tc>
        <w:tc>
          <w:tcPr>
            <w:tcW w:type="dxa" w:w="2736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Publish methodology; measure successful connection, not clicks alone.</w:t>
            </w:r>
          </w:p>
        </w:tc>
      </w:tr>
      <w:tr>
        <w:tc>
          <w:tcPr>
            <w:tcW w:type="dxa" w:w="136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3. Partner network</w:t>
            </w:r>
          </w:p>
        </w:tc>
        <w:tc>
          <w:tcPr>
            <w:tcW w:type="dxa" w:w="32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Retreats, workplace programs and multi-provider care pathways.</w:t>
            </w:r>
          </w:p>
        </w:tc>
        <w:tc>
          <w:tcPr>
            <w:tcW w:type="dxa" w:w="244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Contracted partner services / B2B access, with declared referral economics.</w:t>
            </w:r>
          </w:p>
        </w:tc>
        <w:tc>
          <w:tcPr>
            <w:tcW w:type="dxa" w:w="2736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Separate editorial / routing judgment from commercial team.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F2"/>
          </w:tcPr>
          <w:p>
            <w:pPr>
              <w:spacing w:before="40" w:after="40"/>
            </w:pPr>
            <w:r/>
            <w:r>
              <w:rPr>
                <w:b/>
                <w:color w:val="9B1C1C"/>
                <w:sz w:val="20"/>
              </w:rPr>
              <w:t xml:space="preserve">DIRECTORY PRINCIPLE  </w:t>
            </w:r>
            <w:r>
              <w:rPr>
                <w:sz w:val="20"/>
              </w:rPr>
              <w:t>Never charge for ranking. If a booking, referral or sponsorship changes the economics, label it where the person makes the choice. The directory must be safer and more specific than a broad list—or it should not launch.</w:t>
            </w:r>
          </w:p>
        </w:tc>
      </w:tr>
    </w:tbl>
    <w:p>
      <w:pPr>
        <w:spacing w:after="40"/>
      </w:pPr>
    </w:p>
    <w:p>
      <w:pPr>
        <w:pStyle w:val="Heading1"/>
      </w:pPr>
      <w:r>
        <w:t>11. Future monetization: a staged portfolio, not a launch paywall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11"/>
        <w:gridCol w:w="2520"/>
        <w:gridCol w:w="21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Layer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Customer value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Mirellis revenue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When to activate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Free action experience</w:t>
            </w:r>
          </w:p>
        </w:tc>
        <w:tc>
          <w:tcPr>
            <w:tcW w:type="dxa" w:w="3311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 complete immediate practice and private record.</w:t>
            </w:r>
          </w:p>
        </w:tc>
        <w:tc>
          <w:tcPr>
            <w:tcW w:type="dxa" w:w="252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None directly; builds trust, learning and voluntary email / app relationship.</w:t>
            </w:r>
          </w:p>
        </w:tc>
        <w:tc>
          <w:tcPr>
            <w:tcW w:type="dxa" w:w="21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Launch.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Ritual instruments</w:t>
            </w:r>
          </w:p>
        </w:tc>
        <w:tc>
          <w:tcPr>
            <w:tcW w:type="dxa" w:w="3311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 sensory / physical support object that makes a chosen practice easier or more repeatable.</w:t>
            </w:r>
          </w:p>
        </w:tc>
        <w:tc>
          <w:tcPr>
            <w:tcW w:type="dxa" w:w="252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D2C margin, intentional bundles, replenishment only where consumable and wanted.</w:t>
            </w:r>
          </w:p>
        </w:tc>
        <w:tc>
          <w:tcPr>
            <w:tcW w:type="dxa" w:w="21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After the related practice works without it.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Paid practice / membership</w:t>
            </w:r>
          </w:p>
        </w:tc>
        <w:tc>
          <w:tcPr>
            <w:tcW w:type="dxa" w:w="3311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 deeper course, repeated experiment or saved practice system with distinct ongoing value.</w:t>
            </w:r>
          </w:p>
        </w:tc>
        <w:tc>
          <w:tcPr>
            <w:tcW w:type="dxa" w:w="252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Subscription or paid programme.</w:t>
            </w:r>
          </w:p>
        </w:tc>
        <w:tc>
          <w:tcPr>
            <w:tcW w:type="dxa" w:w="21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Only when repeat use shows a clear, continuing job; never to unlock initial help.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Directory / practitioner tools</w:t>
            </w:r>
          </w:p>
        </w:tc>
        <w:tc>
          <w:tcPr>
            <w:tcW w:type="dxa" w:w="3311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Verified program discovery and provider workflow.</w:t>
            </w:r>
          </w:p>
        </w:tc>
        <w:tc>
          <w:tcPr>
            <w:tcW w:type="dxa" w:w="252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SaaS, enhanced verified profile tooling, transparent referral / booking fees.</w:t>
            </w:r>
          </w:p>
        </w:tc>
        <w:tc>
          <w:tcPr>
            <w:tcW w:type="dxa" w:w="21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After quality, safety and conflict policy are demonstrably operational.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B2B programmes</w:t>
            </w:r>
          </w:p>
        </w:tc>
        <w:tc>
          <w:tcPr>
            <w:tcW w:type="dxa" w:w="3311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 workforce, hospitality or retreat experience built around real transition moments.</w:t>
            </w:r>
          </w:p>
        </w:tc>
        <w:tc>
          <w:tcPr>
            <w:tcW w:type="dxa" w:w="252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License, per-participant programme, facilitation, product kit and support service.</w:t>
            </w:r>
          </w:p>
        </w:tc>
        <w:tc>
          <w:tcPr>
            <w:tcW w:type="dxa" w:w="21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After a consumer experience and facilitation playbook are proven.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Research collaboration</w:t>
            </w:r>
          </w:p>
        </w:tc>
        <w:tc>
          <w:tcPr>
            <w:tcW w:type="dxa" w:w="3311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Clearly consented studies or evidence partnerships with public methods.</w:t>
            </w:r>
          </w:p>
        </w:tc>
        <w:tc>
          <w:tcPr>
            <w:tcW w:type="dxa" w:w="252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Sponsored research / institutional collaboration—not sale of individual personal records.</w:t>
            </w:r>
          </w:p>
        </w:tc>
        <w:tc>
          <w:tcPr>
            <w:tcW w:type="dxa" w:w="21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Only under a separate consent and governance system.</w:t>
            </w:r>
          </w:p>
        </w:tc>
      </w:tr>
    </w:tbl>
    <w:p>
      <w:pPr>
        <w:spacing w:after="40"/>
      </w:pPr>
    </w:p>
    <w:p>
      <w:r>
        <w:rPr>
          <w:i w:val="0"/>
        </w:rPr>
        <w:t>The first serious economic question is not ‘what can we charge for?’ It is ‘what repeated problem does Mirellis solve well enough that a person, practitioner or organisation will choose to pay for a distinct next layer?’ The app brief’s no-subscription-at-launch decision is strategically sound.</w:t>
      </w:r>
    </w:p>
    <w:p>
      <w:pPr>
        <w:pStyle w:val="Heading1"/>
      </w:pPr>
      <w:r>
        <w:t>12. Revenue guardrails that preserve the brand</w:t>
      </w:r>
    </w:p>
    <w:p>
      <w:pPr>
        <w:pStyle w:val="ListBullet"/>
        <w:spacing w:after="80" w:line="280" w:lineRule="auto"/>
      </w:pPr>
      <w:r>
        <w:t>No revenue model may require a health outcome claim that Mirellis cannot substantiate.</w:t>
      </w:r>
    </w:p>
    <w:p>
      <w:pPr>
        <w:pStyle w:val="ListBullet"/>
        <w:spacing w:after="80" w:line="280" w:lineRule="auto"/>
      </w:pPr>
      <w:r>
        <w:t>The initial practice must work without account creation, purchase, research participation or a subscription.</w:t>
      </w:r>
    </w:p>
    <w:p>
      <w:pPr>
        <w:pStyle w:val="ListBullet"/>
        <w:spacing w:after="80" w:line="280" w:lineRule="auto"/>
      </w:pPr>
      <w:r>
        <w:t>Never sell, train on, or transfer personal notes or private records without a separate, specific consent system; do not make consent a condition of help.</w:t>
      </w:r>
    </w:p>
    <w:p>
      <w:pPr>
        <w:pStyle w:val="ListBullet"/>
        <w:spacing w:after="80" w:line="280" w:lineRule="auto"/>
      </w:pPr>
      <w:r>
        <w:t>Commercial relationships must be disclosed near the decision point—not hidden in a terms page.</w:t>
      </w:r>
    </w:p>
    <w:p>
      <w:pPr>
        <w:pStyle w:val="ListBullet"/>
        <w:spacing w:after="80" w:line="280" w:lineRule="auto"/>
      </w:pPr>
      <w:r>
        <w:t>Provider payment cannot improve search rank, editorial coverage or safety routing.</w:t>
      </w:r>
    </w:p>
    <w:p>
      <w:pPr>
        <w:pStyle w:val="ListBullet"/>
        <w:spacing w:after="80" w:line="280" w:lineRule="auto"/>
      </w:pPr>
      <w:r>
        <w:t>Do not calculate a business case from activity metrics alone. Tie commercial expansion to consent-respecting proof of usefulness, repeat intent, safety and unit economics.</w:t>
      </w:r>
    </w:p>
    <w:p>
      <w:pPr>
        <w:pStyle w:val="Heading1"/>
      </w:pPr>
      <w:r>
        <w:t>13. The operating system needed to rank and deliver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44"/>
        <w:gridCol w:w="4968"/>
        <w:gridCol w:w="2779"/>
      </w:tblGrid>
      <w:tr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Capability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90-day deliverable</w:t>
            </w:r>
          </w:p>
        </w:tc>
        <w:tc>
          <w:tcPr>
            <w:tcW w:type="dxa" w:w="27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Owner / cadence</w:t>
            </w:r>
          </w:p>
        </w:tc>
      </w:tr>
      <w:tr>
        <w:tc>
          <w:tcPr>
            <w:tcW w:type="dxa" w:w="2044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Editorial governance</w:t>
            </w:r>
          </w:p>
        </w:tc>
        <w:tc>
          <w:tcPr>
            <w:tcW w:type="dxa" w:w="496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Claim register, source hierarchy, reviewer names, disclosures, update / correction process.</w:t>
            </w:r>
          </w:p>
        </w:tc>
        <w:tc>
          <w:tcPr>
            <w:tcW w:type="dxa" w:w="2779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Editor + subject reviewer; each publication.</w:t>
            </w:r>
          </w:p>
        </w:tc>
      </w:tr>
      <w:tr>
        <w:tc>
          <w:tcPr>
            <w:tcW w:type="dxa" w:w="2044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Search intelligence</w:t>
            </w:r>
          </w:p>
        </w:tc>
        <w:tc>
          <w:tcPr>
            <w:tcW w:type="dxa" w:w="496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Monthly query / page map: problem language, SERP type, opportunity, existing page, next asset.</w:t>
            </w:r>
          </w:p>
        </w:tc>
        <w:tc>
          <w:tcPr>
            <w:tcW w:type="dxa" w:w="2779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Growth / editorial; monthly.</w:t>
            </w:r>
          </w:p>
        </w:tc>
      </w:tr>
      <w:tr>
        <w:tc>
          <w:tcPr>
            <w:tcW w:type="dxa" w:w="2044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Practice stewardship</w:t>
            </w:r>
          </w:p>
        </w:tc>
        <w:tc>
          <w:tcPr>
            <w:tcW w:type="dxa" w:w="496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Versioned scripts, sound licenses, evidence rationale, safety exclusions and accessibility QA.</w:t>
            </w:r>
          </w:p>
        </w:tc>
        <w:tc>
          <w:tcPr>
            <w:tcW w:type="dxa" w:w="2779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Product + clinical / content reviewer; each change.</w:t>
            </w:r>
          </w:p>
        </w:tc>
      </w:tr>
      <w:tr>
        <w:tc>
          <w:tcPr>
            <w:tcW w:type="dxa" w:w="2044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Experience measurement</w:t>
            </w:r>
          </w:p>
        </w:tc>
        <w:tc>
          <w:tcPr>
            <w:tcW w:type="dxa" w:w="496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Consent-respecting event dictionary: start, choice, completion, explicit outcome, optional return—no hidden wellness score.</w:t>
            </w:r>
          </w:p>
        </w:tc>
        <w:tc>
          <w:tcPr>
            <w:tcW w:type="dxa" w:w="2779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Product / data; each release.</w:t>
            </w:r>
          </w:p>
        </w:tc>
      </w:tr>
      <w:tr>
        <w:tc>
          <w:tcPr>
            <w:tcW w:type="dxa" w:w="2044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Commerce governance</w:t>
            </w:r>
          </w:p>
        </w:tc>
        <w:tc>
          <w:tcPr>
            <w:tcW w:type="dxa" w:w="496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Claims sign-off, ingredient / material dossier, product-use boundary and checkout disclosure.</w:t>
            </w:r>
          </w:p>
        </w:tc>
        <w:tc>
          <w:tcPr>
            <w:tcW w:type="dxa" w:w="2779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Commerce + legal / clinical reviewer; each product.</w:t>
            </w:r>
          </w:p>
        </w:tc>
      </w:tr>
      <w:tr>
        <w:tc>
          <w:tcPr>
            <w:tcW w:type="dxa" w:w="2044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Directory governance</w:t>
            </w:r>
          </w:p>
        </w:tc>
        <w:tc>
          <w:tcPr>
            <w:tcW w:type="dxa" w:w="496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Eligibility rubric, verification log, disclosure policy, reporting / removal SLA and care escalation map.</w:t>
            </w:r>
          </w:p>
        </w:tc>
        <w:tc>
          <w:tcPr>
            <w:tcW w:type="dxa" w:w="2779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Directory lead + qualified advisor; before pilot.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</w:pPr>
            <w:r/>
            <w:r>
              <w:rPr>
                <w:b/>
                <w:color w:val="0B2545"/>
                <w:sz w:val="20"/>
              </w:rPr>
              <w:t xml:space="preserve">THE RANKING FLYWHEEL  </w:t>
            </w:r>
            <w:r>
              <w:rPr>
                <w:sz w:val="20"/>
              </w:rPr>
              <w:t>Useful moment pages earn qualified visits → app actions create voluntary trust → selected stories, evidence and practitioners deepen authority → deliberate products / partners fund better experiences. Ranking is a consequence of this system, not a substitute for it.</w:t>
            </w:r>
          </w:p>
        </w:tc>
      </w:tr>
    </w:tbl>
    <w:p>
      <w:pPr>
        <w:spacing w:after="40"/>
      </w:pPr>
    </w:p>
    <w:p>
      <w:pPr>
        <w:pStyle w:val="Heading1"/>
      </w:pPr>
      <w:r>
        <w:t>14. 12-month roadmap and decision gates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5400"/>
        <w:gridCol w:w="2808"/>
      </w:tblGrid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Window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Primary work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Decision gate</w:t>
            </w:r>
          </w:p>
        </w:tc>
      </w:tr>
      <w:tr>
        <w:tc>
          <w:tcPr>
            <w:tcW w:type="dxa" w:w="1584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Months 0–1</w:t>
            </w:r>
          </w:p>
        </w:tc>
        <w:tc>
          <w:tcPr>
            <w:tcW w:type="dxa" w:w="54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Freeze public promise; remove conflicting entry points; approve V1 Work → Recovery script, sound, safety copy, outcome language and commercial door decision.</w:t>
            </w:r>
          </w:p>
        </w:tc>
        <w:tc>
          <w:tcPr>
            <w:tcW w:type="dxa" w:w="280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No build until the single vertical slice has a reviewed practice and test plan.</w:t>
            </w:r>
          </w:p>
        </w:tc>
      </w:tr>
      <w:tr>
        <w:tc>
          <w:tcPr>
            <w:tcW w:type="dxa" w:w="1584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Months 1–3</w:t>
            </w:r>
          </w:p>
        </w:tc>
        <w:tc>
          <w:tcPr>
            <w:tcW w:type="dxa" w:w="54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Ship preview V1; launch 9–12 high-quality public pages; set evidence / claim register; recruit a small moderated participant test.</w:t>
            </w:r>
          </w:p>
        </w:tc>
        <w:tc>
          <w:tcPr>
            <w:tcW w:type="dxa" w:w="280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Continue only if people can start, complete and report an honest outcome without purchase pressure.</w:t>
            </w:r>
          </w:p>
        </w:tc>
      </w:tr>
      <w:tr>
        <w:tc>
          <w:tcPr>
            <w:tcW w:type="dxa" w:w="1584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Months 3–6</w:t>
            </w:r>
          </w:p>
        </w:tc>
        <w:tc>
          <w:tcPr>
            <w:tcW w:type="dxa" w:w="54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Refine the practice; establish editorial cadence; test one repeat-use mechanism; complete directory governance design; validate ritual product / practice pairing.</w:t>
            </w:r>
          </w:p>
        </w:tc>
        <w:tc>
          <w:tcPr>
            <w:tcW w:type="dxa" w:w="280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Choose the next app moment only after the first has observed usefulness and no material safety / usability failure.</w:t>
            </w:r>
          </w:p>
        </w:tc>
      </w:tr>
      <w:tr>
        <w:tc>
          <w:tcPr>
            <w:tcW w:type="dxa" w:w="1584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Months 6–9</w:t>
            </w:r>
          </w:p>
        </w:tc>
        <w:tc>
          <w:tcPr>
            <w:tcW w:type="dxa" w:w="54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Add the second app moment; pilot curated directory; pilot a bounded partner programme; build decision-grade unit economics.</w:t>
            </w:r>
          </w:p>
        </w:tc>
        <w:tc>
          <w:tcPr>
            <w:tcW w:type="dxa" w:w="280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Commercialize only the layer with proven customer value and an operational owner.</w:t>
            </w:r>
          </w:p>
        </w:tc>
      </w:tr>
      <w:tr>
        <w:tc>
          <w:tcPr>
            <w:tcW w:type="dxa" w:w="1584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Months 9–12</w:t>
            </w:r>
          </w:p>
        </w:tc>
        <w:tc>
          <w:tcPr>
            <w:tcW w:type="dxa" w:w="54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Extend app engine carefully; expand editorial clusters; decide on paid practice, B2B or directory tooling based on evidence.</w:t>
            </w:r>
          </w:p>
        </w:tc>
        <w:tc>
          <w:tcPr>
            <w:tcW w:type="dxa" w:w="280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Approve one revenue bet, not all at once; document why it earns the right to scale.</w:t>
            </w:r>
          </w:p>
        </w:tc>
      </w:tr>
    </w:tbl>
    <w:p>
      <w:pPr>
        <w:spacing w:after="40"/>
      </w:pPr>
    </w:p>
    <w:p>
      <w:pPr>
        <w:pStyle w:val="Heading1"/>
      </w:pPr>
      <w:r>
        <w:t>15. Scorecard: what to measure without becoming an engagement machine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5040"/>
        <w:gridCol w:w="3240"/>
      </w:tblGrid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Area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Leading indicators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Guardrail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Website</w:t>
            </w:r>
          </w:p>
        </w:tc>
        <w:tc>
          <w:tcPr>
            <w:tcW w:type="dxa" w:w="50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Qualified organic entries by moment; click-through to a useful next action; return to a related evidence page.</w:t>
            </w:r>
          </w:p>
        </w:tc>
        <w:tc>
          <w:tcPr>
            <w:tcW w:type="dxa" w:w="32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Do not celebrate traffic that lands on thin or mismatched content.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App</w:t>
            </w:r>
          </w:p>
        </w:tc>
        <w:tc>
          <w:tcPr>
            <w:tcW w:type="dxa" w:w="50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Start rate, successful resume, explicit completion choice, voluntary repeat of a chosen practice.</w:t>
            </w:r>
          </w:p>
        </w:tc>
        <w:tc>
          <w:tcPr>
            <w:tcW w:type="dxa" w:w="32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No inferred wellness, readiness, focus or recovery score.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Trust</w:t>
            </w:r>
          </w:p>
        </w:tc>
        <w:tc>
          <w:tcPr>
            <w:tcW w:type="dxa" w:w="50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Source completeness, disclosure coverage, correction time, safety-route success, participant-reported clarity.</w:t>
            </w:r>
          </w:p>
        </w:tc>
        <w:tc>
          <w:tcPr>
            <w:tcW w:type="dxa" w:w="32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 high conversion rate cannot outweigh a trust failure.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Commerce</w:t>
            </w:r>
          </w:p>
        </w:tc>
        <w:tc>
          <w:tcPr>
            <w:tcW w:type="dxa" w:w="50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Voluntary product exploration after practice, product / practice fit, repurchase where relevant, refund / complaint patterns.</w:t>
            </w:r>
          </w:p>
        </w:tc>
        <w:tc>
          <w:tcPr>
            <w:tcW w:type="dxa" w:w="32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Never make product purchase a practice completion metric.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Directory</w:t>
            </w:r>
          </w:p>
        </w:tc>
        <w:tc>
          <w:tcPr>
            <w:tcW w:type="dxa" w:w="50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Verified profile coverage, appropriate contact handoff, provider response / removal SLA, reported fit.</w:t>
            </w:r>
          </w:p>
        </w:tc>
        <w:tc>
          <w:tcPr>
            <w:tcW w:type="dxa" w:w="32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No paid-placement KPI in relevance or safety pathways.</w:t>
            </w:r>
          </w:p>
        </w:tc>
      </w:tr>
    </w:tbl>
    <w:p>
      <w:pPr>
        <w:spacing w:after="40"/>
      </w:pPr>
    </w:p>
    <w:p>
      <w:pPr>
        <w:pStyle w:val="Heading1"/>
      </w:pPr>
      <w:r>
        <w:t>16. The next ten decisions to make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8712"/>
      </w:tblGrid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#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Decision</w:t>
            </w:r>
          </w:p>
        </w:tc>
      </w:tr>
      <w:tr>
        <w:tc>
          <w:tcPr>
            <w:tcW w:type="dxa" w:w="64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871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Approve the single consumer promise and three public problem doors; remove or rewrite anything that conflicts.</w:t>
            </w:r>
          </w:p>
        </w:tc>
      </w:tr>
      <w:tr>
        <w:tc>
          <w:tcPr>
            <w:tcW w:type="dxa" w:w="64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871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Approve the exact Work → Recovery practice script, sound asset, timing and safety language.</w:t>
            </w:r>
          </w:p>
        </w:tc>
      </w:tr>
      <w:tr>
        <w:tc>
          <w:tcPr>
            <w:tcW w:type="dxa" w:w="64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871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Decide whether Stillness Elixir is shown after first practice completion or deferred for the test.</w:t>
            </w:r>
          </w:p>
        </w:tc>
      </w:tr>
      <w:tr>
        <w:tc>
          <w:tcPr>
            <w:tcW w:type="dxa" w:w="64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871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Name an editorial owner and an external / qualified review route for evidence and public claims.</w:t>
            </w:r>
          </w:p>
        </w:tc>
      </w:tr>
      <w:tr>
        <w:tc>
          <w:tcPr>
            <w:tcW w:type="dxa" w:w="64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871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Choose the first 9–12 website pages using a search-intent map—not a broad content calendar.</w:t>
            </w:r>
          </w:p>
        </w:tc>
      </w:tr>
      <w:tr>
        <w:tc>
          <w:tcPr>
            <w:tcW w:type="dxa" w:w="64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6</w:t>
            </w:r>
          </w:p>
        </w:tc>
        <w:tc>
          <w:tcPr>
            <w:tcW w:type="dxa" w:w="871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Set the product measurement contract and confirm which data is local-only, optional and never inferred.</w:t>
            </w:r>
          </w:p>
        </w:tc>
      </w:tr>
      <w:tr>
        <w:tc>
          <w:tcPr>
            <w:tcW w:type="dxa" w:w="64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7</w:t>
            </w:r>
          </w:p>
        </w:tc>
        <w:tc>
          <w:tcPr>
            <w:tcW w:type="dxa" w:w="871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Approve directory eligibility, verification, disclosure, escalation and removal principles before profile recruitment.</w:t>
            </w:r>
          </w:p>
        </w:tc>
      </w:tr>
      <w:tr>
        <w:tc>
          <w:tcPr>
            <w:tcW w:type="dxa" w:w="64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871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Define one repeat-use hypothesis for the app; test it without streaks, pressure or opaque reminders.</w:t>
            </w:r>
          </w:p>
        </w:tc>
      </w:tr>
      <w:tr>
        <w:tc>
          <w:tcPr>
            <w:tcW w:type="dxa" w:w="64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9</w:t>
            </w:r>
          </w:p>
        </w:tc>
        <w:tc>
          <w:tcPr>
            <w:tcW w:type="dxa" w:w="871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Select one future paid layer to investigate after V1—not a simultaneous subscription, directory and B2B launch.</w:t>
            </w:r>
          </w:p>
        </w:tc>
      </w:tr>
      <w:tr>
        <w:tc>
          <w:tcPr>
            <w:tcW w:type="dxa" w:w="648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871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Set a monthly evidence-and-learning review where product, editorial, commerce and directory decisions are reconciled.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</w:pPr>
            <w:r/>
            <w:r>
              <w:rPr>
                <w:b/>
                <w:color w:val="0B2545"/>
                <w:sz w:val="20"/>
              </w:rPr>
              <w:t xml:space="preserve">BOTTOM LINE  </w:t>
            </w:r>
            <w:r>
              <w:rPr>
                <w:sz w:val="20"/>
              </w:rPr>
              <w:t>Mirellis wins by being more specific and more trustworthy at the moment of need. Do the work that makes the system credible; then let commerce attach to usefulness instead of asking commerce to create it.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Research sources and method</w:t>
      </w:r>
    </w:p>
    <w:p>
      <w:r>
        <w:rPr>
          <w:i w:val="0"/>
        </w:rPr>
        <w:t>This report validates the supplied competition deck against current public pages. It does not estimate competitor revenue, market share, current Google rank, conversion rate or Amazon sales volume; those figures are not reliably public from the reviewed sources. Product prices and Amazon category positions are time-sensitive snapshots.</w:t>
      </w:r>
    </w:p>
    <w:p>
      <w:pPr>
        <w:spacing w:after="80"/>
      </w:pPr>
      <w:r>
        <w:rPr>
          <w:b/>
          <w:color w:val="1F4D78"/>
        </w:rPr>
        <w:t xml:space="preserve">[S1] </w:t>
      </w:r>
      <w:r>
        <w:rPr>
          <w:sz w:val="19"/>
        </w:rPr>
        <w:t>Sleep Foundation home — https://www.sleepfoundation.org/</w:t>
      </w:r>
    </w:p>
    <w:p>
      <w:pPr>
        <w:spacing w:after="80"/>
      </w:pPr>
      <w:r>
        <w:rPr>
          <w:b/>
          <w:color w:val="1F4D78"/>
        </w:rPr>
        <w:t xml:space="preserve">[S2] </w:t>
      </w:r>
      <w:r>
        <w:rPr>
          <w:sz w:val="19"/>
        </w:rPr>
        <w:t>Sleep Foundation advertising disclosure — https://www.sleepfoundation.org/about-us/advertising-disclosure</w:t>
      </w:r>
    </w:p>
    <w:p>
      <w:pPr>
        <w:spacing w:after="80"/>
      </w:pPr>
      <w:r>
        <w:rPr>
          <w:b/>
          <w:color w:val="1F4D78"/>
        </w:rPr>
        <w:t xml:space="preserve">[S3] </w:t>
      </w:r>
      <w:r>
        <w:rPr>
          <w:sz w:val="19"/>
        </w:rPr>
        <w:t>Muse home and shop — https://choosemuse.com/ ; https://choosemuse.com/pages/shop</w:t>
      </w:r>
    </w:p>
    <w:p>
      <w:pPr>
        <w:spacing w:after="80"/>
      </w:pPr>
      <w:r>
        <w:rPr>
          <w:b/>
          <w:color w:val="1F4D78"/>
        </w:rPr>
        <w:t xml:space="preserve">[S4] </w:t>
      </w:r>
      <w:r>
        <w:rPr>
          <w:sz w:val="19"/>
        </w:rPr>
        <w:t>Muse Premium subscription — https://choosemuse.com/pages/premium-subscription</w:t>
      </w:r>
    </w:p>
    <w:p>
      <w:pPr>
        <w:spacing w:after="80"/>
      </w:pPr>
      <w:r>
        <w:rPr>
          <w:b/>
          <w:color w:val="1F4D78"/>
        </w:rPr>
        <w:t xml:space="preserve">[S5] </w:t>
      </w:r>
      <w:r>
        <w:rPr>
          <w:sz w:val="19"/>
        </w:rPr>
        <w:t>Muse Connect for professionals — https://choosemuse.com/pages/muse-connect</w:t>
      </w:r>
    </w:p>
    <w:p>
      <w:pPr>
        <w:spacing w:after="80"/>
      </w:pPr>
      <w:r>
        <w:rPr>
          <w:b/>
          <w:color w:val="1F4D78"/>
        </w:rPr>
        <w:t xml:space="preserve">[S6] </w:t>
      </w:r>
      <w:r>
        <w:rPr>
          <w:sz w:val="19"/>
        </w:rPr>
        <w:t>James Clear — https://jamesclear.com/</w:t>
      </w:r>
    </w:p>
    <w:p>
      <w:pPr>
        <w:spacing w:after="80"/>
      </w:pPr>
      <w:r>
        <w:rPr>
          <w:b/>
          <w:color w:val="1F4D78"/>
        </w:rPr>
        <w:t xml:space="preserve">[S7] </w:t>
      </w:r>
      <w:r>
        <w:rPr>
          <w:sz w:val="19"/>
        </w:rPr>
        <w:t>Atoms, the official Atomic Habits app — https://atoms.jamesclear.com/</w:t>
      </w:r>
    </w:p>
    <w:p>
      <w:pPr>
        <w:spacing w:after="80"/>
      </w:pPr>
      <w:r>
        <w:rPr>
          <w:b/>
          <w:color w:val="1F4D78"/>
        </w:rPr>
        <w:t xml:space="preserve">[S8] </w:t>
      </w:r>
      <w:r>
        <w:rPr>
          <w:sz w:val="19"/>
        </w:rPr>
        <w:t>Focus To-Do — https://www.focustodo.cn/</w:t>
      </w:r>
    </w:p>
    <w:p>
      <w:pPr>
        <w:spacing w:after="80"/>
      </w:pPr>
      <w:r>
        <w:rPr>
          <w:b/>
          <w:color w:val="1F4D78"/>
        </w:rPr>
        <w:t xml:space="preserve">[S9] </w:t>
      </w:r>
      <w:r>
        <w:rPr>
          <w:sz w:val="19"/>
        </w:rPr>
        <w:t>Headspace subscription help — https://help.headspace.com/hc/en-us/articles/215758647-How-do-I-purchase-a-Headspace-subscription</w:t>
      </w:r>
    </w:p>
    <w:p>
      <w:pPr>
        <w:spacing w:after="80"/>
      </w:pPr>
      <w:r>
        <w:rPr>
          <w:b/>
          <w:color w:val="1F4D78"/>
        </w:rPr>
        <w:t xml:space="preserve">[S10] </w:t>
      </w:r>
      <w:r>
        <w:rPr>
          <w:sz w:val="19"/>
        </w:rPr>
        <w:t>Headspace clinical care and employer access — https://help.headspace.com/hc/en-us/articles/19796918529691-Clinical-Care-Costs-and-Insurance-Coverage</w:t>
      </w:r>
    </w:p>
    <w:p>
      <w:pPr>
        <w:spacing w:after="80"/>
      </w:pPr>
      <w:r>
        <w:rPr>
          <w:b/>
          <w:color w:val="1F4D78"/>
        </w:rPr>
        <w:t xml:space="preserve">[S11] </w:t>
      </w:r>
      <w:r>
        <w:rPr>
          <w:sz w:val="19"/>
        </w:rPr>
        <w:t>Amazon magnesium bestseller category — https://www.amazon.com/Best-Sellers-Magnesium-Mineral-Supplements/zgbs/hpc/3774411</w:t>
      </w:r>
    </w:p>
    <w:p>
      <w:pPr>
        <w:spacing w:after="80"/>
      </w:pPr>
      <w:r>
        <w:rPr>
          <w:b/>
          <w:color w:val="1F4D78"/>
        </w:rPr>
        <w:t xml:space="preserve">[S12] </w:t>
      </w:r>
      <w:r>
        <w:rPr>
          <w:sz w:val="19"/>
        </w:rPr>
        <w:t>Amazon ashwagandha bestseller category — https://www.amazon.com/Best-Sellers-Ashwagandha/zgbs/hpc/23777928011</w:t>
      </w:r>
    </w:p>
    <w:p>
      <w:pPr>
        <w:spacing w:after="80"/>
      </w:pPr>
      <w:r>
        <w:rPr>
          <w:b/>
          <w:color w:val="1F4D78"/>
        </w:rPr>
        <w:t xml:space="preserve">Internal </w:t>
      </w:r>
      <w:r>
        <w:rPr>
          <w:sz w:val="19"/>
        </w:rPr>
        <w:t>Mirellis Competition Research.pptx (user-supplied); docs/mirellis-public-architecture-v1.md; Mirellis App Reset — V1 Product Brief; Mirellis App — Unified V1 + V2 Pre-Build Specification v1.0.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7"/>
      </w:rPr>
      <w:t>Confidential working report  |  25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B6573"/>
        <w:sz w:val="17"/>
      </w:rPr>
      <w:t>MIRELLIS  /  STRATEGIC INTELLIGENCE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