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Calibri" w:hAnsi="Calibri"/>
          <w:b/>
          <w:color w:val="2E74B5"/>
          <w:sz w:val="18"/>
        </w:rPr>
        <w:t>MIRELLIS PRODUCT LAB</w:t>
      </w:r>
    </w:p>
    <w:p>
      <w:pPr>
        <w:spacing w:before="240" w:after="80" w:line="240" w:lineRule="auto"/>
      </w:pPr>
      <w:r>
        <w:rPr>
          <w:rFonts w:ascii="Calibri" w:hAnsi="Calibri"/>
          <w:b/>
          <w:color w:val="17324D"/>
          <w:sz w:val="56"/>
        </w:rPr>
        <w:t>Personal Observatory</w:t>
      </w:r>
    </w:p>
    <w:p>
      <w:pPr>
        <w:spacing w:before="0" w:after="280" w:line="240" w:lineRule="auto"/>
      </w:pPr>
      <w:r>
        <w:rPr>
          <w:rFonts w:ascii="Calibri" w:hAnsi="Calibri"/>
          <w:color w:val="1F4D78"/>
          <w:sz w:val="31"/>
        </w:rPr>
        <w:t>Version 4 — Private Reflection, Learning Record &amp; Self-Understanding Specification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7A5A00"/>
                <w:sz w:val="18"/>
              </w:rPr>
              <w:t xml:space="preserve">FROZEN V4 DECISION  </w:t>
            </w:r>
            <w:r>
              <w:rPr>
                <w:rFonts w:ascii="Calibri" w:hAnsi="Calibri"/>
                <w:color w:val="17324D"/>
                <w:sz w:val="21"/>
              </w:rPr>
              <w:t>The Personal Observatory gives a person a private, local-first place to revisit what they explicitly chose, noticed, tested, and learned in Mirellis. It is a record the person owns—not a score, diagnosis, behavioural profile, life log, social feed, or hidden intelligence layer.</w:t>
            </w:r>
          </w:p>
        </w:tc>
      </w:tr>
    </w:tbl>
    <w:p>
      <w:pPr>
        <w:spacing w:after="40"/>
      </w:pPr>
    </w:p>
    <w:p>
      <w:pPr>
        <w:pStyle w:val="Heading2"/>
        <w:keepNext/>
      </w:pPr>
      <w:r>
        <w:rPr>
          <w:rFonts w:ascii="Calibri" w:hAnsi="Calibri"/>
          <w:b/>
          <w:color w:val="2E74B5"/>
          <w:sz w:val="26"/>
        </w:rPr>
        <w:t>Document intent</w:t>
      </w:r>
    </w:p>
    <w:p>
      <w:pPr>
        <w:spacing w:before="0" w:after="120" w:line="264" w:lineRule="auto"/>
      </w:pPr>
      <w:r>
        <w:rPr>
          <w:rFonts w:ascii="Calibri" w:hAnsi="Calibri"/>
          <w:i w:val="0"/>
          <w:color w:val="17324D"/>
          <w:sz w:val="22"/>
        </w:rPr>
        <w:t>This is the complete product and engineering specification for Mirellis Personal Observatory. It extends the V1 learning experience, V2 Learning Intelligence Layer, V3 Curriculum Stewardship System, launch operations, and Lambda Constitution without weakening their boundaries. It specifies the user promise, objects, screens, routes, controls, privacy model, review behaviour, implementation contracts, and acceptance tests required to build Version 4.</w:t>
      </w:r>
    </w:p>
    <w:p>
      <w:pPr>
        <w:pStyle w:val="Heading2"/>
        <w:keepNext/>
      </w:pPr>
      <w:r>
        <w:rPr>
          <w:rFonts w:ascii="Calibri" w:hAnsi="Calibri"/>
          <w:b/>
          <w:color w:val="2E74B5"/>
          <w:sz w:val="26"/>
        </w:rPr>
        <w:t>Status</w:t>
      </w:r>
    </w:p>
    <w:tbl>
      <w:tblPr>
        <w:tblW w:type="dxa" w:w="9360"/>
        <w:jc w:val="left"/>
        <w:tblLayout w:type="fixed"/>
        <w:tblLook w:firstColumn="1" w:firstRow="1" w:lastColumn="0" w:lastRow="0" w:noHBand="0" w:noVBand="1" w:val="04A0"/>
        <w:tblInd w:w="120" w:type="dxa"/>
      </w:tblPr>
      <w:tblGrid>
        <w:gridCol w:w="2250"/>
        <w:gridCol w:w="7110"/>
      </w:tblGrid>
      <w:tr>
        <w:trPr>
          <w:tblHeader w:val="true"/>
          <w:cantSplit/>
        </w:trPr>
        <w:tc>
          <w:tcPr>
            <w:tcW w:type="dxa" w:w="225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Field</w:t>
            </w:r>
          </w:p>
        </w:tc>
        <w:tc>
          <w:tcPr>
            <w:tcW w:type="dxa" w:w="711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Record</w:t>
            </w:r>
          </w:p>
        </w:tc>
      </w:tr>
      <w:tr>
        <w:trPr>
          <w:cantSplit/>
        </w:trPr>
        <w:tc>
          <w:tcPr>
            <w:tcW w:type="dxa" w:w="2250"/>
            <w:tcMar>
              <w:top w:w="80" w:type="dxa"/>
              <w:start w:w="120" w:type="dxa"/>
              <w:bottom w:w="80" w:type="dxa"/>
              <w:end w:w="120" w:type="dxa"/>
            </w:tcMar>
            <w:vAlign w:val="center"/>
          </w:tcPr>
          <w:p>
            <w:pPr>
              <w:spacing w:before="0" w:after="0" w:line="252" w:lineRule="auto"/>
            </w:pPr>
            <w:r>
              <w:rPr>
                <w:rFonts w:ascii="Calibri" w:hAnsi="Calibri"/>
                <w:color w:val="17324D"/>
                <w:sz w:val="18"/>
              </w:rPr>
              <w:t>Status</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17324D"/>
                <w:sz w:val="18"/>
              </w:rPr>
              <w:t>Detailed build specification for Version 4. Product decisions in this document are intentional and bounded; changes require a versioned proposal.</w:t>
            </w:r>
          </w:p>
        </w:tc>
      </w:tr>
      <w:tr>
        <w:trPr>
          <w:cantSplit/>
        </w:trPr>
        <w:tc>
          <w:tcPr>
            <w:tcW w:type="dxa" w:w="2250"/>
            <w:tcMar>
              <w:top w:w="80" w:type="dxa"/>
              <w:start w:w="120" w:type="dxa"/>
              <w:bottom w:w="80" w:type="dxa"/>
              <w:end w:w="120" w:type="dxa"/>
            </w:tcMar>
            <w:vAlign w:val="center"/>
          </w:tcPr>
          <w:p>
            <w:pPr>
              <w:spacing w:before="0" w:after="0" w:line="252" w:lineRule="auto"/>
            </w:pPr>
            <w:r>
              <w:rPr>
                <w:rFonts w:ascii="Calibri" w:hAnsi="Calibri"/>
                <w:color w:val="17324D"/>
                <w:sz w:val="18"/>
              </w:rPr>
              <w:t>Primary user value</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17324D"/>
                <w:sz w:val="18"/>
              </w:rPr>
              <w:t>See personal learning evidence without being judged, classified, or pushed into more use.</w:t>
            </w:r>
          </w:p>
        </w:tc>
      </w:tr>
      <w:tr>
        <w:trPr>
          <w:cantSplit/>
        </w:trPr>
        <w:tc>
          <w:tcPr>
            <w:tcW w:type="dxa" w:w="2250"/>
            <w:tcMar>
              <w:top w:w="80" w:type="dxa"/>
              <w:start w:w="120" w:type="dxa"/>
              <w:bottom w:w="80" w:type="dxa"/>
              <w:end w:w="120" w:type="dxa"/>
            </w:tcMar>
            <w:vAlign w:val="center"/>
          </w:tcPr>
          <w:p>
            <w:pPr>
              <w:spacing w:before="0" w:after="0" w:line="252" w:lineRule="auto"/>
            </w:pPr>
            <w:r>
              <w:rPr>
                <w:rFonts w:ascii="Calibri" w:hAnsi="Calibri"/>
                <w:color w:val="17324D"/>
                <w:sz w:val="18"/>
              </w:rPr>
              <w:t>Source-of-truth hierarchy</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17324D"/>
                <w:sz w:val="18"/>
              </w:rPr>
              <w:t>Lambda Constitution → V1 transition specifications → V2 Learning Intelligence → V3 Curriculum Stewardship → Launch Operations → this V4 specification.</w:t>
            </w:r>
          </w:p>
        </w:tc>
      </w:tr>
      <w:tr>
        <w:trPr>
          <w:cantSplit/>
        </w:trPr>
        <w:tc>
          <w:tcPr>
            <w:tcW w:type="dxa" w:w="2250"/>
            <w:tcMar>
              <w:top w:w="80" w:type="dxa"/>
              <w:start w:w="120" w:type="dxa"/>
              <w:bottom w:w="80" w:type="dxa"/>
              <w:end w:w="120" w:type="dxa"/>
            </w:tcMar>
            <w:vAlign w:val="center"/>
          </w:tcPr>
          <w:p>
            <w:pPr>
              <w:spacing w:before="0" w:after="0" w:line="252" w:lineRule="auto"/>
            </w:pPr>
            <w:r>
              <w:rPr>
                <w:rFonts w:ascii="Calibri" w:hAnsi="Calibri"/>
                <w:color w:val="17324D"/>
                <w:sz w:val="18"/>
              </w:rPr>
              <w:t>Default storage</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17324D"/>
                <w:sz w:val="18"/>
              </w:rPr>
              <w:t>On-device and account-free for core use. Any backup, analytics, or research contribution is separate, opt-in, and purpose-limited.</w:t>
            </w:r>
          </w:p>
        </w:tc>
      </w:tr>
      <w:tr>
        <w:trPr>
          <w:cantSplit/>
        </w:trPr>
        <w:tc>
          <w:tcPr>
            <w:tcW w:type="dxa" w:w="2250"/>
            <w:tcMar>
              <w:top w:w="80" w:type="dxa"/>
              <w:start w:w="120" w:type="dxa"/>
              <w:bottom w:w="80" w:type="dxa"/>
              <w:end w:w="120" w:type="dxa"/>
            </w:tcMar>
            <w:vAlign w:val="center"/>
          </w:tcPr>
          <w:p>
            <w:pPr>
              <w:spacing w:before="0" w:after="0" w:line="252" w:lineRule="auto"/>
            </w:pPr>
            <w:r>
              <w:rPr>
                <w:rFonts w:ascii="Calibri" w:hAnsi="Calibri"/>
                <w:color w:val="17324D"/>
                <w:sz w:val="18"/>
              </w:rPr>
              <w:t>Build audience</w:t>
            </w:r>
          </w:p>
        </w:tc>
        <w:tc>
          <w:tcPr>
            <w:tcW w:type="dxa" w:w="7110"/>
            <w:tcMar>
              <w:top w:w="80" w:type="dxa"/>
              <w:start w:w="120" w:type="dxa"/>
              <w:bottom w:w="80" w:type="dxa"/>
              <w:end w:w="120" w:type="dxa"/>
            </w:tcMar>
            <w:vAlign w:val="center"/>
          </w:tcPr>
          <w:p>
            <w:pPr>
              <w:spacing w:before="0" w:after="0" w:line="252" w:lineRule="auto"/>
            </w:pPr>
            <w:r>
              <w:rPr>
                <w:rFonts w:ascii="Calibri" w:hAnsi="Calibri"/>
                <w:color w:val="17324D"/>
                <w:sz w:val="18"/>
              </w:rPr>
              <w:t>Founder, product, curriculum, design, privacy/safety, accessibility, engineering, and Claude implementation.</w:t>
            </w:r>
          </w:p>
        </w:tc>
      </w:tr>
    </w:tbl>
    <w:p>
      <w:pPr>
        <w:spacing w:after="40"/>
      </w:pPr>
    </w:p>
    <w:p>
      <w:pPr>
        <w:pStyle w:val="Heading1"/>
        <w:keepNext/>
      </w:pPr>
      <w:r>
        <w:rPr>
          <w:rFonts w:ascii="Calibri" w:hAnsi="Calibri"/>
          <w:b/>
          <w:color w:val="2E74B5"/>
          <w:sz w:val="32"/>
        </w:rPr>
        <w:t>Contents</w:t>
      </w:r>
    </w:p>
    <w:p>
      <w:pPr>
        <w:spacing w:before="0" w:after="40" w:line="264" w:lineRule="auto"/>
      </w:pPr>
      <w:r>
        <w:rPr>
          <w:rFonts w:ascii="Calibri" w:hAnsi="Calibri"/>
          <w:i w:val="0"/>
          <w:color w:val="17324D"/>
          <w:sz w:val="22"/>
        </w:rPr>
        <w:t>1. Executive decision and Version 4 boundary</w:t>
      </w:r>
    </w:p>
    <w:p>
      <w:pPr>
        <w:spacing w:before="0" w:after="40" w:line="264" w:lineRule="auto"/>
      </w:pPr>
      <w:r>
        <w:rPr>
          <w:rFonts w:ascii="Calibri" w:hAnsi="Calibri"/>
          <w:i w:val="0"/>
          <w:color w:val="17324D"/>
          <w:sz w:val="22"/>
        </w:rPr>
        <w:t>2. Product role, user promise, and exclusions</w:t>
      </w:r>
    </w:p>
    <w:p>
      <w:pPr>
        <w:spacing w:before="0" w:after="40" w:line="264" w:lineRule="auto"/>
      </w:pPr>
      <w:r>
        <w:rPr>
          <w:rFonts w:ascii="Calibri" w:hAnsi="Calibri"/>
          <w:i w:val="0"/>
          <w:color w:val="17324D"/>
          <w:sz w:val="22"/>
        </w:rPr>
        <w:t>3. Observatory architecture and personal objects</w:t>
      </w:r>
    </w:p>
    <w:p>
      <w:pPr>
        <w:spacing w:before="0" w:after="40" w:line="264" w:lineRule="auto"/>
      </w:pPr>
      <w:r>
        <w:rPr>
          <w:rFonts w:ascii="Calibri" w:hAnsi="Calibri"/>
          <w:i w:val="0"/>
          <w:color w:val="17324D"/>
          <w:sz w:val="22"/>
        </w:rPr>
        <w:t>4. Reflection design and learning-record policy</w:t>
      </w:r>
    </w:p>
    <w:p>
      <w:pPr>
        <w:spacing w:before="0" w:after="40" w:line="264" w:lineRule="auto"/>
      </w:pPr>
      <w:r>
        <w:rPr>
          <w:rFonts w:ascii="Calibri" w:hAnsi="Calibri"/>
          <w:i w:val="0"/>
          <w:color w:val="17324D"/>
          <w:sz w:val="22"/>
        </w:rPr>
        <w:t>5. Self-understanding without hidden interpretation</w:t>
      </w:r>
    </w:p>
    <w:p>
      <w:pPr>
        <w:spacing w:before="0" w:after="40" w:line="264" w:lineRule="auto"/>
      </w:pPr>
      <w:r>
        <w:rPr>
          <w:rFonts w:ascii="Calibri" w:hAnsi="Calibri"/>
          <w:i w:val="0"/>
          <w:color w:val="17324D"/>
          <w:sz w:val="22"/>
        </w:rPr>
        <w:t>6. Information architecture and end-to-end flows</w:t>
      </w:r>
    </w:p>
    <w:p>
      <w:pPr>
        <w:spacing w:before="0" w:after="40" w:line="264" w:lineRule="auto"/>
      </w:pPr>
      <w:r>
        <w:rPr>
          <w:rFonts w:ascii="Calibri" w:hAnsi="Calibri"/>
          <w:i w:val="0"/>
          <w:color w:val="17324D"/>
          <w:sz w:val="22"/>
        </w:rPr>
        <w:t>7. Screen-by-screen product specification</w:t>
      </w:r>
    </w:p>
    <w:p>
      <w:pPr>
        <w:spacing w:before="0" w:after="40" w:line="264" w:lineRule="auto"/>
      </w:pPr>
      <w:r>
        <w:rPr>
          <w:rFonts w:ascii="Calibri" w:hAnsi="Calibri"/>
          <w:i w:val="0"/>
          <w:color w:val="17324D"/>
          <w:sz w:val="22"/>
        </w:rPr>
        <w:t>8. Interaction, voice, and accessibility requirements</w:t>
      </w:r>
    </w:p>
    <w:p>
      <w:pPr>
        <w:spacing w:before="0" w:after="40" w:line="264" w:lineRule="auto"/>
      </w:pPr>
      <w:r>
        <w:rPr>
          <w:rFonts w:ascii="Calibri" w:hAnsi="Calibri"/>
          <w:i w:val="0"/>
          <w:color w:val="17324D"/>
          <w:sz w:val="22"/>
        </w:rPr>
        <w:t>9. Personal controls, consent, privacy, and safety</w:t>
      </w:r>
    </w:p>
    <w:p>
      <w:pPr>
        <w:spacing w:before="0" w:after="40" w:line="264" w:lineRule="auto"/>
      </w:pPr>
      <w:r>
        <w:rPr>
          <w:rFonts w:ascii="Calibri" w:hAnsi="Calibri"/>
          <w:i w:val="0"/>
          <w:color w:val="17324D"/>
          <w:sz w:val="22"/>
        </w:rPr>
        <w:t>10. V2 route-engine and V3 stewardship integration</w:t>
      </w:r>
    </w:p>
    <w:p>
      <w:pPr>
        <w:spacing w:before="0" w:after="40" w:line="264" w:lineRule="auto"/>
      </w:pPr>
      <w:r>
        <w:rPr>
          <w:rFonts w:ascii="Calibri" w:hAnsi="Calibri"/>
          <w:i w:val="0"/>
          <w:color w:val="17324D"/>
          <w:sz w:val="22"/>
        </w:rPr>
        <w:t>11. Claude implementation architecture and contracts</w:t>
      </w:r>
    </w:p>
    <w:p>
      <w:pPr>
        <w:spacing w:before="0" w:after="40" w:line="264" w:lineRule="auto"/>
      </w:pPr>
      <w:r>
        <w:rPr>
          <w:rFonts w:ascii="Calibri" w:hAnsi="Calibri"/>
          <w:i w:val="0"/>
          <w:color w:val="17324D"/>
          <w:sz w:val="22"/>
        </w:rPr>
        <w:t>12. QA, release governance, acceptance criteria, and V4 freeze</w:t>
      </w:r>
    </w:p>
    <w:p>
      <w:pPr>
        <w:pStyle w:val="Heading1"/>
        <w:keepNext/>
      </w:pPr>
      <w:r>
        <w:rPr>
          <w:rFonts w:ascii="Calibri" w:hAnsi="Calibri"/>
          <w:b/>
          <w:color w:val="2E74B5"/>
          <w:sz w:val="32"/>
        </w:rPr>
        <w:t>1. Executive decision and Version 4 boundary</w:t>
      </w:r>
    </w:p>
    <w:p>
      <w:pPr>
        <w:pStyle w:val="Heading2"/>
        <w:keepNext/>
      </w:pPr>
      <w:r>
        <w:rPr>
          <w:rFonts w:ascii="Calibri" w:hAnsi="Calibri"/>
          <w:b/>
          <w:color w:val="2E74B5"/>
          <w:sz w:val="26"/>
        </w:rPr>
        <w:t>1.1 The Version 4 decision</w:t>
      </w:r>
    </w:p>
    <w:p>
      <w:pPr>
        <w:spacing w:before="0" w:after="120" w:line="264" w:lineRule="auto"/>
      </w:pPr>
      <w:r>
        <w:rPr>
          <w:rFonts w:ascii="Calibri" w:hAnsi="Calibri"/>
          <w:i w:val="0"/>
          <w:color w:val="17324D"/>
          <w:sz w:val="22"/>
        </w:rPr>
        <w:t>Mirellis already provides small, voluntary learning experiences and a transparent route engine. Version 4 adds the Personal Observatory: a private review surface where the person can revisit their own explicit learning record, keep or change a cue, recognize an emerging pattern in material they can see, and choose whether to use Mirellis or proceed without it. It does not create a new way for the company to infer the person.</w:t>
      </w:r>
    </w:p>
    <w:p>
      <w:pPr>
        <w:pStyle w:val="Heading2"/>
        <w:keepNext/>
      </w:pPr>
      <w:r>
        <w:rPr>
          <w:rFonts w:ascii="Calibri" w:hAnsi="Calibri"/>
          <w:b/>
          <w:color w:val="2E74B5"/>
          <w:sz w:val="26"/>
        </w:rPr>
        <w:t>1.2 Why the Observatory exists</w:t>
      </w:r>
    </w:p>
    <w:tbl>
      <w:tblPr>
        <w:tblW w:type="dxa" w:w="9360"/>
        <w:jc w:val="left"/>
        <w:tblLayout w:type="fixed"/>
        <w:tblLook w:firstColumn="1" w:firstRow="1" w:lastColumn="0" w:lastRow="0" w:noHBand="0" w:noVBand="1" w:val="04A0"/>
        <w:tblInd w:w="120" w:type="dxa"/>
      </w:tblPr>
      <w:tblGrid>
        <w:gridCol w:w="2500"/>
        <w:gridCol w:w="3980"/>
        <w:gridCol w:w="2880"/>
      </w:tblGrid>
      <w:tr>
        <w:trPr>
          <w:tblHeader w:val="true"/>
          <w:cantSplit/>
        </w:trPr>
        <w:tc>
          <w:tcPr>
            <w:tcW w:type="dxa" w:w="25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Observed product need</w:t>
            </w:r>
          </w:p>
        </w:tc>
        <w:tc>
          <w:tcPr>
            <w:tcW w:type="dxa" w:w="39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V4 response</w:t>
            </w:r>
          </w:p>
        </w:tc>
        <w:tc>
          <w:tcPr>
            <w:tcW w:type="dxa" w:w="28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Boundary</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17324D"/>
                <w:sz w:val="17"/>
              </w:rPr>
              <w:t>A small experience can be useful, but its learning can disappear after quiet completion.</w:t>
            </w:r>
          </w:p>
        </w:tc>
        <w:tc>
          <w:tcPr>
            <w:tcW w:type="dxa" w:w="3980"/>
            <w:tcMar>
              <w:top w:w="80" w:type="dxa"/>
              <w:start w:w="120" w:type="dxa"/>
              <w:bottom w:w="80" w:type="dxa"/>
              <w:end w:w="120" w:type="dxa"/>
            </w:tcMar>
            <w:vAlign w:val="center"/>
          </w:tcPr>
          <w:p>
            <w:pPr>
              <w:spacing w:before="0" w:after="0" w:line="252" w:lineRule="auto"/>
            </w:pPr>
            <w:r>
              <w:rPr>
                <w:rFonts w:ascii="Calibri" w:hAnsi="Calibri"/>
                <w:color w:val="17324D"/>
                <w:sz w:val="17"/>
              </w:rPr>
              <w:t>Preserve an optional, readable record of what the person explicitly selected, completed, skipped, or said fit.</w:t>
            </w:r>
          </w:p>
        </w:tc>
        <w:tc>
          <w:tcPr>
            <w:tcW w:type="dxa" w:w="2880"/>
            <w:tcMar>
              <w:top w:w="80" w:type="dxa"/>
              <w:start w:w="120" w:type="dxa"/>
              <w:bottom w:w="80" w:type="dxa"/>
              <w:end w:w="120" w:type="dxa"/>
            </w:tcMar>
            <w:vAlign w:val="center"/>
          </w:tcPr>
          <w:p>
            <w:pPr>
              <w:spacing w:before="0" w:after="0" w:line="252" w:lineRule="auto"/>
            </w:pPr>
            <w:r>
              <w:rPr>
                <w:rFonts w:ascii="Calibri" w:hAnsi="Calibri"/>
                <w:color w:val="17324D"/>
                <w:sz w:val="17"/>
              </w:rPr>
              <w:t>The record is not a performance history or progress score.</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17324D"/>
                <w:sz w:val="17"/>
              </w:rPr>
              <w:t>A person may want to reuse a cue without repeating a full lesson.</w:t>
            </w:r>
          </w:p>
        </w:tc>
        <w:tc>
          <w:tcPr>
            <w:tcW w:type="dxa" w:w="3980"/>
            <w:tcMar>
              <w:top w:w="80" w:type="dxa"/>
              <w:start w:w="120" w:type="dxa"/>
              <w:bottom w:w="80" w:type="dxa"/>
              <w:end w:w="120" w:type="dxa"/>
            </w:tcMar>
            <w:vAlign w:val="center"/>
          </w:tcPr>
          <w:p>
            <w:pPr>
              <w:spacing w:before="0" w:after="0" w:line="252" w:lineRule="auto"/>
            </w:pPr>
            <w:r>
              <w:rPr>
                <w:rFonts w:ascii="Calibri" w:hAnsi="Calibri"/>
                <w:color w:val="17324D"/>
                <w:sz w:val="17"/>
              </w:rPr>
              <w:t>Let the person save, reorder, edit, and use their own cue route.</w:t>
            </w:r>
          </w:p>
        </w:tc>
        <w:tc>
          <w:tcPr>
            <w:tcW w:type="dxa" w:w="2880"/>
            <w:tcMar>
              <w:top w:w="80" w:type="dxa"/>
              <w:start w:w="120" w:type="dxa"/>
              <w:bottom w:w="80" w:type="dxa"/>
              <w:end w:w="120" w:type="dxa"/>
            </w:tcMar>
            <w:vAlign w:val="center"/>
          </w:tcPr>
          <w:p>
            <w:pPr>
              <w:spacing w:before="0" w:after="0" w:line="252" w:lineRule="auto"/>
            </w:pPr>
            <w:r>
              <w:rPr>
                <w:rFonts w:ascii="Calibri" w:hAnsi="Calibri"/>
                <w:color w:val="17324D"/>
                <w:sz w:val="17"/>
              </w:rPr>
              <w:t>The app cannot silently turn a cue into a routine or a requirement.</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17324D"/>
                <w:sz w:val="17"/>
              </w:rPr>
              <w:t>A person may notice repeated moments across transitions.</w:t>
            </w:r>
          </w:p>
        </w:tc>
        <w:tc>
          <w:tcPr>
            <w:tcW w:type="dxa" w:w="3980"/>
            <w:tcMar>
              <w:top w:w="80" w:type="dxa"/>
              <w:start w:w="120" w:type="dxa"/>
              <w:bottom w:w="80" w:type="dxa"/>
              <w:end w:w="120" w:type="dxa"/>
            </w:tcMar>
            <w:vAlign w:val="center"/>
          </w:tcPr>
          <w:p>
            <w:pPr>
              <w:spacing w:before="0" w:after="0" w:line="252" w:lineRule="auto"/>
            </w:pPr>
            <w:r>
              <w:rPr>
                <w:rFonts w:ascii="Calibri" w:hAnsi="Calibri"/>
                <w:color w:val="17324D"/>
                <w:sz w:val="17"/>
              </w:rPr>
              <w:t>Offer a review that surfaces only visible, user-owned records and questions.</w:t>
            </w:r>
          </w:p>
        </w:tc>
        <w:tc>
          <w:tcPr>
            <w:tcW w:type="dxa" w:w="2880"/>
            <w:tcMar>
              <w:top w:w="80" w:type="dxa"/>
              <w:start w:w="120" w:type="dxa"/>
              <w:bottom w:w="80" w:type="dxa"/>
              <w:end w:w="120" w:type="dxa"/>
            </w:tcMar>
            <w:vAlign w:val="center"/>
          </w:tcPr>
          <w:p>
            <w:pPr>
              <w:spacing w:before="0" w:after="0" w:line="252" w:lineRule="auto"/>
            </w:pPr>
            <w:r>
              <w:rPr>
                <w:rFonts w:ascii="Calibri" w:hAnsi="Calibri"/>
                <w:color w:val="17324D"/>
                <w:sz w:val="17"/>
              </w:rPr>
              <w:t>No automatic personality, wellbeing, mood, sleep, or productivity interpretation.</w:t>
            </w:r>
          </w:p>
        </w:tc>
      </w:tr>
      <w:tr>
        <w:trPr>
          <w:cantSplit/>
        </w:trPr>
        <w:tc>
          <w:tcPr>
            <w:tcW w:type="dxa" w:w="2500"/>
            <w:tcMar>
              <w:top w:w="80" w:type="dxa"/>
              <w:start w:w="120" w:type="dxa"/>
              <w:bottom w:w="80" w:type="dxa"/>
              <w:end w:w="120" w:type="dxa"/>
            </w:tcMar>
            <w:vAlign w:val="center"/>
          </w:tcPr>
          <w:p>
            <w:pPr>
              <w:spacing w:before="0" w:after="0" w:line="252" w:lineRule="auto"/>
            </w:pPr>
            <w:r>
              <w:rPr>
                <w:rFonts w:ascii="Calibri" w:hAnsi="Calibri"/>
                <w:color w:val="17324D"/>
                <w:sz w:val="17"/>
              </w:rPr>
              <w:t>Trust requires control over personal material.</w:t>
            </w:r>
          </w:p>
        </w:tc>
        <w:tc>
          <w:tcPr>
            <w:tcW w:type="dxa" w:w="3980"/>
            <w:tcMar>
              <w:top w:w="80" w:type="dxa"/>
              <w:start w:w="120" w:type="dxa"/>
              <w:bottom w:w="80" w:type="dxa"/>
              <w:end w:w="120" w:type="dxa"/>
            </w:tcMar>
            <w:vAlign w:val="center"/>
          </w:tcPr>
          <w:p>
            <w:pPr>
              <w:spacing w:before="0" w:after="0" w:line="252" w:lineRule="auto"/>
            </w:pPr>
            <w:r>
              <w:rPr>
                <w:rFonts w:ascii="Calibri" w:hAnsi="Calibri"/>
                <w:color w:val="17324D"/>
                <w:sz w:val="17"/>
              </w:rPr>
              <w:t>Provide local review, export, selective deletion, full reset, and separate permissions.</w:t>
            </w:r>
          </w:p>
        </w:tc>
        <w:tc>
          <w:tcPr>
            <w:tcW w:type="dxa" w:w="2880"/>
            <w:tcMar>
              <w:top w:w="80" w:type="dxa"/>
              <w:start w:w="120" w:type="dxa"/>
              <w:bottom w:w="80" w:type="dxa"/>
              <w:end w:w="120" w:type="dxa"/>
            </w:tcMar>
            <w:vAlign w:val="center"/>
          </w:tcPr>
          <w:p>
            <w:pPr>
              <w:spacing w:before="0" w:after="0" w:line="252" w:lineRule="auto"/>
            </w:pPr>
            <w:r>
              <w:rPr>
                <w:rFonts w:ascii="Calibri" w:hAnsi="Calibri"/>
                <w:color w:val="17324D"/>
                <w:sz w:val="17"/>
              </w:rPr>
              <w:t>No account requirement, automatic cloud sync, or default research use.</w:t>
            </w:r>
          </w:p>
        </w:tc>
      </w:tr>
    </w:tbl>
    <w:p>
      <w:pPr>
        <w:spacing w:after="40"/>
      </w:pPr>
    </w:p>
    <w:p>
      <w:pPr>
        <w:pStyle w:val="Heading2"/>
        <w:keepNext/>
      </w:pPr>
      <w:r>
        <w:rPr>
          <w:rFonts w:ascii="Calibri" w:hAnsi="Calibri"/>
          <w:b/>
          <w:color w:val="2E74B5"/>
          <w:sz w:val="26"/>
        </w:rPr>
        <w:t>1.3 V4 product promise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2E74B5"/>
                <w:sz w:val="18"/>
              </w:rPr>
              <w:t xml:space="preserve">PRODUCT PROMISE  </w:t>
            </w:r>
            <w:r>
              <w:rPr>
                <w:rFonts w:ascii="Calibri" w:hAnsi="Calibri"/>
                <w:color w:val="17324D"/>
                <w:sz w:val="21"/>
              </w:rPr>
              <w:t>Mirellis can say: “This is the record you created. You can revisit it, change it, remove it, or use it without us.” It cannot say: “Here is what your data says about you,” “We have detected a pattern in your health or mood,” or “This is the right route for your life.”</w:t>
            </w:r>
          </w:p>
        </w:tc>
      </w:tr>
    </w:tbl>
    <w:p>
      <w:pPr>
        <w:spacing w:after="40"/>
      </w:pPr>
    </w:p>
    <w:p>
      <w:pPr>
        <w:pStyle w:val="Heading2"/>
        <w:keepNext/>
      </w:pPr>
      <w:r>
        <w:rPr>
          <w:rFonts w:ascii="Calibri" w:hAnsi="Calibri"/>
          <w:b/>
          <w:color w:val="2E74B5"/>
          <w:sz w:val="26"/>
        </w:rPr>
        <w:t>1.4 V4 is and is not</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V4 is</w:t>
            </w:r>
          </w:p>
        </w:tc>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V4 is not</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local learning record; a reflection surface; a private cue library; a user-directed review tool; a legible evidence-control interface; a way to practice self-guidance.</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journal replacement, quantified-self dashboard, mood tracker, habit tracker, health monitor, therapeutic record, personal CRM, productivity system, social product, algorithmic life coach, or AI companion.</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place to notice what one explicitly wrote or chose in a Mirellis context.</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permission to collect a complete autobiography, background data, private messages, calendar, location, biometrics, browsing history, or app-use behaviour.</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place where a user may create a personal interpretation.</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A system that converts a user’s reflections into a diagnosis, trait, score, risk category, or commercial audience.</w:t>
            </w:r>
          </w:p>
        </w:tc>
      </w:tr>
    </w:tbl>
    <w:p>
      <w:pPr>
        <w:spacing w:after="40"/>
      </w:pPr>
    </w:p>
    <w:p>
      <w:pPr>
        <w:pStyle w:val="Heading2"/>
        <w:keepNext/>
      </w:pPr>
      <w:r>
        <w:rPr>
          <w:rFonts w:ascii="Calibri" w:hAnsi="Calibri"/>
          <w:b/>
          <w:color w:val="2E74B5"/>
          <w:sz w:val="26"/>
        </w:rPr>
        <w:t>1.5 Release boundary</w:t>
      </w:r>
    </w:p>
    <w:p>
      <w:pPr>
        <w:spacing w:before="0" w:after="120" w:line="264" w:lineRule="auto"/>
      </w:pPr>
      <w:r>
        <w:rPr>
          <w:rFonts w:ascii="Calibri" w:hAnsi="Calibri"/>
          <w:i w:val="0"/>
          <w:color w:val="17324D"/>
          <w:sz w:val="22"/>
        </w:rPr>
        <w:t>V4 is released only as an extension of approved Mirellis transitions. It may display records generated by completed or voluntarily saved experiences, but it cannot change a transition’s curriculum, route eligibility, safety handling, or claims. It reads from the permitted local evidence model; it does not broaden that model.</w:t>
      </w:r>
    </w:p>
    <w:p>
      <w:pPr>
        <w:pStyle w:val="Heading1"/>
        <w:keepNext/>
      </w:pPr>
      <w:r>
        <w:rPr>
          <w:rFonts w:ascii="Calibri" w:hAnsi="Calibri"/>
          <w:b/>
          <w:color w:val="2E74B5"/>
          <w:sz w:val="32"/>
        </w:rPr>
        <w:t>2. Product role, user promise, and exclusions</w:t>
      </w:r>
    </w:p>
    <w:p>
      <w:pPr>
        <w:pStyle w:val="Heading2"/>
        <w:keepNext/>
      </w:pPr>
      <w:r>
        <w:rPr>
          <w:rFonts w:ascii="Calibri" w:hAnsi="Calibri"/>
          <w:b/>
          <w:color w:val="2E74B5"/>
          <w:sz w:val="26"/>
        </w:rPr>
        <w:t>2.1 The Personal Observatory relationship</w:t>
      </w:r>
    </w:p>
    <w:p>
      <w:pPr>
        <w:spacing w:before="0" w:after="120" w:line="264" w:lineRule="auto"/>
      </w:pPr>
      <w:r>
        <w:rPr>
          <w:rFonts w:ascii="Calibri" w:hAnsi="Calibri"/>
          <w:i w:val="0"/>
          <w:color w:val="17324D"/>
          <w:sz w:val="22"/>
        </w:rPr>
        <w:t>The experience runner is where a person tests one small belief in a real moment. The Personal Observatory is where they may return later and ask, “What did I notice? What have I chosen before? What would I like to keep, change, or leave behind?” The runner creates a moment; the Observatory protects the person’s ownership of that moment.</w:t>
      </w:r>
    </w:p>
    <w:p>
      <w:pPr>
        <w:pStyle w:val="Heading2"/>
        <w:keepNext/>
      </w:pPr>
      <w:r>
        <w:rPr>
          <w:rFonts w:ascii="Calibri" w:hAnsi="Calibri"/>
          <w:b/>
          <w:color w:val="2E74B5"/>
          <w:sz w:val="26"/>
        </w:rPr>
        <w:t>2.2 Core design principles</w:t>
      </w:r>
    </w:p>
    <w:p>
      <w:pPr>
        <w:spacing w:before="0" w:after="100" w:line="264" w:lineRule="auto"/>
      </w:pPr>
      <w:r>
        <w:rPr>
          <w:rFonts w:ascii="Calibri" w:hAnsi="Calibri"/>
          <w:b/>
          <w:color w:val="17324D"/>
          <w:sz w:val="22"/>
        </w:rPr>
        <w:t xml:space="preserve">Private before useful: </w:t>
      </w:r>
      <w:r>
        <w:rPr>
          <w:rFonts w:ascii="Calibri" w:hAnsi="Calibri"/>
          <w:color w:val="17324D"/>
          <w:sz w:val="22"/>
        </w:rPr>
        <w:t>Core review must remain private and available without creating an account. A useful feature that requires surveillance does not belong in V4.</w:t>
      </w:r>
    </w:p>
    <w:p>
      <w:pPr>
        <w:spacing w:before="0" w:after="100" w:line="264" w:lineRule="auto"/>
      </w:pPr>
      <w:r>
        <w:rPr>
          <w:rFonts w:ascii="Calibri" w:hAnsi="Calibri"/>
          <w:b/>
          <w:color w:val="17324D"/>
          <w:sz w:val="22"/>
        </w:rPr>
        <w:t xml:space="preserve">Record before interpretation: </w:t>
      </w:r>
      <w:r>
        <w:rPr>
          <w:rFonts w:ascii="Calibri" w:hAnsi="Calibri"/>
          <w:color w:val="17324D"/>
          <w:sz w:val="22"/>
        </w:rPr>
        <w:t>Show the actual event, cue, reflection, and date before offering any review question. The app cannot hide the source behind a conclusion.</w:t>
      </w:r>
    </w:p>
    <w:p>
      <w:pPr>
        <w:spacing w:before="0" w:after="100" w:line="264" w:lineRule="auto"/>
      </w:pPr>
      <w:r>
        <w:rPr>
          <w:rFonts w:ascii="Calibri" w:hAnsi="Calibri"/>
          <w:b/>
          <w:color w:val="17324D"/>
          <w:sz w:val="22"/>
        </w:rPr>
        <w:t xml:space="preserve">Question before conclusion: </w:t>
      </w:r>
      <w:r>
        <w:rPr>
          <w:rFonts w:ascii="Calibri" w:hAnsi="Calibri"/>
          <w:color w:val="17324D"/>
          <w:sz w:val="22"/>
        </w:rPr>
        <w:t>Use open, non-leading prompts such as “What do you notice across these moments?” rather than pattern labels or “insights.”</w:t>
      </w:r>
    </w:p>
    <w:p>
      <w:pPr>
        <w:spacing w:before="0" w:after="100" w:line="264" w:lineRule="auto"/>
      </w:pPr>
      <w:r>
        <w:rPr>
          <w:rFonts w:ascii="Calibri" w:hAnsi="Calibri"/>
          <w:b/>
          <w:color w:val="17324D"/>
          <w:sz w:val="22"/>
        </w:rPr>
        <w:t xml:space="preserve">Person decides the meaning: </w:t>
      </w:r>
      <w:r>
        <w:rPr>
          <w:rFonts w:ascii="Calibri" w:hAnsi="Calibri"/>
          <w:color w:val="17324D"/>
          <w:sz w:val="22"/>
        </w:rPr>
        <w:t>The person may save a note, mark a cue as useful, remove it, or decide it means nothing. There is no correct reflection.</w:t>
      </w:r>
    </w:p>
    <w:p>
      <w:pPr>
        <w:spacing w:before="0" w:after="100" w:line="264" w:lineRule="auto"/>
      </w:pPr>
      <w:r>
        <w:rPr>
          <w:rFonts w:ascii="Calibri" w:hAnsi="Calibri"/>
          <w:b/>
          <w:color w:val="17324D"/>
          <w:sz w:val="22"/>
        </w:rPr>
        <w:t xml:space="preserve">Self-guidance before return: </w:t>
      </w:r>
      <w:r>
        <w:rPr>
          <w:rFonts w:ascii="Calibri" w:hAnsi="Calibri"/>
          <w:color w:val="17324D"/>
          <w:sz w:val="22"/>
        </w:rPr>
        <w:t>The Observatory always supports “Use without Mirellis” and treats less app use as a valid outcome.</w:t>
      </w:r>
    </w:p>
    <w:p>
      <w:pPr>
        <w:spacing w:before="0" w:after="100" w:line="264" w:lineRule="auto"/>
      </w:pPr>
      <w:r>
        <w:rPr>
          <w:rFonts w:ascii="Calibri" w:hAnsi="Calibri"/>
          <w:b/>
          <w:color w:val="17324D"/>
          <w:sz w:val="22"/>
        </w:rPr>
        <w:t xml:space="preserve">Minimum memory: </w:t>
      </w:r>
      <w:r>
        <w:rPr>
          <w:rFonts w:ascii="Calibri" w:hAnsi="Calibri"/>
          <w:color w:val="17324D"/>
          <w:sz w:val="22"/>
        </w:rPr>
        <w:t>Retain only the smallest personal record required to perform the chosen function. Data that is not needed for a visible feature is not stored.</w:t>
      </w:r>
    </w:p>
    <w:p>
      <w:pPr>
        <w:pStyle w:val="Heading2"/>
        <w:keepNext/>
      </w:pPr>
      <w:r>
        <w:rPr>
          <w:rFonts w:ascii="Calibri" w:hAnsi="Calibri"/>
          <w:b/>
          <w:color w:val="2E74B5"/>
          <w:sz w:val="26"/>
        </w:rPr>
        <w:t>2.3 Exclusions are product requirements</w:t>
      </w:r>
    </w:p>
    <w:tbl>
      <w:tblPr>
        <w:tblW w:type="dxa" w:w="9360"/>
        <w:jc w:val="left"/>
        <w:tblLayout w:type="fixed"/>
        <w:tblLook w:firstColumn="1" w:firstRow="1" w:lastColumn="0" w:lastRow="0" w:noHBand="0" w:noVBand="1" w:val="04A0"/>
        <w:tblInd w:w="120" w:type="dxa"/>
      </w:tblPr>
      <w:tblGrid>
        <w:gridCol w:w="4150"/>
        <w:gridCol w:w="5210"/>
      </w:tblGrid>
      <w:tr>
        <w:trPr>
          <w:tblHeader w:val="true"/>
          <w:cantSplit/>
        </w:trPr>
        <w:tc>
          <w:tcPr>
            <w:tcW w:type="dxa" w:w="41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Do not add</w:t>
            </w:r>
          </w:p>
        </w:tc>
        <w:tc>
          <w:tcPr>
            <w:tcW w:type="dxa" w:w="521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Why it is prohibited in V4</w:t>
            </w:r>
          </w:p>
        </w:tc>
      </w:tr>
      <w:tr>
        <w:trPr>
          <w:cantSplit/>
        </w:trPr>
        <w:tc>
          <w:tcPr>
            <w:tcW w:type="dxa" w:w="4150"/>
            <w:tcMar>
              <w:top w:w="80" w:type="dxa"/>
              <w:start w:w="120" w:type="dxa"/>
              <w:bottom w:w="80" w:type="dxa"/>
              <w:end w:w="120" w:type="dxa"/>
            </w:tcMar>
            <w:vAlign w:val="center"/>
          </w:tcPr>
          <w:p>
            <w:pPr>
              <w:spacing w:before="0" w:after="0" w:line="252" w:lineRule="auto"/>
            </w:pPr>
            <w:r>
              <w:rPr>
                <w:rFonts w:ascii="Calibri" w:hAnsi="Calibri"/>
                <w:color w:val="17324D"/>
                <w:sz w:val="17"/>
              </w:rPr>
              <w:t>Scores, streaks, completion percentages, trends framed as improvement, badges, rankings, or “best day” comparisons</w:t>
            </w:r>
          </w:p>
        </w:tc>
        <w:tc>
          <w:tcPr>
            <w:tcW w:type="dxa" w:w="5210"/>
            <w:tcMar>
              <w:top w:w="80" w:type="dxa"/>
              <w:start w:w="120" w:type="dxa"/>
              <w:bottom w:w="80" w:type="dxa"/>
              <w:end w:w="120" w:type="dxa"/>
            </w:tcMar>
            <w:vAlign w:val="center"/>
          </w:tcPr>
          <w:p>
            <w:pPr>
              <w:spacing w:before="0" w:after="0" w:line="252" w:lineRule="auto"/>
            </w:pPr>
            <w:r>
              <w:rPr>
                <w:rFonts w:ascii="Calibri" w:hAnsi="Calibri"/>
                <w:color w:val="17324D"/>
                <w:sz w:val="17"/>
              </w:rPr>
              <w:t>They turn a private learning record into a compliance and engagement system.</w:t>
            </w:r>
          </w:p>
        </w:tc>
      </w:tr>
      <w:tr>
        <w:trPr>
          <w:cantSplit/>
        </w:trPr>
        <w:tc>
          <w:tcPr>
            <w:tcW w:type="dxa" w:w="4150"/>
            <w:tcMar>
              <w:top w:w="80" w:type="dxa"/>
              <w:start w:w="120" w:type="dxa"/>
              <w:bottom w:w="80" w:type="dxa"/>
              <w:end w:w="120" w:type="dxa"/>
            </w:tcMar>
            <w:vAlign w:val="center"/>
          </w:tcPr>
          <w:p>
            <w:pPr>
              <w:spacing w:before="0" w:after="0" w:line="252" w:lineRule="auto"/>
            </w:pPr>
            <w:r>
              <w:rPr>
                <w:rFonts w:ascii="Calibri" w:hAnsi="Calibri"/>
                <w:color w:val="17324D"/>
                <w:sz w:val="17"/>
              </w:rPr>
              <w:t>Automatic sentiment analysis, themes, labels, mood detection, sleep analysis, focus score, wellbeing score, or mental-health classification</w:t>
            </w:r>
          </w:p>
        </w:tc>
        <w:tc>
          <w:tcPr>
            <w:tcW w:type="dxa" w:w="5210"/>
            <w:tcMar>
              <w:top w:w="80" w:type="dxa"/>
              <w:start w:w="120" w:type="dxa"/>
              <w:bottom w:w="80" w:type="dxa"/>
              <w:end w:w="120" w:type="dxa"/>
            </w:tcMar>
            <w:vAlign w:val="center"/>
          </w:tcPr>
          <w:p>
            <w:pPr>
              <w:spacing w:before="0" w:after="0" w:line="252" w:lineRule="auto"/>
            </w:pPr>
            <w:r>
              <w:rPr>
                <w:rFonts w:ascii="Calibri" w:hAnsi="Calibri"/>
                <w:color w:val="17324D"/>
                <w:sz w:val="17"/>
              </w:rPr>
              <w:t>They make a hidden or overconfident claim about the person from incomplete material.</w:t>
            </w:r>
          </w:p>
        </w:tc>
      </w:tr>
      <w:tr>
        <w:trPr>
          <w:cantSplit/>
        </w:trPr>
        <w:tc>
          <w:tcPr>
            <w:tcW w:type="dxa" w:w="4150"/>
            <w:tcMar>
              <w:top w:w="80" w:type="dxa"/>
              <w:start w:w="120" w:type="dxa"/>
              <w:bottom w:w="80" w:type="dxa"/>
              <w:end w:w="120" w:type="dxa"/>
            </w:tcMar>
            <w:vAlign w:val="center"/>
          </w:tcPr>
          <w:p>
            <w:pPr>
              <w:spacing w:before="0" w:after="0" w:line="252" w:lineRule="auto"/>
            </w:pPr>
            <w:r>
              <w:rPr>
                <w:rFonts w:ascii="Calibri" w:hAnsi="Calibri"/>
                <w:color w:val="17324D"/>
                <w:sz w:val="17"/>
              </w:rPr>
              <w:t>Chatbot interpretation, AI-generated reflections, AI summaries of personal free text, or conversational advice</w:t>
            </w:r>
          </w:p>
        </w:tc>
        <w:tc>
          <w:tcPr>
            <w:tcW w:type="dxa" w:w="5210"/>
            <w:tcMar>
              <w:top w:w="80" w:type="dxa"/>
              <w:start w:w="120" w:type="dxa"/>
              <w:bottom w:w="80" w:type="dxa"/>
              <w:end w:w="120" w:type="dxa"/>
            </w:tcMar>
            <w:vAlign w:val="center"/>
          </w:tcPr>
          <w:p>
            <w:pPr>
              <w:spacing w:before="0" w:after="0" w:line="252" w:lineRule="auto"/>
            </w:pPr>
            <w:r>
              <w:rPr>
                <w:rFonts w:ascii="Calibri" w:hAnsi="Calibri"/>
                <w:color w:val="17324D"/>
                <w:sz w:val="17"/>
              </w:rPr>
              <w:t>They simulate understanding, expand the data boundary, and can make unsupported personal claims.</w:t>
            </w:r>
          </w:p>
        </w:tc>
      </w:tr>
      <w:tr>
        <w:trPr>
          <w:cantSplit/>
        </w:trPr>
        <w:tc>
          <w:tcPr>
            <w:tcW w:type="dxa" w:w="4150"/>
            <w:tcMar>
              <w:top w:w="80" w:type="dxa"/>
              <w:start w:w="120" w:type="dxa"/>
              <w:bottom w:w="80" w:type="dxa"/>
              <w:end w:w="120" w:type="dxa"/>
            </w:tcMar>
            <w:vAlign w:val="center"/>
          </w:tcPr>
          <w:p>
            <w:pPr>
              <w:spacing w:before="0" w:after="0" w:line="252" w:lineRule="auto"/>
            </w:pPr>
            <w:r>
              <w:rPr>
                <w:rFonts w:ascii="Calibri" w:hAnsi="Calibri"/>
                <w:color w:val="17324D"/>
                <w:sz w:val="17"/>
              </w:rPr>
              <w:t>Default analytics, server backup, account upgrade prompt, sharing, public posting, or community comparison</w:t>
            </w:r>
          </w:p>
        </w:tc>
        <w:tc>
          <w:tcPr>
            <w:tcW w:type="dxa" w:w="5210"/>
            <w:tcMar>
              <w:top w:w="80" w:type="dxa"/>
              <w:start w:w="120" w:type="dxa"/>
              <w:bottom w:w="80" w:type="dxa"/>
              <w:end w:w="120" w:type="dxa"/>
            </w:tcMar>
            <w:vAlign w:val="center"/>
          </w:tcPr>
          <w:p>
            <w:pPr>
              <w:spacing w:before="0" w:after="0" w:line="252" w:lineRule="auto"/>
            </w:pPr>
            <w:r>
              <w:rPr>
                <w:rFonts w:ascii="Calibri" w:hAnsi="Calibri"/>
                <w:color w:val="17324D"/>
                <w:sz w:val="17"/>
              </w:rPr>
              <w:t>Personal reflection is not a growth funnel or a social asset.</w:t>
            </w:r>
          </w:p>
        </w:tc>
      </w:tr>
      <w:tr>
        <w:trPr>
          <w:cantSplit/>
        </w:trPr>
        <w:tc>
          <w:tcPr>
            <w:tcW w:type="dxa" w:w="4150"/>
            <w:tcMar>
              <w:top w:w="80" w:type="dxa"/>
              <w:start w:w="120" w:type="dxa"/>
              <w:bottom w:w="80" w:type="dxa"/>
              <w:end w:w="120" w:type="dxa"/>
            </w:tcMar>
            <w:vAlign w:val="center"/>
          </w:tcPr>
          <w:p>
            <w:pPr>
              <w:spacing w:before="0" w:after="0" w:line="252" w:lineRule="auto"/>
            </w:pPr>
            <w:r>
              <w:rPr>
                <w:rFonts w:ascii="Calibri" w:hAnsi="Calibri"/>
                <w:color w:val="17324D"/>
                <w:sz w:val="17"/>
              </w:rPr>
              <w:t>Notifications that ask the person to return to review themselves</w:t>
            </w:r>
          </w:p>
        </w:tc>
        <w:tc>
          <w:tcPr>
            <w:tcW w:type="dxa" w:w="5210"/>
            <w:tcMar>
              <w:top w:w="80" w:type="dxa"/>
              <w:start w:w="120" w:type="dxa"/>
              <w:bottom w:w="80" w:type="dxa"/>
              <w:end w:w="120" w:type="dxa"/>
            </w:tcMar>
            <w:vAlign w:val="center"/>
          </w:tcPr>
          <w:p>
            <w:pPr>
              <w:spacing w:before="0" w:after="0" w:line="252" w:lineRule="auto"/>
            </w:pPr>
            <w:r>
              <w:rPr>
                <w:rFonts w:ascii="Calibri" w:hAnsi="Calibri"/>
                <w:color w:val="17324D"/>
                <w:sz w:val="17"/>
              </w:rPr>
              <w:t>The Observatory must not create a dependency loop or use reflection as a retention mechanism.</w:t>
            </w:r>
          </w:p>
        </w:tc>
      </w:tr>
    </w:tbl>
    <w:p>
      <w:pPr>
        <w:spacing w:after="40"/>
      </w:pPr>
    </w:p>
    <w:p>
      <w:pPr>
        <w:pStyle w:val="Heading2"/>
        <w:keepNext/>
      </w:pPr>
      <w:r>
        <w:rPr>
          <w:rFonts w:ascii="Calibri" w:hAnsi="Calibri"/>
          <w:b/>
          <w:color w:val="2E74B5"/>
          <w:sz w:val="26"/>
        </w:rPr>
        <w:t>2.4 Success definition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7A5A00"/>
                <w:sz w:val="18"/>
              </w:rPr>
              <w:t xml:space="preserve">SUCCESS  </w:t>
            </w:r>
            <w:r>
              <w:rPr>
                <w:rFonts w:ascii="Calibri" w:hAnsi="Calibri"/>
                <w:color w:val="17324D"/>
                <w:sz w:val="21"/>
              </w:rPr>
              <w:t>A person can understand exactly what Mirellis retained, why it is present, and how to change or delete it. They can use a cue or personal route without opening an experience, and they do not need to believe that the app knows them better than they know themselves.</w:t>
            </w:r>
          </w:p>
        </w:tc>
      </w:tr>
    </w:tbl>
    <w:p>
      <w:pPr>
        <w:spacing w:after="40"/>
      </w:pPr>
    </w:p>
    <w:p>
      <w:pPr>
        <w:pStyle w:val="Heading1"/>
        <w:keepNext/>
      </w:pPr>
      <w:r>
        <w:rPr>
          <w:rFonts w:ascii="Calibri" w:hAnsi="Calibri"/>
          <w:b/>
          <w:color w:val="2E74B5"/>
          <w:sz w:val="32"/>
        </w:rPr>
        <w:t>3. Observatory architecture and personal objects</w:t>
      </w:r>
    </w:p>
    <w:p>
      <w:pPr>
        <w:pStyle w:val="Heading2"/>
        <w:keepNext/>
      </w:pPr>
      <w:r>
        <w:rPr>
          <w:rFonts w:ascii="Calibri" w:hAnsi="Calibri"/>
          <w:b/>
          <w:color w:val="2E74B5"/>
          <w:sz w:val="26"/>
        </w:rPr>
        <w:t>3.1 Architecture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2E74B5"/>
                <w:sz w:val="18"/>
              </w:rPr>
              <w:t xml:space="preserve">LOCAL-FIRST FLOW  </w:t>
            </w:r>
            <w:r>
              <w:rPr>
                <w:rFonts w:ascii="Calibri" w:hAnsi="Calibri"/>
                <w:color w:val="17324D"/>
                <w:sz w:val="21"/>
              </w:rPr>
              <w:t>Experience runner → explicit local event → Personal Observatory record → optional user reflection or saved cue → user-owned route → optional separate consent for de-identified aggregate review. Nothing in the flow permits a private reflection or free-text entry to become route evidence, research material, or model-training material by default.</w:t>
            </w:r>
          </w:p>
        </w:tc>
      </w:tr>
    </w:tbl>
    <w:p>
      <w:pPr>
        <w:spacing w:after="40"/>
      </w:pPr>
    </w:p>
    <w:p>
      <w:pPr>
        <w:pStyle w:val="Heading2"/>
        <w:keepNext/>
      </w:pPr>
      <w:r>
        <w:rPr>
          <w:rFonts w:ascii="Calibri" w:hAnsi="Calibri"/>
          <w:b/>
          <w:color w:val="2E74B5"/>
          <w:sz w:val="26"/>
        </w:rPr>
        <w:t>3.2 Object model</w:t>
      </w:r>
    </w:p>
    <w:tbl>
      <w:tblPr>
        <w:tblW w:type="dxa" w:w="9360"/>
        <w:jc w:val="left"/>
        <w:tblLayout w:type="fixed"/>
        <w:tblLook w:firstColumn="1" w:firstRow="1" w:lastColumn="0" w:lastRow="0" w:noHBand="0" w:noVBand="1" w:val="04A0"/>
        <w:tblInd w:w="120" w:type="dxa"/>
      </w:tblPr>
      <w:tblGrid>
        <w:gridCol w:w="1650"/>
        <w:gridCol w:w="3420"/>
        <w:gridCol w:w="4290"/>
      </w:tblGrid>
      <w:tr>
        <w:trPr>
          <w:tblHeader w:val="true"/>
          <w:cantSplit/>
        </w:trPr>
        <w:tc>
          <w:tcPr>
            <w:tcW w:type="dxa" w:w="16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Object</w:t>
            </w:r>
          </w:p>
        </w:tc>
        <w:tc>
          <w:tcPr>
            <w:tcW w:type="dxa" w:w="342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Meaning</w:t>
            </w:r>
          </w:p>
        </w:tc>
        <w:tc>
          <w:tcPr>
            <w:tcW w:type="dxa" w:w="429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Storage and use rule</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Experience record</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A minimal receipt that a person started, completed, skipped, shortened, or exited a named Mirellis experience.</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 by default. May power the visible history and dependency gate only; it is not a measure of success.</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Explicit response</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A user-selected enum response such as “partly fit,” “not today,” a selected alternate, or a constrained route.</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 by default. May be used by V2 only if the evidence schema explicitly permits it and the user can see the use.</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Reflection</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Optional short text or a structured “what I noticed” selection created by the person.</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Local-only by default. Never used for routing, personalization, analytics, research, AI processing, or model training.</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Cue</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A user-selected action, phrase, or reminder that was explicitly saved as useful.</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 editable, reorderable, deletable. It may be offered only through a transparent V2 route explanation.</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Personal route</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A user-created sequence of one or two cues for a named transition.</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 editable, no schedule or obligation. The user owns order and activation.</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Review note</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Optional note created during a review of visible records.</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Local-only and user-controlled. No automatic analysis, tag extraction, or aggregation.</w:t>
            </w:r>
          </w:p>
        </w:tc>
      </w:tr>
      <w:tr>
        <w:trPr>
          <w:cantSplit/>
        </w:trPr>
        <w:tc>
          <w:tcPr>
            <w:tcW w:type="dxa" w:w="1650"/>
            <w:tcMar>
              <w:top w:w="80" w:type="dxa"/>
              <w:start w:w="120" w:type="dxa"/>
              <w:bottom w:w="80" w:type="dxa"/>
              <w:end w:w="120" w:type="dxa"/>
            </w:tcMar>
            <w:vAlign w:val="center"/>
          </w:tcPr>
          <w:p>
            <w:pPr>
              <w:spacing w:before="0" w:after="0" w:line="252" w:lineRule="auto"/>
            </w:pPr>
            <w:r>
              <w:rPr>
                <w:rFonts w:ascii="Calibri" w:hAnsi="Calibri"/>
                <w:color w:val="17324D"/>
                <w:sz w:val="17"/>
              </w:rPr>
              <w:t>Consent record</w:t>
            </w:r>
          </w:p>
        </w:tc>
        <w:tc>
          <w:tcPr>
            <w:tcW w:type="dxa" w:w="3420"/>
            <w:tcMar>
              <w:top w:w="80" w:type="dxa"/>
              <w:start w:w="120" w:type="dxa"/>
              <w:bottom w:w="80" w:type="dxa"/>
              <w:end w:w="120" w:type="dxa"/>
            </w:tcMar>
            <w:vAlign w:val="center"/>
          </w:tcPr>
          <w:p>
            <w:pPr>
              <w:spacing w:before="0" w:after="0" w:line="252" w:lineRule="auto"/>
            </w:pPr>
            <w:r>
              <w:rPr>
                <w:rFonts w:ascii="Calibri" w:hAnsi="Calibri"/>
                <w:color w:val="17324D"/>
                <w:sz w:val="17"/>
              </w:rPr>
              <w:t>A local record of separate permissions for analytics, research contribution, backup, or account-linked use if offered later.</w:t>
            </w:r>
          </w:p>
        </w:tc>
        <w:tc>
          <w:tcPr>
            <w:tcW w:type="dxa" w:w="4290"/>
            <w:tcMar>
              <w:top w:w="80" w:type="dxa"/>
              <w:start w:w="120" w:type="dxa"/>
              <w:bottom w:w="80" w:type="dxa"/>
              <w:end w:w="120" w:type="dxa"/>
            </w:tcMar>
            <w:vAlign w:val="center"/>
          </w:tcPr>
          <w:p>
            <w:pPr>
              <w:spacing w:before="0" w:after="0" w:line="252" w:lineRule="auto"/>
            </w:pPr>
            <w:r>
              <w:rPr>
                <w:rFonts w:ascii="Calibri" w:hAnsi="Calibri"/>
                <w:color w:val="17324D"/>
                <w:sz w:val="17"/>
              </w:rPr>
              <w:t>Purpose-specific, revocable, auditable; absence of consent means no export from device.</w:t>
            </w:r>
          </w:p>
        </w:tc>
      </w:tr>
    </w:tbl>
    <w:p>
      <w:pPr>
        <w:spacing w:after="40"/>
      </w:pPr>
    </w:p>
    <w:p>
      <w:pPr>
        <w:pStyle w:val="Heading2"/>
        <w:keepNext/>
      </w:pPr>
      <w:r>
        <w:rPr>
          <w:rFonts w:ascii="Calibri" w:hAnsi="Calibri"/>
          <w:b/>
          <w:color w:val="2E74B5"/>
          <w:sz w:val="26"/>
        </w:rPr>
        <w:t>3.3 Required event fields</w:t>
      </w:r>
    </w:p>
    <w:tbl>
      <w:tblPr>
        <w:tblW w:type="dxa" w:w="9360"/>
        <w:jc w:val="left"/>
        <w:tblLayout w:type="fixed"/>
        <w:tblLook w:firstColumn="1" w:firstRow="1" w:lastColumn="0" w:lastRow="0" w:noHBand="0" w:noVBand="1" w:val="04A0"/>
        <w:tblInd w:w="120" w:type="dxa"/>
      </w:tblPr>
      <w:tblGrid>
        <w:gridCol w:w="1750"/>
        <w:gridCol w:w="3700"/>
        <w:gridCol w:w="3910"/>
      </w:tblGrid>
      <w:tr>
        <w:trPr>
          <w:tblHeader w:val="true"/>
          <w:cantSplit/>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Field</w:t>
            </w:r>
          </w:p>
        </w:tc>
        <w:tc>
          <w:tcPr>
            <w:tcW w:type="dxa" w:w="37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Required value</w:t>
            </w:r>
          </w:p>
        </w:tc>
        <w:tc>
          <w:tcPr>
            <w:tcW w:type="dxa" w:w="391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Prohibited substitution</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recordId</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Local random UUID.</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Phone number, email, account ID, advertising ID, or device fingerprint.</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transitionId / experienceId</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Versioned identifiers from approved curriculum.</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Free-form inferred category or diagnosis.</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occurredAt</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Local timestamp, displayed in the person’s timezone.</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A server activity chronology by default.</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routeType</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Primary, alternate, minimum, self-guided, skipped, or exited.</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A pass/fail status.</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explicitResponse</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Schema-approved enum only, if supplied.</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Sentiment score or model-derived meaning.</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reflectionText</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Optional local text, encrypted at rest where platform capabilities allow.</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Route input, analytics property, AI prompt, research export, or personalization feature.</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policyVersion</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The experience/policy version that created the record.</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A mutable hidden algorithm version.</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deletedAt</w:t>
            </w:r>
          </w:p>
        </w:tc>
        <w:tc>
          <w:tcPr>
            <w:tcW w:type="dxa" w:w="3700"/>
            <w:tcMar>
              <w:top w:w="80" w:type="dxa"/>
              <w:start w:w="120" w:type="dxa"/>
              <w:bottom w:w="80" w:type="dxa"/>
              <w:end w:w="120" w:type="dxa"/>
            </w:tcMar>
            <w:vAlign w:val="center"/>
          </w:tcPr>
          <w:p>
            <w:pPr>
              <w:spacing w:before="0" w:after="0" w:line="252" w:lineRule="auto"/>
            </w:pPr>
            <w:r>
              <w:rPr>
                <w:rFonts w:ascii="Calibri" w:hAnsi="Calibri"/>
                <w:color w:val="17324D"/>
                <w:sz w:val="17"/>
              </w:rPr>
              <w:t>Local tombstone or removal result where needed for sync correctness.</w:t>
            </w:r>
          </w:p>
        </w:tc>
        <w:tc>
          <w:tcPr>
            <w:tcW w:type="dxa" w:w="3910"/>
            <w:tcMar>
              <w:top w:w="80" w:type="dxa"/>
              <w:start w:w="120" w:type="dxa"/>
              <w:bottom w:w="80" w:type="dxa"/>
              <w:end w:w="120" w:type="dxa"/>
            </w:tcMar>
            <w:vAlign w:val="center"/>
          </w:tcPr>
          <w:p>
            <w:pPr>
              <w:spacing w:before="0" w:after="0" w:line="252" w:lineRule="auto"/>
            </w:pPr>
            <w:r>
              <w:rPr>
                <w:rFonts w:ascii="Calibri" w:hAnsi="Calibri"/>
                <w:color w:val="17324D"/>
                <w:sz w:val="17"/>
              </w:rPr>
              <w:t>A retained shadow profile after user deletion.</w:t>
            </w:r>
          </w:p>
        </w:tc>
      </w:tr>
    </w:tbl>
    <w:p>
      <w:pPr>
        <w:spacing w:after="40"/>
      </w:pPr>
    </w:p>
    <w:p>
      <w:pPr>
        <w:pStyle w:val="Heading2"/>
        <w:keepNext/>
      </w:pPr>
      <w:r>
        <w:rPr>
          <w:rFonts w:ascii="Calibri" w:hAnsi="Calibri"/>
          <w:b/>
          <w:color w:val="2E74B5"/>
          <w:sz w:val="26"/>
        </w:rPr>
        <w:t>3.4 Record lifecycle</w:t>
      </w:r>
    </w:p>
    <w:tbl>
      <w:tblPr>
        <w:tblW w:type="dxa" w:w="9360"/>
        <w:jc w:val="left"/>
        <w:tblLayout w:type="fixed"/>
        <w:tblLook w:firstColumn="1" w:firstRow="1" w:lastColumn="0" w:lastRow="0" w:noHBand="0" w:noVBand="1" w:val="04A0"/>
        <w:tblInd w:w="120" w:type="dxa"/>
      </w:tblPr>
      <w:tblGrid>
        <w:gridCol w:w="1700"/>
        <w:gridCol w:w="4000"/>
        <w:gridCol w:w="3660"/>
      </w:tblGrid>
      <w:tr>
        <w:trPr>
          <w:tblHeader w:val="true"/>
          <w:cantSplit/>
        </w:trPr>
        <w:tc>
          <w:tcPr>
            <w:tcW w:type="dxa" w:w="17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Stage</w:t>
            </w:r>
          </w:p>
        </w:tc>
        <w:tc>
          <w:tcPr>
            <w:tcW w:type="dxa" w:w="40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User-visible behaviour</w:t>
            </w:r>
          </w:p>
        </w:tc>
        <w:tc>
          <w:tcPr>
            <w:tcW w:type="dxa" w:w="36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System requirement</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Create</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After an experience, show “Keep this in your record?” only when the record is not essential for current local progress; otherwise explain the minimum local record in plain language.</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Do not create optional text or cue records without a clear action.</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View</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Show records in human language, grouped by transition and date; no hidden fields.</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All visible personal data must be rendered from the same local object available to export/delete.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Use</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Show Why this? whenever a saved cue or permitted response influences an option.</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Enforce per-field route eligibility, expiry, and purpose restrictions.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Edit</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Let the person correct a label, remove a cue, edit local text, or un-save an item.</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Edits must update the local store and invalidate stale suggestion evidence.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Delete</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Offer item deletion, transition reset, and Delete all local data.</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Deletion must remove local content and any separately consented cloud copy within the disclosed process.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Export</w:t>
            </w:r>
          </w:p>
        </w:tc>
        <w:tc>
          <w:tcPr>
            <w:tcW w:type="dxa" w:w="4000"/>
            <w:tcMar>
              <w:top w:w="80" w:type="dxa"/>
              <w:start w:w="120" w:type="dxa"/>
              <w:bottom w:w="80" w:type="dxa"/>
              <w:end w:w="120" w:type="dxa"/>
            </w:tcMar>
            <w:vAlign w:val="center"/>
          </w:tcPr>
          <w:p>
            <w:pPr>
              <w:spacing w:before="0" w:after="0" w:line="252" w:lineRule="auto"/>
            </w:pPr>
            <w:r>
              <w:rPr>
                <w:rFonts w:ascii="Calibri" w:hAnsi="Calibri"/>
                <w:color w:val="17324D"/>
                <w:sz w:val="17"/>
              </w:rPr>
              <w:t>Allow a readable JSON and plain-text export of the person’s local record.</w:t>
            </w:r>
          </w:p>
        </w:tc>
        <w:tc>
          <w:tcPr>
            <w:tcW w:type="dxa" w:w="3660"/>
            <w:tcMar>
              <w:top w:w="80" w:type="dxa"/>
              <w:start w:w="120" w:type="dxa"/>
              <w:bottom w:w="80" w:type="dxa"/>
              <w:end w:w="120" w:type="dxa"/>
            </w:tcMar>
            <w:vAlign w:val="center"/>
          </w:tcPr>
          <w:p>
            <w:pPr>
              <w:spacing w:before="0" w:after="0" w:line="252" w:lineRule="auto"/>
            </w:pPr>
            <w:r>
              <w:rPr>
                <w:rFonts w:ascii="Calibri" w:hAnsi="Calibri"/>
                <w:color w:val="17324D"/>
                <w:sz w:val="17"/>
              </w:rPr>
              <w:t>Export is generated locally; do not upload solely to create it.</w:t>
            </w:r>
          </w:p>
        </w:tc>
      </w:tr>
    </w:tbl>
    <w:p>
      <w:pPr>
        <w:spacing w:after="40"/>
      </w:pPr>
    </w:p>
    <w:p>
      <w:pPr>
        <w:pStyle w:val="Heading1"/>
        <w:keepNext/>
      </w:pPr>
      <w:r>
        <w:rPr>
          <w:rFonts w:ascii="Calibri" w:hAnsi="Calibri"/>
          <w:b/>
          <w:color w:val="2E74B5"/>
          <w:sz w:val="32"/>
        </w:rPr>
        <w:t>4. Reflection design and learning-record policy</w:t>
      </w:r>
    </w:p>
    <w:p>
      <w:pPr>
        <w:pStyle w:val="Heading2"/>
        <w:keepNext/>
      </w:pPr>
      <w:r>
        <w:rPr>
          <w:rFonts w:ascii="Calibri" w:hAnsi="Calibri"/>
          <w:b/>
          <w:color w:val="2E74B5"/>
          <w:sz w:val="26"/>
        </w:rPr>
        <w:t>4.1 Reflection is optional and bounded</w:t>
      </w:r>
    </w:p>
    <w:p>
      <w:pPr>
        <w:spacing w:before="0" w:after="120" w:line="264" w:lineRule="auto"/>
      </w:pPr>
      <w:r>
        <w:rPr>
          <w:rFonts w:ascii="Calibri" w:hAnsi="Calibri"/>
          <w:i w:val="0"/>
          <w:color w:val="17324D"/>
          <w:sz w:val="22"/>
        </w:rPr>
        <w:t>Reflection exists to help a person name what they noticed, not to extract disclosure. Every experience must be completable without text. Structured responses should be sufficient for route continuity. A user may add a short private note only after the product explains that the note stays on their device and is not read by Mirellis, used to choose a route, or included in analytics or research.</w:t>
      </w:r>
    </w:p>
    <w:p>
      <w:pPr>
        <w:pStyle w:val="Heading2"/>
        <w:keepNext/>
      </w:pPr>
      <w:r>
        <w:rPr>
          <w:rFonts w:ascii="Calibri" w:hAnsi="Calibri"/>
          <w:b/>
          <w:color w:val="2E74B5"/>
          <w:sz w:val="26"/>
        </w:rPr>
        <w:t>4.2 Reflection modes</w:t>
      </w:r>
    </w:p>
    <w:tbl>
      <w:tblPr>
        <w:tblW w:type="dxa" w:w="9360"/>
        <w:jc w:val="left"/>
        <w:tblLayout w:type="fixed"/>
        <w:tblLook w:firstColumn="1" w:firstRow="1" w:lastColumn="0" w:lastRow="0" w:noHBand="0" w:noVBand="1" w:val="04A0"/>
        <w:tblInd w:w="120" w:type="dxa"/>
      </w:tblPr>
      <w:tblGrid>
        <w:gridCol w:w="1700"/>
        <w:gridCol w:w="4020"/>
        <w:gridCol w:w="3640"/>
      </w:tblGrid>
      <w:tr>
        <w:trPr>
          <w:tblHeader w:val="true"/>
          <w:cantSplit/>
        </w:trPr>
        <w:tc>
          <w:tcPr>
            <w:tcW w:type="dxa" w:w="17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Mode</w:t>
            </w:r>
          </w:p>
        </w:tc>
        <w:tc>
          <w:tcPr>
            <w:tcW w:type="dxa" w:w="402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Example</w:t>
            </w:r>
          </w:p>
        </w:tc>
        <w:tc>
          <w:tcPr>
            <w:tcW w:type="dxa" w:w="364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Product use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Quiet completion</w:t>
            </w:r>
          </w:p>
        </w:tc>
        <w:tc>
          <w:tcPr>
            <w:tcW w:type="dxa" w:w="4020"/>
            <w:tcMar>
              <w:top w:w="80" w:type="dxa"/>
              <w:start w:w="120" w:type="dxa"/>
              <w:bottom w:w="80" w:type="dxa"/>
              <w:end w:w="120" w:type="dxa"/>
            </w:tcMar>
            <w:vAlign w:val="center"/>
          </w:tcPr>
          <w:p>
            <w:pPr>
              <w:spacing w:before="0" w:after="0" w:line="252" w:lineRule="auto"/>
            </w:pPr>
            <w:r>
              <w:rPr>
                <w:rFonts w:ascii="Calibri" w:hAnsi="Calibri"/>
                <w:color w:val="17324D"/>
                <w:sz w:val="17"/>
              </w:rPr>
              <w:t>“Keep what was useful.”</w:t>
            </w:r>
          </w:p>
        </w:tc>
        <w:tc>
          <w:tcPr>
            <w:tcW w:type="dxa" w:w="3640"/>
            <w:tcMar>
              <w:top w:w="80" w:type="dxa"/>
              <w:start w:w="120" w:type="dxa"/>
              <w:bottom w:w="80" w:type="dxa"/>
              <w:end w:w="120" w:type="dxa"/>
            </w:tcMar>
            <w:vAlign w:val="center"/>
          </w:tcPr>
          <w:p>
            <w:pPr>
              <w:spacing w:before="0" w:after="0" w:line="252" w:lineRule="auto"/>
            </w:pPr>
            <w:r>
              <w:rPr>
                <w:rFonts w:ascii="Calibri" w:hAnsi="Calibri"/>
                <w:color w:val="17324D"/>
                <w:sz w:val="17"/>
              </w:rPr>
              <w:t>No data required beyond the minimum local completion state.</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Structured observation</w:t>
            </w:r>
          </w:p>
        </w:tc>
        <w:tc>
          <w:tcPr>
            <w:tcW w:type="dxa" w:w="4020"/>
            <w:tcMar>
              <w:top w:w="80" w:type="dxa"/>
              <w:start w:w="120" w:type="dxa"/>
              <w:bottom w:w="80" w:type="dxa"/>
              <w:end w:w="120" w:type="dxa"/>
            </w:tcMar>
            <w:vAlign w:val="center"/>
          </w:tcPr>
          <w:p>
            <w:pPr>
              <w:spacing w:before="0" w:after="0" w:line="252" w:lineRule="auto"/>
            </w:pPr>
            <w:r>
              <w:rPr>
                <w:rFonts w:ascii="Calibri" w:hAnsi="Calibri"/>
                <w:color w:val="17324D"/>
                <w:sz w:val="17"/>
              </w:rPr>
              <w:t>“A little changed,” “not today,” “this did not fit.”</w:t>
            </w:r>
          </w:p>
        </w:tc>
        <w:tc>
          <w:tcPr>
            <w:tcW w:type="dxa" w:w="3640"/>
            <w:tcMar>
              <w:top w:w="80" w:type="dxa"/>
              <w:start w:w="120" w:type="dxa"/>
              <w:bottom w:w="80" w:type="dxa"/>
              <w:end w:w="120" w:type="dxa"/>
            </w:tcMar>
            <w:vAlign w:val="center"/>
          </w:tcPr>
          <w:p>
            <w:pPr>
              <w:spacing w:before="0" w:after="0" w:line="252" w:lineRule="auto"/>
            </w:pPr>
            <w:r>
              <w:rPr>
                <w:rFonts w:ascii="Calibri" w:hAnsi="Calibri"/>
                <w:color w:val="17324D"/>
                <w:sz w:val="17"/>
              </w:rPr>
              <w:t>May become a permitted evidence atom only when explicitly defined in V2 policy.</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Cue save</w:t>
            </w:r>
          </w:p>
        </w:tc>
        <w:tc>
          <w:tcPr>
            <w:tcW w:type="dxa" w:w="4020"/>
            <w:tcMar>
              <w:top w:w="80" w:type="dxa"/>
              <w:start w:w="120" w:type="dxa"/>
              <w:bottom w:w="80" w:type="dxa"/>
              <w:end w:w="120" w:type="dxa"/>
            </w:tcMar>
            <w:vAlign w:val="center"/>
          </w:tcPr>
          <w:p>
            <w:pPr>
              <w:spacing w:before="0" w:after="0" w:line="252" w:lineRule="auto"/>
            </w:pPr>
            <w:r>
              <w:rPr>
                <w:rFonts w:ascii="Calibri" w:hAnsi="Calibri"/>
                <w:color w:val="17324D"/>
                <w:sz w:val="17"/>
              </w:rPr>
              <w:t>“Save change of place as a cue.”</w:t>
            </w:r>
          </w:p>
        </w:tc>
        <w:tc>
          <w:tcPr>
            <w:tcW w:type="dxa" w:w="3640"/>
            <w:tcMar>
              <w:top w:w="80" w:type="dxa"/>
              <w:start w:w="120" w:type="dxa"/>
              <w:bottom w:w="80" w:type="dxa"/>
              <w:end w:w="120" w:type="dxa"/>
            </w:tcMar>
            <w:vAlign w:val="center"/>
          </w:tcPr>
          <w:p>
            <w:pPr>
              <w:spacing w:before="0" w:after="0" w:line="252" w:lineRule="auto"/>
            </w:pPr>
            <w:r>
              <w:rPr>
                <w:rFonts w:ascii="Calibri" w:hAnsi="Calibri"/>
                <w:color w:val="17324D"/>
                <w:sz w:val="17"/>
              </w:rPr>
              <w:t>Creates a user-owned editable cue; must show why it can be offered later.</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Private note</w:t>
            </w:r>
          </w:p>
        </w:tc>
        <w:tc>
          <w:tcPr>
            <w:tcW w:type="dxa" w:w="4020"/>
            <w:tcMar>
              <w:top w:w="80" w:type="dxa"/>
              <w:start w:w="120" w:type="dxa"/>
              <w:bottom w:w="80" w:type="dxa"/>
              <w:end w:w="120" w:type="dxa"/>
            </w:tcMar>
            <w:vAlign w:val="center"/>
          </w:tcPr>
          <w:p>
            <w:pPr>
              <w:spacing w:before="0" w:after="0" w:line="252" w:lineRule="auto"/>
            </w:pPr>
            <w:r>
              <w:rPr>
                <w:rFonts w:ascii="Calibri" w:hAnsi="Calibri"/>
                <w:color w:val="17324D"/>
                <w:sz w:val="17"/>
              </w:rPr>
              <w:t>“The room felt too busy this morning.”</w:t>
            </w:r>
          </w:p>
        </w:tc>
        <w:tc>
          <w:tcPr>
            <w:tcW w:type="dxa" w:w="3640"/>
            <w:tcMar>
              <w:top w:w="80" w:type="dxa"/>
              <w:start w:w="120" w:type="dxa"/>
              <w:bottom w:w="80" w:type="dxa"/>
              <w:end w:w="120" w:type="dxa"/>
            </w:tcMar>
            <w:vAlign w:val="center"/>
          </w:tcPr>
          <w:p>
            <w:pPr>
              <w:spacing w:before="0" w:after="0" w:line="252" w:lineRule="auto"/>
            </w:pPr>
            <w:r>
              <w:rPr>
                <w:rFonts w:ascii="Calibri" w:hAnsi="Calibri"/>
                <w:color w:val="17324D"/>
                <w:sz w:val="17"/>
              </w:rPr>
              <w:t>Local-only free text; never used for routing or analysis.</w:t>
            </w:r>
          </w:p>
        </w:tc>
      </w:tr>
      <w:tr>
        <w:trPr>
          <w:cantSplit/>
        </w:trPr>
        <w:tc>
          <w:tcPr>
            <w:tcW w:type="dxa" w:w="1700"/>
            <w:tcMar>
              <w:top w:w="80" w:type="dxa"/>
              <w:start w:w="120" w:type="dxa"/>
              <w:bottom w:w="80" w:type="dxa"/>
              <w:end w:w="120" w:type="dxa"/>
            </w:tcMar>
            <w:vAlign w:val="center"/>
          </w:tcPr>
          <w:p>
            <w:pPr>
              <w:spacing w:before="0" w:after="0" w:line="252" w:lineRule="auto"/>
            </w:pPr>
            <w:r>
              <w:rPr>
                <w:rFonts w:ascii="Calibri" w:hAnsi="Calibri"/>
                <w:color w:val="17324D"/>
                <w:sz w:val="17"/>
              </w:rPr>
              <w:t>Review note</w:t>
            </w:r>
          </w:p>
        </w:tc>
        <w:tc>
          <w:tcPr>
            <w:tcW w:type="dxa" w:w="4020"/>
            <w:tcMar>
              <w:top w:w="80" w:type="dxa"/>
              <w:start w:w="120" w:type="dxa"/>
              <w:bottom w:w="80" w:type="dxa"/>
              <w:end w:w="120" w:type="dxa"/>
            </w:tcMar>
            <w:vAlign w:val="center"/>
          </w:tcPr>
          <w:p>
            <w:pPr>
              <w:spacing w:before="0" w:after="0" w:line="252" w:lineRule="auto"/>
            </w:pPr>
            <w:r>
              <w:rPr>
                <w:rFonts w:ascii="Calibri" w:hAnsi="Calibri"/>
                <w:color w:val="17324D"/>
                <w:sz w:val="17"/>
              </w:rPr>
              <w:t>“A short route is more realistic when I am caring for someone.”</w:t>
            </w:r>
          </w:p>
        </w:tc>
        <w:tc>
          <w:tcPr>
            <w:tcW w:type="dxa" w:w="3640"/>
            <w:tcMar>
              <w:top w:w="80" w:type="dxa"/>
              <w:start w:w="120" w:type="dxa"/>
              <w:bottom w:w="80" w:type="dxa"/>
              <w:end w:w="120" w:type="dxa"/>
            </w:tcMar>
            <w:vAlign w:val="center"/>
          </w:tcPr>
          <w:p>
            <w:pPr>
              <w:spacing w:before="0" w:after="0" w:line="252" w:lineRule="auto"/>
            </w:pPr>
            <w:r>
              <w:rPr>
                <w:rFonts w:ascii="Calibri" w:hAnsi="Calibri"/>
                <w:color w:val="17324D"/>
                <w:sz w:val="17"/>
              </w:rPr>
              <w:t>Local-only context the person may revisit; not an inferred constraint.</w:t>
            </w:r>
          </w:p>
        </w:tc>
      </w:tr>
    </w:tbl>
    <w:p>
      <w:pPr>
        <w:spacing w:after="40"/>
      </w:pPr>
    </w:p>
    <w:p>
      <w:pPr>
        <w:pStyle w:val="Heading2"/>
        <w:keepNext/>
      </w:pPr>
      <w:r>
        <w:rPr>
          <w:rFonts w:ascii="Calibri" w:hAnsi="Calibri"/>
          <w:b/>
          <w:color w:val="2E74B5"/>
          <w:sz w:val="26"/>
        </w:rPr>
        <w:t>4.3 Reflection prompts</w:t>
      </w:r>
    </w:p>
    <w:tbl>
      <w:tblPr>
        <w:tblW w:type="dxa" w:w="9360"/>
        <w:jc w:val="left"/>
        <w:tblLayout w:type="fixed"/>
        <w:tblLook w:firstColumn="1" w:firstRow="1" w:lastColumn="0" w:lastRow="0" w:noHBand="0" w:noVBand="1" w:val="04A0"/>
        <w:tblInd w:w="120" w:type="dxa"/>
      </w:tblPr>
      <w:tblGrid>
        <w:gridCol w:w="2580"/>
        <w:gridCol w:w="3200"/>
        <w:gridCol w:w="3580"/>
      </w:tblGrid>
      <w:tr>
        <w:trPr>
          <w:tblHeader w:val="true"/>
          <w:cantSplit/>
        </w:trPr>
        <w:tc>
          <w:tcPr>
            <w:tcW w:type="dxa" w:w="25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Allowed prompt</w:t>
            </w:r>
          </w:p>
        </w:tc>
        <w:tc>
          <w:tcPr>
            <w:tcW w:type="dxa" w:w="32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Purpose</w:t>
            </w:r>
          </w:p>
        </w:tc>
        <w:tc>
          <w:tcPr>
            <w:tcW w:type="dxa" w:w="35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Do not replace it with</w:t>
            </w:r>
          </w:p>
        </w:tc>
      </w:tr>
      <w:tr>
        <w:trPr>
          <w:cantSplit/>
        </w:trPr>
        <w:tc>
          <w:tcPr>
            <w:tcW w:type="dxa" w:w="2580"/>
            <w:tcMar>
              <w:top w:w="80" w:type="dxa"/>
              <w:start w:w="120" w:type="dxa"/>
              <w:bottom w:w="80" w:type="dxa"/>
              <w:end w:w="120" w:type="dxa"/>
            </w:tcMar>
            <w:vAlign w:val="center"/>
          </w:tcPr>
          <w:p>
            <w:pPr>
              <w:spacing w:before="0" w:after="0" w:line="252" w:lineRule="auto"/>
            </w:pPr>
            <w:r>
              <w:rPr>
                <w:rFonts w:ascii="Calibri" w:hAnsi="Calibri"/>
                <w:color w:val="17324D"/>
                <w:sz w:val="17"/>
              </w:rPr>
              <w:t>“What did you notice, if anything?”</w:t>
            </w:r>
          </w:p>
        </w:tc>
        <w:tc>
          <w:tcPr>
            <w:tcW w:type="dxa" w:w="3200"/>
            <w:tcMar>
              <w:top w:w="80" w:type="dxa"/>
              <w:start w:w="120" w:type="dxa"/>
              <w:bottom w:w="80" w:type="dxa"/>
              <w:end w:w="120" w:type="dxa"/>
            </w:tcMar>
            <w:vAlign w:val="center"/>
          </w:tcPr>
          <w:p>
            <w:pPr>
              <w:spacing w:before="0" w:after="0" w:line="252" w:lineRule="auto"/>
            </w:pPr>
            <w:r>
              <w:rPr>
                <w:rFonts w:ascii="Calibri" w:hAnsi="Calibri"/>
                <w:color w:val="17324D"/>
                <w:sz w:val="17"/>
              </w:rPr>
              <w:t>Invites observation without requiring a positive change.</w:t>
            </w:r>
          </w:p>
        </w:tc>
        <w:tc>
          <w:tcPr>
            <w:tcW w:type="dxa" w:w="3580"/>
            <w:tcMar>
              <w:top w:w="80" w:type="dxa"/>
              <w:start w:w="120" w:type="dxa"/>
              <w:bottom w:w="80" w:type="dxa"/>
              <w:end w:w="120" w:type="dxa"/>
            </w:tcMar>
            <w:vAlign w:val="center"/>
          </w:tcPr>
          <w:p>
            <w:pPr>
              <w:spacing w:before="0" w:after="0" w:line="252" w:lineRule="auto"/>
            </w:pPr>
            <w:r>
              <w:rPr>
                <w:rFonts w:ascii="Calibri" w:hAnsi="Calibri"/>
                <w:color w:val="17324D"/>
                <w:sz w:val="17"/>
              </w:rPr>
              <w:t>“Did this make you better?”</w:t>
            </w:r>
          </w:p>
        </w:tc>
      </w:tr>
      <w:tr>
        <w:trPr>
          <w:cantSplit/>
        </w:trPr>
        <w:tc>
          <w:tcPr>
            <w:tcW w:type="dxa" w:w="2580"/>
            <w:tcMar>
              <w:top w:w="80" w:type="dxa"/>
              <w:start w:w="120" w:type="dxa"/>
              <w:bottom w:w="80" w:type="dxa"/>
              <w:end w:w="120" w:type="dxa"/>
            </w:tcMar>
            <w:vAlign w:val="center"/>
          </w:tcPr>
          <w:p>
            <w:pPr>
              <w:spacing w:before="0" w:after="0" w:line="252" w:lineRule="auto"/>
            </w:pPr>
            <w:r>
              <w:rPr>
                <w:rFonts w:ascii="Calibri" w:hAnsi="Calibri"/>
                <w:color w:val="17324D"/>
                <w:sz w:val="17"/>
              </w:rPr>
              <w:t>“Would you keep this cue?”</w:t>
            </w:r>
          </w:p>
        </w:tc>
        <w:tc>
          <w:tcPr>
            <w:tcW w:type="dxa" w:w="3200"/>
            <w:tcMar>
              <w:top w:w="80" w:type="dxa"/>
              <w:start w:w="120" w:type="dxa"/>
              <w:bottom w:w="80" w:type="dxa"/>
              <w:end w:w="120" w:type="dxa"/>
            </w:tcMar>
            <w:vAlign w:val="center"/>
          </w:tcPr>
          <w:p>
            <w:pPr>
              <w:spacing w:before="0" w:after="0" w:line="252" w:lineRule="auto"/>
            </w:pPr>
            <w:r>
              <w:rPr>
                <w:rFonts w:ascii="Calibri" w:hAnsi="Calibri"/>
                <w:color w:val="17324D"/>
                <w:sz w:val="17"/>
              </w:rPr>
              <w:t>Lets the person choose what becomes part of their route.</w:t>
            </w:r>
          </w:p>
        </w:tc>
        <w:tc>
          <w:tcPr>
            <w:tcW w:type="dxa" w:w="3580"/>
            <w:tcMar>
              <w:top w:w="80" w:type="dxa"/>
              <w:start w:w="120" w:type="dxa"/>
              <w:bottom w:w="80" w:type="dxa"/>
              <w:end w:w="120" w:type="dxa"/>
            </w:tcMar>
            <w:vAlign w:val="center"/>
          </w:tcPr>
          <w:p>
            <w:pPr>
              <w:spacing w:before="0" w:after="0" w:line="252" w:lineRule="auto"/>
            </w:pPr>
            <w:r>
              <w:rPr>
                <w:rFonts w:ascii="Calibri" w:hAnsi="Calibri"/>
                <w:color w:val="17324D"/>
                <w:sz w:val="17"/>
              </w:rPr>
              <w:t>“Should we remember this about you?”</w:t>
            </w:r>
          </w:p>
        </w:tc>
      </w:tr>
      <w:tr>
        <w:trPr>
          <w:cantSplit/>
        </w:trPr>
        <w:tc>
          <w:tcPr>
            <w:tcW w:type="dxa" w:w="2580"/>
            <w:tcMar>
              <w:top w:w="80" w:type="dxa"/>
              <w:start w:w="120" w:type="dxa"/>
              <w:bottom w:w="80" w:type="dxa"/>
              <w:end w:w="120" w:type="dxa"/>
            </w:tcMar>
            <w:vAlign w:val="center"/>
          </w:tcPr>
          <w:p>
            <w:pPr>
              <w:spacing w:before="0" w:after="0" w:line="252" w:lineRule="auto"/>
            </w:pPr>
            <w:r>
              <w:rPr>
                <w:rFonts w:ascii="Calibri" w:hAnsi="Calibri"/>
                <w:color w:val="17324D"/>
                <w:sz w:val="17"/>
              </w:rPr>
              <w:t>“What fit today?”</w:t>
            </w:r>
          </w:p>
        </w:tc>
        <w:tc>
          <w:tcPr>
            <w:tcW w:type="dxa" w:w="3200"/>
            <w:tcMar>
              <w:top w:w="80" w:type="dxa"/>
              <w:start w:w="120" w:type="dxa"/>
              <w:bottom w:w="80" w:type="dxa"/>
              <w:end w:w="120" w:type="dxa"/>
            </w:tcMar>
            <w:vAlign w:val="center"/>
          </w:tcPr>
          <w:p>
            <w:pPr>
              <w:spacing w:before="0" w:after="0" w:line="252" w:lineRule="auto"/>
            </w:pPr>
            <w:r>
              <w:rPr>
                <w:rFonts w:ascii="Calibri" w:hAnsi="Calibri"/>
                <w:color w:val="17324D"/>
                <w:sz w:val="17"/>
              </w:rPr>
              <w:t>Centers context and non-universality.</w:t>
            </w:r>
          </w:p>
        </w:tc>
        <w:tc>
          <w:tcPr>
            <w:tcW w:type="dxa" w:w="3580"/>
            <w:tcMar>
              <w:top w:w="80" w:type="dxa"/>
              <w:start w:w="120" w:type="dxa"/>
              <w:bottom w:w="80" w:type="dxa"/>
              <w:end w:w="120" w:type="dxa"/>
            </w:tcMar>
            <w:vAlign w:val="center"/>
          </w:tcPr>
          <w:p>
            <w:pPr>
              <w:spacing w:before="0" w:after="0" w:line="252" w:lineRule="auto"/>
            </w:pPr>
            <w:r>
              <w:rPr>
                <w:rFonts w:ascii="Calibri" w:hAnsi="Calibri"/>
                <w:color w:val="17324D"/>
                <w:sz w:val="17"/>
              </w:rPr>
              <w:t>“What works for you?”</w:t>
            </w:r>
          </w:p>
        </w:tc>
      </w:tr>
      <w:tr>
        <w:trPr>
          <w:cantSplit/>
        </w:trPr>
        <w:tc>
          <w:tcPr>
            <w:tcW w:type="dxa" w:w="2580"/>
            <w:tcMar>
              <w:top w:w="80" w:type="dxa"/>
              <w:start w:w="120" w:type="dxa"/>
              <w:bottom w:w="80" w:type="dxa"/>
              <w:end w:w="120" w:type="dxa"/>
            </w:tcMar>
            <w:vAlign w:val="center"/>
          </w:tcPr>
          <w:p>
            <w:pPr>
              <w:spacing w:before="0" w:after="0" w:line="252" w:lineRule="auto"/>
            </w:pPr>
            <w:r>
              <w:rPr>
                <w:rFonts w:ascii="Calibri" w:hAnsi="Calibri"/>
                <w:color w:val="17324D"/>
                <w:sz w:val="17"/>
              </w:rPr>
              <w:t>“What would you change next time?”</w:t>
            </w:r>
          </w:p>
        </w:tc>
        <w:tc>
          <w:tcPr>
            <w:tcW w:type="dxa" w:w="3200"/>
            <w:tcMar>
              <w:top w:w="80" w:type="dxa"/>
              <w:start w:w="120" w:type="dxa"/>
              <w:bottom w:w="80" w:type="dxa"/>
              <w:end w:w="120" w:type="dxa"/>
            </w:tcMar>
            <w:vAlign w:val="center"/>
          </w:tcPr>
          <w:p>
            <w:pPr>
              <w:spacing w:before="0" w:after="0" w:line="252" w:lineRule="auto"/>
            </w:pPr>
            <w:r>
              <w:rPr>
                <w:rFonts w:ascii="Calibri" w:hAnsi="Calibri"/>
                <w:color w:val="17324D"/>
                <w:sz w:val="17"/>
              </w:rPr>
              <w:t>Supports user-directed adaptation.</w:t>
            </w:r>
          </w:p>
        </w:tc>
        <w:tc>
          <w:tcPr>
            <w:tcW w:type="dxa" w:w="3580"/>
            <w:tcMar>
              <w:top w:w="80" w:type="dxa"/>
              <w:start w:w="120" w:type="dxa"/>
              <w:bottom w:w="80" w:type="dxa"/>
              <w:end w:w="120" w:type="dxa"/>
            </w:tcMar>
            <w:vAlign w:val="center"/>
          </w:tcPr>
          <w:p>
            <w:pPr>
              <w:spacing w:before="0" w:after="0" w:line="252" w:lineRule="auto"/>
            </w:pPr>
            <w:r>
              <w:rPr>
                <w:rFonts w:ascii="Calibri" w:hAnsi="Calibri"/>
                <w:color w:val="17324D"/>
                <w:sz w:val="17"/>
              </w:rPr>
              <w:t>“Why did you fail?”</w:t>
            </w:r>
          </w:p>
        </w:tc>
      </w:tr>
      <w:tr>
        <w:trPr>
          <w:cantSplit/>
        </w:trPr>
        <w:tc>
          <w:tcPr>
            <w:tcW w:type="dxa" w:w="2580"/>
            <w:tcMar>
              <w:top w:w="80" w:type="dxa"/>
              <w:start w:w="120" w:type="dxa"/>
              <w:bottom w:w="80" w:type="dxa"/>
              <w:end w:w="120" w:type="dxa"/>
            </w:tcMar>
            <w:vAlign w:val="center"/>
          </w:tcPr>
          <w:p>
            <w:pPr>
              <w:spacing w:before="0" w:after="0" w:line="252" w:lineRule="auto"/>
            </w:pPr>
            <w:r>
              <w:rPr>
                <w:rFonts w:ascii="Calibri" w:hAnsi="Calibri"/>
                <w:color w:val="17324D"/>
                <w:sz w:val="17"/>
              </w:rPr>
              <w:t>“Would you like to leave a private note?”</w:t>
            </w:r>
          </w:p>
        </w:tc>
        <w:tc>
          <w:tcPr>
            <w:tcW w:type="dxa" w:w="3200"/>
            <w:tcMar>
              <w:top w:w="80" w:type="dxa"/>
              <w:start w:w="120" w:type="dxa"/>
              <w:bottom w:w="80" w:type="dxa"/>
              <w:end w:w="120" w:type="dxa"/>
            </w:tcMar>
            <w:vAlign w:val="center"/>
          </w:tcPr>
          <w:p>
            <w:pPr>
              <w:spacing w:before="0" w:after="0" w:line="252" w:lineRule="auto"/>
            </w:pPr>
            <w:r>
              <w:rPr>
                <w:rFonts w:ascii="Calibri" w:hAnsi="Calibri"/>
                <w:color w:val="17324D"/>
                <w:sz w:val="17"/>
              </w:rPr>
              <w:t>Makes text voluntary and legible.</w:t>
            </w:r>
          </w:p>
        </w:tc>
        <w:tc>
          <w:tcPr>
            <w:tcW w:type="dxa" w:w="3580"/>
            <w:tcMar>
              <w:top w:w="80" w:type="dxa"/>
              <w:start w:w="120" w:type="dxa"/>
              <w:bottom w:w="80" w:type="dxa"/>
              <w:end w:w="120" w:type="dxa"/>
            </w:tcMar>
            <w:vAlign w:val="center"/>
          </w:tcPr>
          <w:p>
            <w:pPr>
              <w:spacing w:before="0" w:after="0" w:line="252" w:lineRule="auto"/>
            </w:pPr>
            <w:r>
              <w:rPr>
                <w:rFonts w:ascii="Calibri" w:hAnsi="Calibri"/>
                <w:color w:val="17324D"/>
                <w:sz w:val="17"/>
              </w:rPr>
              <w:t>An open text field framed as required onboarding or evaluation.</w:t>
            </w:r>
          </w:p>
        </w:tc>
      </w:tr>
    </w:tbl>
    <w:p>
      <w:pPr>
        <w:spacing w:after="40"/>
      </w:pPr>
    </w:p>
    <w:p>
      <w:pPr>
        <w:pStyle w:val="Heading2"/>
        <w:keepNext/>
      </w:pPr>
      <w:r>
        <w:rPr>
          <w:rFonts w:ascii="Calibri" w:hAnsi="Calibri"/>
          <w:b/>
          <w:color w:val="2E74B5"/>
          <w:sz w:val="26"/>
        </w:rPr>
        <w:t>4.4 Prohibited reflection design</w:t>
      </w:r>
    </w:p>
    <w:p>
      <w:pPr>
        <w:spacing w:before="0" w:after="120" w:line="264" w:lineRule="auto"/>
      </w:pPr>
      <w:r>
        <w:rPr>
          <w:rFonts w:ascii="Calibri" w:hAnsi="Calibri"/>
          <w:i w:val="0"/>
          <w:color w:val="17324D"/>
          <w:sz w:val="22"/>
        </w:rPr>
        <w:t>V4 must not ask a person to rate their mood, productivity, sleep quality, anxiety, trauma, wellbeing, focus, self-worth, or mental state as a condition of continuing. It must not use daily journaling quotas, sentiment badges, emotional heatmaps, auto-generated summaries, “insights,” reminders to reflect, or language that implies the app is watching for a pattern.</w:t>
      </w:r>
    </w:p>
    <w:p>
      <w:pPr>
        <w:pStyle w:val="Heading2"/>
        <w:keepNext/>
      </w:pPr>
      <w:r>
        <w:rPr>
          <w:rFonts w:ascii="Calibri" w:hAnsi="Calibri"/>
          <w:b/>
          <w:color w:val="2E74B5"/>
          <w:sz w:val="26"/>
        </w:rPr>
        <w:t>4.5 Record display policy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7A5A00"/>
                <w:sz w:val="18"/>
              </w:rPr>
              <w:t xml:space="preserve">A RECORD IS A RECEIPT, NOT A REPORT CARD  </w:t>
            </w:r>
            <w:r>
              <w:rPr>
                <w:rFonts w:ascii="Calibri" w:hAnsi="Calibri"/>
                <w:color w:val="17324D"/>
                <w:sz w:val="21"/>
              </w:rPr>
              <w:t>Display what the person did or explicitly said in a named Mirellis context. Do not convert a series of events into a compliance percentage, score, streak, ranking, symptom history, calendar burden, or claim of improvement.</w:t>
            </w:r>
          </w:p>
        </w:tc>
      </w:tr>
    </w:tbl>
    <w:p>
      <w:pPr>
        <w:spacing w:after="40"/>
      </w:pPr>
    </w:p>
    <w:p>
      <w:pPr>
        <w:pStyle w:val="Heading1"/>
        <w:keepNext/>
      </w:pPr>
      <w:r>
        <w:rPr>
          <w:rFonts w:ascii="Calibri" w:hAnsi="Calibri"/>
          <w:b/>
          <w:color w:val="2E74B5"/>
          <w:sz w:val="32"/>
        </w:rPr>
        <w:t>5. Self-understanding without hidden interpretation</w:t>
      </w:r>
    </w:p>
    <w:p>
      <w:pPr>
        <w:pStyle w:val="Heading2"/>
        <w:keepNext/>
      </w:pPr>
      <w:r>
        <w:rPr>
          <w:rFonts w:ascii="Calibri" w:hAnsi="Calibri"/>
          <w:b/>
          <w:color w:val="2E74B5"/>
          <w:sz w:val="26"/>
        </w:rPr>
        <w:t>5.1 The V4 review method</w:t>
      </w:r>
    </w:p>
    <w:p>
      <w:pPr>
        <w:spacing w:before="0" w:after="120" w:line="264" w:lineRule="auto"/>
      </w:pPr>
      <w:r>
        <w:rPr>
          <w:rFonts w:ascii="Calibri" w:hAnsi="Calibri"/>
          <w:i w:val="0"/>
          <w:color w:val="17324D"/>
          <w:sz w:val="22"/>
        </w:rPr>
        <w:t>The Personal Observatory can help a person look across their own visible records, but it must never claim to discover a hidden truth. The design sequence is: show source material → let the person choose a scope → ask a neutral question → let them make or decline a note → offer a cue or self-guided route they can edit. The product does not generate an answer on the person’s behalf.</w:t>
      </w:r>
    </w:p>
    <w:p>
      <w:pPr>
        <w:pStyle w:val="Heading2"/>
        <w:keepNext/>
      </w:pPr>
      <w:r>
        <w:rPr>
          <w:rFonts w:ascii="Calibri" w:hAnsi="Calibri"/>
          <w:b/>
          <w:color w:val="2E74B5"/>
          <w:sz w:val="26"/>
        </w:rPr>
        <w:t>5.2 Permitted review scopes</w:t>
      </w:r>
    </w:p>
    <w:tbl>
      <w:tblPr>
        <w:tblW w:type="dxa" w:w="9360"/>
        <w:jc w:val="left"/>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Scope</w:t>
            </w:r>
          </w:p>
        </w:tc>
        <w:tc>
          <w:tcPr>
            <w:tcW w:type="dxa" w:w="42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What the person sees</w:t>
            </w:r>
          </w:p>
        </w:tc>
        <w:tc>
          <w:tcPr>
            <w:tcW w:type="dxa" w:w="33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Review question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7"/>
              </w:rPr>
              <w:t>One transition</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17324D"/>
                <w:sz w:val="17"/>
              </w:rPr>
              <w:t>Their completed, skipped, alternate, and saved-cue records for a named transition.</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17324D"/>
                <w:sz w:val="17"/>
              </w:rPr>
              <w:t>“What did you choose to keep from these moments?”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7"/>
              </w:rPr>
              <w:t>One cue</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17324D"/>
                <w:sz w:val="17"/>
              </w:rPr>
              <w:t>Where the person explicitly saved, used, changed, or removed that cue.</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17324D"/>
                <w:sz w:val="17"/>
              </w:rPr>
              <w:t>“When did this cue fit, if it did?”</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7"/>
              </w:rPr>
              <w:t>One recent window</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17324D"/>
                <w:sz w:val="17"/>
              </w:rPr>
              <w:t>A user-chosen 7, 14, or 30-day list, ordered by date, with no score.</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17324D"/>
                <w:sz w:val="17"/>
              </w:rPr>
              <w:t>“What feels different across these moments?”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7"/>
              </w:rPr>
              <w:t>Self-guided route</w:t>
            </w:r>
          </w:p>
        </w:tc>
        <w:tc>
          <w:tcPr>
            <w:tcW w:type="dxa" w:w="4200"/>
            <w:tcMar>
              <w:top w:w="80" w:type="dxa"/>
              <w:start w:w="120" w:type="dxa"/>
              <w:bottom w:w="80" w:type="dxa"/>
              <w:end w:w="120" w:type="dxa"/>
            </w:tcMar>
            <w:vAlign w:val="center"/>
          </w:tcPr>
          <w:p>
            <w:pPr>
              <w:spacing w:before="0" w:after="0" w:line="252" w:lineRule="auto"/>
            </w:pPr>
            <w:r>
              <w:rPr>
                <w:rFonts w:ascii="Calibri" w:hAnsi="Calibri"/>
                <w:color w:val="17324D"/>
                <w:sz w:val="17"/>
              </w:rPr>
              <w:t>Routes the person created and their own explicit fit response.</w:t>
            </w:r>
          </w:p>
        </w:tc>
        <w:tc>
          <w:tcPr>
            <w:tcW w:type="dxa" w:w="3360"/>
            <w:tcMar>
              <w:top w:w="80" w:type="dxa"/>
              <w:start w:w="120" w:type="dxa"/>
              <w:bottom w:w="80" w:type="dxa"/>
              <w:end w:w="120" w:type="dxa"/>
            </w:tcMar>
            <w:vAlign w:val="center"/>
          </w:tcPr>
          <w:p>
            <w:pPr>
              <w:spacing w:before="0" w:after="0" w:line="252" w:lineRule="auto"/>
            </w:pPr>
            <w:r>
              <w:rPr>
                <w:rFonts w:ascii="Calibri" w:hAnsi="Calibri"/>
                <w:color w:val="17324D"/>
                <w:sz w:val="17"/>
              </w:rPr>
              <w:t>“Would you like to keep, change, or remove this route?”</w:t>
            </w:r>
          </w:p>
        </w:tc>
      </w:tr>
    </w:tbl>
    <w:p>
      <w:pPr>
        <w:spacing w:after="40"/>
      </w:pPr>
    </w:p>
    <w:p>
      <w:pPr>
        <w:pStyle w:val="Heading2"/>
        <w:keepNext/>
      </w:pPr>
      <w:r>
        <w:rPr>
          <w:rFonts w:ascii="Calibri" w:hAnsi="Calibri"/>
          <w:b/>
          <w:color w:val="2E74B5"/>
          <w:sz w:val="26"/>
        </w:rPr>
        <w:t>5.3 Permitted system statements</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Mirellis may say</w:t>
            </w:r>
          </w:p>
        </w:tc>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Because it is directly visible</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saved this cue on 3 August after the Wind-down transition.”</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is a factual local record.</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marked this cue ‘partly fit’ the last time you used it.”</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repeats an explicit response without interpreting it.</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“This cue is hidden from suggestions because you asked not to see it for now.”</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explains an editable user control.</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can use this route without opening Mirellis.”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supports independence rather than a claim about an outcome.</w:t>
            </w:r>
          </w:p>
        </w:tc>
      </w:tr>
    </w:tbl>
    <w:p>
      <w:pPr>
        <w:spacing w:after="40"/>
      </w:pPr>
    </w:p>
    <w:p>
      <w:pPr>
        <w:pStyle w:val="Heading2"/>
        <w:keepNext/>
      </w:pPr>
      <w:r>
        <w:rPr>
          <w:rFonts w:ascii="Calibri" w:hAnsi="Calibri"/>
          <w:b/>
          <w:color w:val="2E74B5"/>
          <w:sz w:val="26"/>
        </w:rPr>
        <w:t>5.4 Prohibited system statements</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Mirellis must not say</w:t>
            </w:r>
          </w:p>
        </w:tc>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Why</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are more focused on days when…”</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This creates a causal or trait-level interpretation from incomplete local records.</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“We detected a pattern in your stress / sleep / mood.”</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implies hidden analysis and a health-adjacent claim.</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have improved 24%.”</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creates a score and an unsupported outcome claim.</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should use this because you need recovery.”</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claims knowledge of a current internal state the person did not explicitly select.</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“Your journal suggests…”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It treats private free text as model input and simulates interpretation.</w:t>
            </w:r>
          </w:p>
        </w:tc>
      </w:tr>
    </w:tbl>
    <w:p>
      <w:pPr>
        <w:spacing w:after="40"/>
      </w:pPr>
    </w:p>
    <w:p>
      <w:pPr>
        <w:pStyle w:val="Heading2"/>
        <w:keepNext/>
      </w:pPr>
      <w:r>
        <w:rPr>
          <w:rFonts w:ascii="Calibri" w:hAnsi="Calibri"/>
          <w:b/>
          <w:color w:val="2E74B5"/>
          <w:sz w:val="26"/>
        </w:rPr>
        <w:t>5.5 User-authored patterns</w:t>
      </w:r>
    </w:p>
    <w:p>
      <w:pPr>
        <w:spacing w:before="0" w:after="120" w:line="264" w:lineRule="auto"/>
      </w:pPr>
      <w:r>
        <w:rPr>
          <w:rFonts w:ascii="Calibri" w:hAnsi="Calibri"/>
          <w:i w:val="0"/>
          <w:color w:val="17324D"/>
          <w:sz w:val="22"/>
        </w:rPr>
        <w:t>A person may create their own note such as “This route feels realistic on crowded mornings.” The note belongs to them. The app may show it exactly as written in their Personal Observatory, but may not turn it into a new routing rule without an explicit separate user action such as “Offer this route when I choose a crowded moment.” Even then, the rule must be visible, editable, and removable.</w:t>
      </w:r>
    </w:p>
    <w:p>
      <w:pPr>
        <w:pStyle w:val="Heading1"/>
        <w:keepNext/>
      </w:pPr>
      <w:r>
        <w:rPr>
          <w:rFonts w:ascii="Calibri" w:hAnsi="Calibri"/>
          <w:b/>
          <w:color w:val="2E74B5"/>
          <w:sz w:val="32"/>
        </w:rPr>
        <w:t>6. Information architecture and end-to-end flows</w:t>
      </w:r>
    </w:p>
    <w:p>
      <w:pPr>
        <w:pStyle w:val="Heading2"/>
        <w:keepNext/>
      </w:pPr>
      <w:r>
        <w:rPr>
          <w:rFonts w:ascii="Calibri" w:hAnsi="Calibri"/>
          <w:b/>
          <w:color w:val="2E74B5"/>
          <w:sz w:val="26"/>
        </w:rPr>
        <w:t>6.1 Primary navigation</w:t>
      </w:r>
    </w:p>
    <w:tbl>
      <w:tblPr>
        <w:tblW w:type="dxa" w:w="9360"/>
        <w:jc w:val="left"/>
        <w:tblLayout w:type="fixed"/>
        <w:tblLook w:firstColumn="1" w:firstRow="1" w:lastColumn="0" w:lastRow="0" w:noHBand="0" w:noVBand="1" w:val="04A0"/>
        <w:tblInd w:w="120" w:type="dxa"/>
      </w:tblPr>
      <w:tblGrid>
        <w:gridCol w:w="1500"/>
        <w:gridCol w:w="1500"/>
        <w:gridCol w:w="4360"/>
        <w:gridCol w:w="2000"/>
      </w:tblGrid>
      <w:tr>
        <w:trPr>
          <w:tblHeader w:val="true"/>
          <w:cantSplit/>
        </w:trPr>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Surface</w:t>
            </w:r>
          </w:p>
        </w:tc>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Consumer label</w:t>
            </w:r>
          </w:p>
        </w:tc>
        <w:tc>
          <w:tcPr>
            <w:tcW w:type="dxa" w:w="43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Purpose</w:t>
            </w:r>
          </w:p>
        </w:tc>
        <w:tc>
          <w:tcPr>
            <w:tcW w:type="dxa" w:w="20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Always available action</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Transition home</w:t>
            </w:r>
          </w:p>
        </w:tc>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Today</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17324D"/>
                <w:sz w:val="17"/>
              </w:rPr>
              <w:t>Start, choose another transition/route, or leave.</w:t>
            </w:r>
          </w:p>
        </w:tc>
        <w:tc>
          <w:tcPr>
            <w:tcW w:type="dxa" w:w="2000"/>
            <w:tcMar>
              <w:top w:w="80" w:type="dxa"/>
              <w:start w:w="120" w:type="dxa"/>
              <w:bottom w:w="80" w:type="dxa"/>
              <w:end w:w="120" w:type="dxa"/>
            </w:tcMar>
            <w:vAlign w:val="center"/>
          </w:tcPr>
          <w:p>
            <w:pPr>
              <w:spacing w:before="0" w:after="0" w:line="252" w:lineRule="auto"/>
            </w:pPr>
            <w:r>
              <w:rPr>
                <w:rFonts w:ascii="Calibri" w:hAnsi="Calibri"/>
                <w:color w:val="17324D"/>
                <w:sz w:val="17"/>
              </w:rPr>
              <w:t>Use without Mirellis / Leave for today.</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Personal Observatory</w:t>
            </w:r>
          </w:p>
        </w:tc>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My record</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17324D"/>
                <w:sz w:val="17"/>
              </w:rPr>
              <w:t>Review personal records, saved cues, routes, and private notes.</w:t>
            </w:r>
          </w:p>
        </w:tc>
        <w:tc>
          <w:tcPr>
            <w:tcW w:type="dxa" w:w="2000"/>
            <w:tcMar>
              <w:top w:w="80" w:type="dxa"/>
              <w:start w:w="120" w:type="dxa"/>
              <w:bottom w:w="80" w:type="dxa"/>
              <w:end w:w="120" w:type="dxa"/>
            </w:tcMar>
            <w:vAlign w:val="center"/>
          </w:tcPr>
          <w:p>
            <w:pPr>
              <w:spacing w:before="0" w:after="0" w:line="252" w:lineRule="auto"/>
            </w:pPr>
            <w:r>
              <w:rPr>
                <w:rFonts w:ascii="Calibri" w:hAnsi="Calibri"/>
                <w:color w:val="17324D"/>
                <w:sz w:val="17"/>
              </w:rPr>
              <w:t>Privacy &amp; controls.</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Record detail</w:t>
            </w:r>
          </w:p>
        </w:tc>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One moment</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17324D"/>
                <w:sz w:val="17"/>
              </w:rPr>
              <w:t>See the source experience and the person’s explicit response/note.</w:t>
            </w:r>
          </w:p>
        </w:tc>
        <w:tc>
          <w:tcPr>
            <w:tcW w:type="dxa" w:w="2000"/>
            <w:tcMar>
              <w:top w:w="80" w:type="dxa"/>
              <w:start w:w="120" w:type="dxa"/>
              <w:bottom w:w="80" w:type="dxa"/>
              <w:end w:w="120" w:type="dxa"/>
            </w:tcMar>
            <w:vAlign w:val="center"/>
          </w:tcPr>
          <w:p>
            <w:pPr>
              <w:spacing w:before="0" w:after="0" w:line="252" w:lineRule="auto"/>
            </w:pPr>
            <w:r>
              <w:rPr>
                <w:rFonts w:ascii="Calibri" w:hAnsi="Calibri"/>
                <w:color w:val="17324D"/>
                <w:sz w:val="17"/>
              </w:rPr>
              <w:t>Edit / delete.</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My routes</w:t>
            </w:r>
          </w:p>
        </w:tc>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My routes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17324D"/>
                <w:sz w:val="17"/>
              </w:rPr>
              <w:t>Build, reorder, use, or remove self-directed cue routes.</w:t>
            </w:r>
          </w:p>
        </w:tc>
        <w:tc>
          <w:tcPr>
            <w:tcW w:type="dxa" w:w="2000"/>
            <w:tcMar>
              <w:top w:w="80" w:type="dxa"/>
              <w:start w:w="120" w:type="dxa"/>
              <w:bottom w:w="80" w:type="dxa"/>
              <w:end w:w="120" w:type="dxa"/>
            </w:tcMar>
            <w:vAlign w:val="center"/>
          </w:tcPr>
          <w:p>
            <w:pPr>
              <w:spacing w:before="0" w:after="0" w:line="252" w:lineRule="auto"/>
            </w:pPr>
            <w:r>
              <w:rPr>
                <w:rFonts w:ascii="Calibri" w:hAnsi="Calibri"/>
                <w:color w:val="17324D"/>
                <w:sz w:val="17"/>
              </w:rPr>
              <w:t>Use this route without Mirellis.</w:t>
            </w:r>
          </w:p>
        </w:tc>
      </w:tr>
      <w:tr>
        <w:trPr>
          <w:cantSplit/>
        </w:trPr>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Controls</w:t>
            </w:r>
          </w:p>
        </w:tc>
        <w:tc>
          <w:tcPr>
            <w:tcW w:type="dxa" w:w="1500"/>
            <w:tcMar>
              <w:top w:w="80" w:type="dxa"/>
              <w:start w:w="120" w:type="dxa"/>
              <w:bottom w:w="80" w:type="dxa"/>
              <w:end w:w="120" w:type="dxa"/>
            </w:tcMar>
            <w:vAlign w:val="center"/>
          </w:tcPr>
          <w:p>
            <w:pPr>
              <w:spacing w:before="0" w:after="0" w:line="252" w:lineRule="auto"/>
            </w:pPr>
            <w:r>
              <w:rPr>
                <w:rFonts w:ascii="Calibri" w:hAnsi="Calibri"/>
                <w:color w:val="17324D"/>
                <w:sz w:val="17"/>
              </w:rPr>
              <w:t>Privacy &amp; controls</w:t>
            </w:r>
          </w:p>
        </w:tc>
        <w:tc>
          <w:tcPr>
            <w:tcW w:type="dxa" w:w="4360"/>
            <w:tcMar>
              <w:top w:w="80" w:type="dxa"/>
              <w:start w:w="120" w:type="dxa"/>
              <w:bottom w:w="80" w:type="dxa"/>
              <w:end w:w="120" w:type="dxa"/>
            </w:tcMar>
            <w:vAlign w:val="center"/>
          </w:tcPr>
          <w:p>
            <w:pPr>
              <w:spacing w:before="0" w:after="0" w:line="252" w:lineRule="auto"/>
            </w:pPr>
            <w:r>
              <w:rPr>
                <w:rFonts w:ascii="Calibri" w:hAnsi="Calibri"/>
                <w:color w:val="17324D"/>
                <w:sz w:val="17"/>
              </w:rPr>
              <w:t>Inspect data, permissions, export, reset, delete, and support limits.</w:t>
            </w:r>
          </w:p>
        </w:tc>
        <w:tc>
          <w:tcPr>
            <w:tcW w:type="dxa" w:w="2000"/>
            <w:tcMar>
              <w:top w:w="80" w:type="dxa"/>
              <w:start w:w="120" w:type="dxa"/>
              <w:bottom w:w="80" w:type="dxa"/>
              <w:end w:w="120" w:type="dxa"/>
            </w:tcMar>
            <w:vAlign w:val="center"/>
          </w:tcPr>
          <w:p>
            <w:pPr>
              <w:spacing w:before="0" w:after="0" w:line="252" w:lineRule="auto"/>
            </w:pPr>
            <w:r>
              <w:rPr>
                <w:rFonts w:ascii="Calibri" w:hAnsi="Calibri"/>
                <w:color w:val="17324D"/>
                <w:sz w:val="17"/>
              </w:rPr>
              <w:t>Delete all local data.</w:t>
            </w:r>
          </w:p>
        </w:tc>
      </w:tr>
    </w:tbl>
    <w:p>
      <w:pPr>
        <w:spacing w:after="40"/>
      </w:pPr>
    </w:p>
    <w:p>
      <w:pPr>
        <w:pStyle w:val="Heading2"/>
        <w:keepNext/>
      </w:pPr>
      <w:r>
        <w:rPr>
          <w:rFonts w:ascii="Calibri" w:hAnsi="Calibri"/>
          <w:b/>
          <w:color w:val="2E74B5"/>
          <w:sz w:val="26"/>
        </w:rPr>
        <w:t>6.2 Flow A — After an experience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2E74B5"/>
                <w:sz w:val="18"/>
              </w:rPr>
              <w:t xml:space="preserve">FLOW  </w:t>
            </w:r>
            <w:r>
              <w:rPr>
                <w:rFonts w:ascii="Calibri" w:hAnsi="Calibri"/>
                <w:color w:val="17324D"/>
                <w:sz w:val="21"/>
              </w:rPr>
              <w:t>Quiet completion → optional structured reflection → optional “Save this cue” → “View this moment in My record” or “Continue without Mirellis.” The user must never be forced into reflection or routed automatically to the Observatory.</w:t>
            </w:r>
          </w:p>
        </w:tc>
      </w:tr>
    </w:tbl>
    <w:p>
      <w:pPr>
        <w:spacing w:after="40"/>
      </w:pPr>
    </w:p>
    <w:tbl>
      <w:tblPr>
        <w:tblW w:type="dxa" w:w="9360"/>
        <w:jc w:val="left"/>
        <w:tblLayout w:type="fixed"/>
        <w:tblLook w:firstColumn="1" w:firstRow="1" w:lastColumn="0" w:lastRow="0" w:noHBand="0" w:noVBand="1" w:val="04A0"/>
        <w:tblInd w:w="120" w:type="dxa"/>
      </w:tblPr>
      <w:tblGrid>
        <w:gridCol w:w="750"/>
        <w:gridCol w:w="5350"/>
        <w:gridCol w:w="3260"/>
      </w:tblGrid>
      <w:tr>
        <w:trPr>
          <w:tblHeader w:val="true"/>
          <w:cantSplit/>
        </w:trPr>
        <w:tc>
          <w:tcPr>
            <w:tcW w:type="dxa" w:w="7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Step</w:t>
            </w:r>
          </w:p>
        </w:tc>
        <w:tc>
          <w:tcPr>
            <w:tcW w:type="dxa" w:w="53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Screen / behaviour</w:t>
            </w:r>
          </w:p>
        </w:tc>
        <w:tc>
          <w:tcPr>
            <w:tcW w:type="dxa" w:w="32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Exit and protection</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A1</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Experience completes with neutral acknowledgement.</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confetti, score, streak, retention prompt, or forced next experience.</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A2</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Show at most one structured question such as “What fit, if anything?”</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Skip is equal to answering; do not ask again in the same moment.</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A3</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If a cue is eligible, offer “Save this cue” with a brief explanation.</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Not now is visible; do not infer a cue from completion.</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A4</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Offer “View in My record” as a secondary action.</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Primary action remains “Continue” or “Leave for today.”</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A5</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If the person opens the record, show only that record in context.</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Private text disclosure remains optional and local.</w:t>
            </w:r>
          </w:p>
        </w:tc>
      </w:tr>
    </w:tbl>
    <w:p>
      <w:pPr>
        <w:spacing w:after="40"/>
      </w:pPr>
    </w:p>
    <w:p>
      <w:pPr>
        <w:pStyle w:val="Heading2"/>
        <w:keepNext/>
      </w:pPr>
      <w:r>
        <w:rPr>
          <w:rFonts w:ascii="Calibri" w:hAnsi="Calibri"/>
          <w:b/>
          <w:color w:val="2E74B5"/>
          <w:sz w:val="26"/>
        </w:rPr>
        <w:t>6.3 Flow B — Open My record</w:t>
      </w:r>
    </w:p>
    <w:tbl>
      <w:tblPr>
        <w:tblW w:type="dxa" w:w="9360"/>
        <w:jc w:val="left"/>
        <w:tblLayout w:type="fixed"/>
        <w:tblLook w:firstColumn="1" w:firstRow="1" w:lastColumn="0" w:lastRow="0" w:noHBand="0" w:noVBand="1" w:val="04A0"/>
        <w:tblInd w:w="120" w:type="dxa"/>
      </w:tblPr>
      <w:tblGrid>
        <w:gridCol w:w="750"/>
        <w:gridCol w:w="5350"/>
        <w:gridCol w:w="3260"/>
      </w:tblGrid>
      <w:tr>
        <w:trPr>
          <w:tblHeader w:val="true"/>
          <w:cantSplit/>
        </w:trPr>
        <w:tc>
          <w:tcPr>
            <w:tcW w:type="dxa" w:w="7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Step</w:t>
            </w:r>
          </w:p>
        </w:tc>
        <w:tc>
          <w:tcPr>
            <w:tcW w:type="dxa" w:w="53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Screen / behaviour</w:t>
            </w:r>
          </w:p>
        </w:tc>
        <w:tc>
          <w:tcPr>
            <w:tcW w:type="dxa" w:w="32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Exit and protection</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B1</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Open at My record: Recent moments, My routes, Saved cues, Private notes.</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“insight” card, score, chart, or default interpretation.</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B2</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User selects a transition or recent window.</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Scope is chosen by the person; do not recommend a review based on hidden activity.</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B3</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Show a chronological list of visible records with source labels.</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collapsing of skips/alternates into failure language.</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B4</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User opens one moment, edits/deletes it, or selects “Review these moments.”</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Review is optional and starts from source material.</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B5</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A neutral review question appears with optional private note.</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auto-generated conclusion; person can close with no change.</w:t>
            </w:r>
          </w:p>
        </w:tc>
      </w:tr>
    </w:tbl>
    <w:p>
      <w:pPr>
        <w:spacing w:after="40"/>
      </w:pPr>
    </w:p>
    <w:p>
      <w:pPr>
        <w:pStyle w:val="Heading2"/>
        <w:keepNext/>
      </w:pPr>
      <w:r>
        <w:rPr>
          <w:rFonts w:ascii="Calibri" w:hAnsi="Calibri"/>
          <w:b/>
          <w:color w:val="2E74B5"/>
          <w:sz w:val="26"/>
        </w:rPr>
        <w:t>6.4 Flow C — Build or use a personal route</w:t>
      </w:r>
    </w:p>
    <w:tbl>
      <w:tblPr>
        <w:tblW w:type="dxa" w:w="9360"/>
        <w:jc w:val="left"/>
        <w:tblLayout w:type="fixed"/>
        <w:tblLook w:firstColumn="1" w:firstRow="1" w:lastColumn="0" w:lastRow="0" w:noHBand="0" w:noVBand="1" w:val="04A0"/>
        <w:tblInd w:w="120" w:type="dxa"/>
      </w:tblPr>
      <w:tblGrid>
        <w:gridCol w:w="750"/>
        <w:gridCol w:w="5350"/>
        <w:gridCol w:w="3260"/>
      </w:tblGrid>
      <w:tr>
        <w:trPr>
          <w:tblHeader w:val="true"/>
          <w:cantSplit/>
        </w:trPr>
        <w:tc>
          <w:tcPr>
            <w:tcW w:type="dxa" w:w="7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Step</w:t>
            </w:r>
          </w:p>
        </w:tc>
        <w:tc>
          <w:tcPr>
            <w:tcW w:type="dxa" w:w="53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Screen / behaviour</w:t>
            </w:r>
          </w:p>
        </w:tc>
        <w:tc>
          <w:tcPr>
            <w:tcW w:type="dxa" w:w="32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Exit and protection</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C1</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User opens My routes or selects “Build a route” from a saved cue.</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Route creation never requires finishing a curriculum stage.</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C2</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Select one or two eligible user-saved cues for a named transition.</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hidden cue selection and no default calendar schedule.</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C3</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Reorder and rename the route in the person’s own words if desired.</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Names are local-only and cannot become AI/profile data.</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C4</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Choose Use now, Edit, or Use without Mirellis.</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Using without app creates no missed-session state.</w:t>
            </w:r>
          </w:p>
        </w:tc>
      </w:tr>
      <w:tr>
        <w:trPr>
          <w:cantSplit/>
        </w:trPr>
        <w:tc>
          <w:tcPr>
            <w:tcW w:type="dxa" w:w="750"/>
            <w:tcMar>
              <w:top w:w="80" w:type="dxa"/>
              <w:start w:w="120" w:type="dxa"/>
              <w:bottom w:w="80" w:type="dxa"/>
              <w:end w:w="120" w:type="dxa"/>
            </w:tcMar>
            <w:vAlign w:val="center"/>
          </w:tcPr>
          <w:p>
            <w:pPr>
              <w:spacing w:before="0" w:after="0" w:line="252" w:lineRule="auto"/>
            </w:pPr>
            <w:r>
              <w:rPr>
                <w:rFonts w:ascii="Calibri" w:hAnsi="Calibri"/>
                <w:color w:val="17324D"/>
                <w:sz w:val="17"/>
              </w:rPr>
              <w:t>C5</w:t>
            </w:r>
          </w:p>
        </w:tc>
        <w:tc>
          <w:tcPr>
            <w:tcW w:type="dxa" w:w="5350"/>
            <w:tcMar>
              <w:top w:w="80" w:type="dxa"/>
              <w:start w:w="120" w:type="dxa"/>
              <w:bottom w:w="80" w:type="dxa"/>
              <w:end w:w="120" w:type="dxa"/>
            </w:tcMar>
            <w:vAlign w:val="center"/>
          </w:tcPr>
          <w:p>
            <w:pPr>
              <w:spacing w:before="0" w:after="0" w:line="252" w:lineRule="auto"/>
            </w:pPr>
            <w:r>
              <w:rPr>
                <w:rFonts w:ascii="Calibri" w:hAnsi="Calibri"/>
                <w:color w:val="17324D"/>
                <w:sz w:val="17"/>
              </w:rPr>
              <w:t>Optional post-route fit response; route can be retained, changed, or removed.</w:t>
            </w:r>
          </w:p>
        </w:tc>
        <w:tc>
          <w:tcPr>
            <w:tcW w:type="dxa" w:w="3260"/>
            <w:tcMar>
              <w:top w:w="80" w:type="dxa"/>
              <w:start w:w="120" w:type="dxa"/>
              <w:bottom w:w="80" w:type="dxa"/>
              <w:end w:w="120" w:type="dxa"/>
            </w:tcMar>
            <w:vAlign w:val="center"/>
          </w:tcPr>
          <w:p>
            <w:pPr>
              <w:spacing w:before="0" w:after="0" w:line="252" w:lineRule="auto"/>
            </w:pPr>
            <w:r>
              <w:rPr>
                <w:rFonts w:ascii="Calibri" w:hAnsi="Calibri"/>
                <w:color w:val="17324D"/>
                <w:sz w:val="17"/>
              </w:rPr>
              <w:t>No route is treated as an obligation or success metric.</w:t>
            </w:r>
          </w:p>
        </w:tc>
      </w:tr>
    </w:tbl>
    <w:p>
      <w:pPr>
        <w:spacing w:after="40"/>
      </w:pPr>
    </w:p>
    <w:p>
      <w:pPr>
        <w:pStyle w:val="Heading2"/>
        <w:keepNext/>
      </w:pPr>
      <w:r>
        <w:rPr>
          <w:rFonts w:ascii="Calibri" w:hAnsi="Calibri"/>
          <w:b/>
          <w:color w:val="2E74B5"/>
          <w:sz w:val="26"/>
        </w:rPr>
        <w:t>6.5 Flow D — Delete or export</w:t>
      </w:r>
    </w:p>
    <w:p>
      <w:pPr>
        <w:spacing w:before="0" w:after="120" w:line="264" w:lineRule="auto"/>
      </w:pPr>
      <w:r>
        <w:rPr>
          <w:rFonts w:ascii="Calibri" w:hAnsi="Calibri"/>
          <w:i w:val="0"/>
          <w:color w:val="17324D"/>
          <w:sz w:val="22"/>
        </w:rPr>
        <w:t>From Privacy &amp; controls, the person may delete one note, one cue, one record, all data for a transition, or all local Mirellis data. Each destructive action must identify the exact local material affected and whether it affects a separate consented backup. Export generates a human-readable plain-text file and structured JSON locally. Neither action should be buried behind an account prompt.</w:t>
      </w:r>
    </w:p>
    <w:p>
      <w:pPr>
        <w:pStyle w:val="Heading1"/>
        <w:keepNext/>
      </w:pPr>
      <w:r>
        <w:rPr>
          <w:rFonts w:ascii="Calibri" w:hAnsi="Calibri"/>
          <w:b/>
          <w:color w:val="2E74B5"/>
          <w:sz w:val="32"/>
        </w:rPr>
        <w:t>7. Screen-by-screen product specification</w:t>
      </w:r>
    </w:p>
    <w:p>
      <w:pPr>
        <w:pStyle w:val="Heading2"/>
        <w:keepNext/>
      </w:pPr>
      <w:r>
        <w:rPr>
          <w:rFonts w:ascii="Calibri" w:hAnsi="Calibri"/>
          <w:b/>
          <w:color w:val="2E74B5"/>
          <w:sz w:val="26"/>
        </w:rPr>
        <w:t>7.1 Screen inventory</w:t>
      </w:r>
    </w:p>
    <w:tbl>
      <w:tblPr>
        <w:tblW w:type="dxa" w:w="9360"/>
        <w:jc w:val="left"/>
        <w:tblLayout w:type="fixed"/>
        <w:tblLook w:firstColumn="1" w:firstRow="1" w:lastColumn="0" w:lastRow="0" w:noHBand="0" w:noVBand="1" w:val="04A0"/>
        <w:tblInd w:w="120" w:type="dxa"/>
      </w:tblPr>
      <w:tblGrid>
        <w:gridCol w:w="800"/>
        <w:gridCol w:w="1750"/>
        <w:gridCol w:w="3500"/>
        <w:gridCol w:w="3310"/>
      </w:tblGrid>
      <w:tr>
        <w:trPr>
          <w:tblHeader w:val="true"/>
          <w:cantSplit/>
        </w:trPr>
        <w:tc>
          <w:tcPr>
            <w:tcW w:type="dxa" w:w="8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ID</w:t>
            </w:r>
          </w:p>
        </w:tc>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Screen</w:t>
            </w:r>
          </w:p>
        </w:tc>
        <w:tc>
          <w:tcPr>
            <w:tcW w:type="dxa" w:w="35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Primary job</w:t>
            </w:r>
          </w:p>
        </w:tc>
        <w:tc>
          <w:tcPr>
            <w:tcW w:type="dxa" w:w="331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Required controls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PO-01</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My record</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Orient the user to their own observable material.</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Transition filter, recent window, open moment, My routes, Saved cues, Private notes, Privacy &amp; controls.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PO-02</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Transition record</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Show a chronological record for one transition.</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Date range, record detail, review these moments, delete transition data.</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PO-03</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One moment</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Show the source and explicit content of a single record.</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Edit note, remove cue, delete record, back to transition.</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PO-04</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Review these moments</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Create a non-leading private reflection from visible records.</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Scope, neutral question, optional note, close.</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PO-05</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Saved cues</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Inspect and control user-saved cues.</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Why this cue?, edit label, use, hide, delete.</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PO-06</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My routes</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Create/use self-guided routes.</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Create, reorder, edit, use now, use without Mirellis, delete.</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PO-07</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Route builder</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Make a route with one or two explicit cues.</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Cue picker, order, name, save, cancel.</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PO-08</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Why this?</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Explain a suggested cue/route in plain language.</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Evidence basis, expiry, remove evidence/cue, back.</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PO-09</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Privacy &amp; controls</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Give direct control over local records and optional permissions.</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Export, delete item/transition/all, analytics/research/back-up permissions, support limits.</w:t>
            </w:r>
          </w:p>
        </w:tc>
      </w:tr>
      <w:tr>
        <w:trPr>
          <w:cantSplit/>
        </w:trPr>
        <w:tc>
          <w:tcPr>
            <w:tcW w:type="dxa" w:w="800"/>
            <w:tcMar>
              <w:top w:w="80" w:type="dxa"/>
              <w:start w:w="120" w:type="dxa"/>
              <w:bottom w:w="80" w:type="dxa"/>
              <w:end w:w="120" w:type="dxa"/>
            </w:tcMar>
            <w:vAlign w:val="center"/>
          </w:tcPr>
          <w:p>
            <w:pPr>
              <w:spacing w:before="0" w:after="0" w:line="252" w:lineRule="auto"/>
            </w:pPr>
            <w:r>
              <w:rPr>
                <w:rFonts w:ascii="Calibri" w:hAnsi="Calibri"/>
                <w:color w:val="17324D"/>
                <w:sz w:val="16"/>
              </w:rPr>
              <w:t>PO-10</w:t>
            </w:r>
          </w:p>
        </w:tc>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6"/>
              </w:rPr>
              <w:t>Delete confirmation</w:t>
            </w:r>
          </w:p>
        </w:tc>
        <w:tc>
          <w:tcPr>
            <w:tcW w:type="dxa" w:w="3500"/>
            <w:tcMar>
              <w:top w:w="80" w:type="dxa"/>
              <w:start w:w="120" w:type="dxa"/>
              <w:bottom w:w="80" w:type="dxa"/>
              <w:end w:w="120" w:type="dxa"/>
            </w:tcMar>
            <w:vAlign w:val="center"/>
          </w:tcPr>
          <w:p>
            <w:pPr>
              <w:spacing w:before="0" w:after="0" w:line="252" w:lineRule="auto"/>
            </w:pPr>
            <w:r>
              <w:rPr>
                <w:rFonts w:ascii="Calibri" w:hAnsi="Calibri"/>
                <w:color w:val="17324D"/>
                <w:sz w:val="16"/>
              </w:rPr>
              <w:t>Prevent accidental destructive action.</w:t>
            </w:r>
          </w:p>
        </w:tc>
        <w:tc>
          <w:tcPr>
            <w:tcW w:type="dxa" w:w="3310"/>
            <w:tcMar>
              <w:top w:w="80" w:type="dxa"/>
              <w:start w:w="120" w:type="dxa"/>
              <w:bottom w:w="80" w:type="dxa"/>
              <w:end w:w="120" w:type="dxa"/>
            </w:tcMar>
            <w:vAlign w:val="center"/>
          </w:tcPr>
          <w:p>
            <w:pPr>
              <w:spacing w:before="0" w:after="0" w:line="252" w:lineRule="auto"/>
            </w:pPr>
            <w:r>
              <w:rPr>
                <w:rFonts w:ascii="Calibri" w:hAnsi="Calibri"/>
                <w:color w:val="17324D"/>
                <w:sz w:val="16"/>
              </w:rPr>
              <w:t>Exact scope, Cancel, Delete, separate cloud-copy explanation if applicable.</w:t>
            </w:r>
          </w:p>
        </w:tc>
      </w:tr>
    </w:tbl>
    <w:p>
      <w:pPr>
        <w:spacing w:after="40"/>
      </w:pPr>
    </w:p>
    <w:p>
      <w:pPr>
        <w:pStyle w:val="Heading2"/>
        <w:keepNext/>
      </w:pPr>
      <w:r>
        <w:rPr>
          <w:rFonts w:ascii="Calibri" w:hAnsi="Calibri"/>
          <w:b/>
          <w:color w:val="2E74B5"/>
          <w:sz w:val="26"/>
        </w:rPr>
        <w:t>7.2 PO-01 — My record</w:t>
      </w:r>
    </w:p>
    <w:tbl>
      <w:tblPr>
        <w:tblW w:type="dxa" w:w="9360"/>
        <w:jc w:val="left"/>
        <w:tblLayout w:type="fixed"/>
        <w:tblLook w:firstColumn="1" w:firstRow="1" w:lastColumn="0" w:lastRow="0" w:noHBand="0" w:noVBand="1" w:val="04A0"/>
        <w:tblInd w:w="120" w:type="dxa"/>
      </w:tblPr>
      <w:tblGrid>
        <w:gridCol w:w="2150"/>
        <w:gridCol w:w="7210"/>
      </w:tblGrid>
      <w:tr>
        <w:trPr>
          <w:tblHeader w:val="true"/>
          <w:cantSplit/>
        </w:trPr>
        <w:tc>
          <w:tcPr>
            <w:tcW w:type="dxa" w:w="215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Element</w:t>
            </w:r>
          </w:p>
        </w:tc>
        <w:tc>
          <w:tcPr>
            <w:tcW w:type="dxa" w:w="721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Build requirement</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Header</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Title “My record.” Subline: “What you chose to keep in Mirellis. Private on this device.”</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Top actions</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My routes and Privacy &amp; controls as equal-weight text actions. No notification dot, unread count, or goal.</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Recent moments</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Chronological cards with transition name, local date, experience title, and optional exact structured response. No completion score or colour coding for good/bad.</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Saved cues</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Show up to three user-saved cues with “View all.” Labels remain user-created or curriculum-defined—not inferred traits.</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Empty state</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“Nothing is kept here yet. After an experience, you can save a cue or a private note if it is useful.” Include “Explore a transition” and “Close.”</w:t>
            </w:r>
          </w:p>
        </w:tc>
      </w:tr>
      <w:tr>
        <w:trPr>
          <w:cantSplit/>
        </w:trPr>
        <w:tc>
          <w:tcPr>
            <w:tcW w:type="dxa" w:w="2150"/>
            <w:tcMar>
              <w:top w:w="80" w:type="dxa"/>
              <w:start w:w="120" w:type="dxa"/>
              <w:bottom w:w="80" w:type="dxa"/>
              <w:end w:w="120" w:type="dxa"/>
            </w:tcMar>
            <w:vAlign w:val="center"/>
          </w:tcPr>
          <w:p>
            <w:pPr>
              <w:spacing w:before="0" w:after="0" w:line="252" w:lineRule="auto"/>
            </w:pPr>
            <w:r>
              <w:rPr>
                <w:rFonts w:ascii="Calibri" w:hAnsi="Calibri"/>
                <w:color w:val="17324D"/>
                <w:sz w:val="18"/>
              </w:rPr>
              <w:t>No-data state</w:t>
            </w:r>
          </w:p>
        </w:tc>
        <w:tc>
          <w:tcPr>
            <w:tcW w:type="dxa" w:w="7210"/>
            <w:tcMar>
              <w:top w:w="80" w:type="dxa"/>
              <w:start w:w="120" w:type="dxa"/>
              <w:bottom w:w="80" w:type="dxa"/>
              <w:end w:w="120" w:type="dxa"/>
            </w:tcMar>
            <w:vAlign w:val="center"/>
          </w:tcPr>
          <w:p>
            <w:pPr>
              <w:spacing w:before="0" w:after="0" w:line="252" w:lineRule="auto"/>
            </w:pPr>
            <w:r>
              <w:rPr>
                <w:rFonts w:ascii="Calibri" w:hAnsi="Calibri"/>
                <w:color w:val="17324D"/>
                <w:sz w:val="18"/>
              </w:rPr>
              <w:t>If all items were deleted: confirm that My record is empty and present only the controls to close or explore; do not imply loss, lapse, or need to restart.</w:t>
            </w:r>
          </w:p>
        </w:tc>
      </w:tr>
    </w:tbl>
    <w:p>
      <w:pPr>
        <w:spacing w:after="40"/>
      </w:pPr>
    </w:p>
    <w:p>
      <w:pPr>
        <w:pStyle w:val="Heading2"/>
        <w:keepNext/>
      </w:pPr>
      <w:r>
        <w:rPr>
          <w:rFonts w:ascii="Calibri" w:hAnsi="Calibri"/>
          <w:b/>
          <w:color w:val="2E74B5"/>
          <w:sz w:val="26"/>
        </w:rPr>
        <w:t>7.3 PO-02 and PO-03 — Transition record and one moment</w:t>
      </w:r>
    </w:p>
    <w:tbl>
      <w:tblPr>
        <w:tblW w:type="dxa" w:w="9360"/>
        <w:jc w:val="left"/>
        <w:tblLayout w:type="fixed"/>
        <w:tblLook w:firstColumn="1" w:firstRow="1" w:lastColumn="0" w:lastRow="0" w:noHBand="0" w:noVBand="1" w:val="04A0"/>
        <w:tblInd w:w="120" w:type="dxa"/>
      </w:tblPr>
      <w:tblGrid>
        <w:gridCol w:w="1900"/>
        <w:gridCol w:w="3730"/>
        <w:gridCol w:w="3730"/>
      </w:tblGrid>
      <w:tr>
        <w:trPr>
          <w:tblHeader w:val="true"/>
          <w:cantSplit/>
        </w:trPr>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Requirement</w:t>
            </w:r>
          </w:p>
        </w:tc>
        <w:tc>
          <w:tcPr>
            <w:tcW w:type="dxa" w:w="373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Transition record</w:t>
            </w:r>
          </w:p>
        </w:tc>
        <w:tc>
          <w:tcPr>
            <w:tcW w:type="dxa" w:w="373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One moment</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17324D"/>
                <w:sz w:val="17"/>
              </w:rPr>
              <w:t>Source clarity</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Every item names the transition and date.</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Show experience title, policy/curriculum version, user-selected route, explicit response, saved cue, and note exactly as recorded.</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17324D"/>
                <w:sz w:val="17"/>
              </w:rPr>
              <w:t>Ordering</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Newest first by default; user can choose oldest first.</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No hidden “importance” rank or inferred grouping.</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17324D"/>
                <w:sz w:val="17"/>
              </w:rPr>
              <w:t>Reflection</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“Review these moments” is secondary and names the selected window.</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Optional “Add a private note” with storage explanation.</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17324D"/>
                <w:sz w:val="17"/>
              </w:rPr>
              <w:t>Edit/delete</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“Delete all records for this transition” appears in overflow/controls with confirmation.</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Edit text, un-save/remove cue, delete this record. All actions update local store immediately.</w:t>
            </w:r>
          </w:p>
        </w:tc>
      </w:tr>
      <w:tr>
        <w:trPr>
          <w:cantSplit/>
        </w:trPr>
        <w:tc>
          <w:tcPr>
            <w:tcW w:type="dxa" w:w="1900"/>
            <w:tcMar>
              <w:top w:w="80" w:type="dxa"/>
              <w:start w:w="120" w:type="dxa"/>
              <w:bottom w:w="80" w:type="dxa"/>
              <w:end w:w="120" w:type="dxa"/>
            </w:tcMar>
            <w:vAlign w:val="center"/>
          </w:tcPr>
          <w:p>
            <w:pPr>
              <w:spacing w:before="0" w:after="0" w:line="252" w:lineRule="auto"/>
            </w:pPr>
            <w:r>
              <w:rPr>
                <w:rFonts w:ascii="Calibri" w:hAnsi="Calibri"/>
                <w:color w:val="17324D"/>
                <w:sz w:val="17"/>
              </w:rPr>
              <w:t>Language</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“You chose…” / “You kept…” / “You left…”</w:t>
            </w:r>
          </w:p>
        </w:tc>
        <w:tc>
          <w:tcPr>
            <w:tcW w:type="dxa" w:w="3730"/>
            <w:tcMar>
              <w:top w:w="80" w:type="dxa"/>
              <w:start w:w="120" w:type="dxa"/>
              <w:bottom w:w="80" w:type="dxa"/>
              <w:end w:w="120" w:type="dxa"/>
            </w:tcMar>
            <w:vAlign w:val="center"/>
          </w:tcPr>
          <w:p>
            <w:pPr>
              <w:spacing w:before="0" w:after="0" w:line="252" w:lineRule="auto"/>
            </w:pPr>
            <w:r>
              <w:rPr>
                <w:rFonts w:ascii="Calibri" w:hAnsi="Calibri"/>
                <w:color w:val="17324D"/>
                <w:sz w:val="17"/>
              </w:rPr>
              <w:t>Never “You failed,” “You regressed,” or “Mirellis detected.”</w:t>
            </w:r>
          </w:p>
        </w:tc>
      </w:tr>
    </w:tbl>
    <w:p>
      <w:pPr>
        <w:spacing w:after="40"/>
      </w:pPr>
    </w:p>
    <w:p>
      <w:pPr>
        <w:pStyle w:val="Heading2"/>
        <w:keepNext/>
      </w:pPr>
      <w:r>
        <w:rPr>
          <w:rFonts w:ascii="Calibri" w:hAnsi="Calibri"/>
          <w:b/>
          <w:color w:val="2E74B5"/>
          <w:sz w:val="26"/>
        </w:rPr>
        <w:t>7.4 PO-04 — Review these moments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7A5A00"/>
                <w:sz w:val="18"/>
              </w:rPr>
              <w:t xml:space="preserve">REVIEW SCREEN CONTRACT  </w:t>
            </w:r>
            <w:r>
              <w:rPr>
                <w:rFonts w:ascii="Calibri" w:hAnsi="Calibri"/>
                <w:color w:val="17324D"/>
                <w:sz w:val="21"/>
              </w:rPr>
              <w:t>This screen never presents an AI conclusion or trend. It shows the person’s selected source records, asks one neutral question, and offers an optional local note. The person can leave without saving anything.</w:t>
            </w:r>
          </w:p>
        </w:tc>
      </w:tr>
    </w:tbl>
    <w:p>
      <w:pPr>
        <w:spacing w:after="40"/>
      </w:pP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Area</w:t>
            </w:r>
          </w:p>
        </w:tc>
        <w:tc>
          <w:tcPr>
            <w:tcW w:type="dxa" w:w="756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Required content</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8"/>
              </w:rPr>
              <w:t>Scope</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7324D"/>
                <w:sz w:val="18"/>
              </w:rPr>
              <w:t>“Reviewing: Presence → Wind-down • 7–14 August • 4 kept moments.” The count is informational, not progress.</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8"/>
              </w:rPr>
              <w:t>Source strip</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7324D"/>
                <w:sz w:val="18"/>
              </w:rPr>
              <w:t>Scrollable source cards with experience title, date, explicit response, and a “View moment” action.</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8"/>
              </w:rPr>
              <w:t>Question</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7324D"/>
                <w:sz w:val="18"/>
              </w:rPr>
              <w:t>Use one approved prompt: “What do you notice across these moments?” / “What felt realistic?” / “What would you keep or change?”</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8"/>
              </w:rPr>
              <w:t>Note field</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7324D"/>
                <w:sz w:val="18"/>
              </w:rPr>
              <w:t>Label “Private note (stays on this device).” Optional. Character counter only for accessibility/technical limit; no sentiment state.</w:t>
            </w:r>
          </w:p>
        </w:tc>
      </w:tr>
      <w:tr>
        <w:trPr>
          <w:cantSplit/>
        </w:trPr>
        <w:tc>
          <w:tcPr>
            <w:tcW w:type="dxa" w:w="1800"/>
            <w:tcMar>
              <w:top w:w="80" w:type="dxa"/>
              <w:start w:w="120" w:type="dxa"/>
              <w:bottom w:w="80" w:type="dxa"/>
              <w:end w:w="120" w:type="dxa"/>
            </w:tcMar>
            <w:vAlign w:val="center"/>
          </w:tcPr>
          <w:p>
            <w:pPr>
              <w:spacing w:before="0" w:after="0" w:line="252" w:lineRule="auto"/>
            </w:pPr>
            <w:r>
              <w:rPr>
                <w:rFonts w:ascii="Calibri" w:hAnsi="Calibri"/>
                <w:color w:val="17324D"/>
                <w:sz w:val="18"/>
              </w:rPr>
              <w:t>Exit</w:t>
            </w:r>
          </w:p>
        </w:tc>
        <w:tc>
          <w:tcPr>
            <w:tcW w:type="dxa" w:w="7560"/>
            <w:tcMar>
              <w:top w:w="80" w:type="dxa"/>
              <w:start w:w="120" w:type="dxa"/>
              <w:bottom w:w="80" w:type="dxa"/>
              <w:end w:w="120" w:type="dxa"/>
            </w:tcMar>
            <w:vAlign w:val="center"/>
          </w:tcPr>
          <w:p>
            <w:pPr>
              <w:spacing w:before="0" w:after="0" w:line="252" w:lineRule="auto"/>
            </w:pPr>
            <w:r>
              <w:rPr>
                <w:rFonts w:ascii="Calibri" w:hAnsi="Calibri"/>
                <w:color w:val="17324D"/>
                <w:sz w:val="18"/>
              </w:rPr>
              <w:t>Close. If text changed, ask “Keep this private note?” with Keep / Discard / Continue editing. No forced save.</w:t>
            </w:r>
          </w:p>
        </w:tc>
      </w:tr>
    </w:tbl>
    <w:p>
      <w:pPr>
        <w:spacing w:after="40"/>
      </w:pPr>
    </w:p>
    <w:p>
      <w:pPr>
        <w:pStyle w:val="Heading2"/>
        <w:keepNext/>
      </w:pPr>
      <w:r>
        <w:rPr>
          <w:rFonts w:ascii="Calibri" w:hAnsi="Calibri"/>
          <w:b/>
          <w:color w:val="2E74B5"/>
          <w:sz w:val="26"/>
        </w:rPr>
        <w:t>7.5 PO-05 to PO-08 — Cues, routes, and explanation</w:t>
      </w:r>
    </w:p>
    <w:tbl>
      <w:tblPr>
        <w:tblW w:type="dxa" w:w="9360"/>
        <w:jc w:val="left"/>
        <w:tblLayout w:type="fixed"/>
        <w:tblLook w:firstColumn="1" w:firstRow="1" w:lastColumn="0" w:lastRow="0" w:noHBand="0" w:noVBand="1" w:val="04A0"/>
        <w:tblInd w:w="120" w:type="dxa"/>
      </w:tblPr>
      <w:tblGrid>
        <w:gridCol w:w="1950"/>
        <w:gridCol w:w="7410"/>
      </w:tblGrid>
      <w:tr>
        <w:trPr>
          <w:tblHeader w:val="true"/>
          <w:cantSplit/>
        </w:trPr>
        <w:tc>
          <w:tcPr>
            <w:tcW w:type="dxa" w:w="195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Screen</w:t>
            </w:r>
          </w:p>
        </w:tc>
        <w:tc>
          <w:tcPr>
            <w:tcW w:type="dxa" w:w="741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Build-ready requirement</w:t>
            </w:r>
          </w:p>
        </w:tc>
      </w:tr>
      <w:tr>
        <w:trPr>
          <w:cantSplit/>
        </w:trPr>
        <w:tc>
          <w:tcPr>
            <w:tcW w:type="dxa" w:w="1950"/>
            <w:tcMar>
              <w:top w:w="80" w:type="dxa"/>
              <w:start w:w="120" w:type="dxa"/>
              <w:bottom w:w="80" w:type="dxa"/>
              <w:end w:w="120" w:type="dxa"/>
            </w:tcMar>
            <w:vAlign w:val="center"/>
          </w:tcPr>
          <w:p>
            <w:pPr>
              <w:spacing w:before="0" w:after="0" w:line="252" w:lineRule="auto"/>
            </w:pPr>
            <w:r>
              <w:rPr>
                <w:rFonts w:ascii="Calibri" w:hAnsi="Calibri"/>
                <w:color w:val="17324D"/>
                <w:sz w:val="18"/>
              </w:rPr>
              <w:t>PO-05 Saved cues</w:t>
            </w:r>
          </w:p>
        </w:tc>
        <w:tc>
          <w:tcPr>
            <w:tcW w:type="dxa" w:w="7410"/>
            <w:tcMar>
              <w:top w:w="80" w:type="dxa"/>
              <w:start w:w="120" w:type="dxa"/>
              <w:bottom w:w="80" w:type="dxa"/>
              <w:end w:w="120" w:type="dxa"/>
            </w:tcMar>
            <w:vAlign w:val="center"/>
          </w:tcPr>
          <w:p>
            <w:pPr>
              <w:spacing w:before="0" w:after="0" w:line="252" w:lineRule="auto"/>
            </w:pPr>
            <w:r>
              <w:rPr>
                <w:rFonts w:ascii="Calibri" w:hAnsi="Calibri"/>
                <w:color w:val="17324D"/>
                <w:sz w:val="18"/>
              </w:rPr>
              <w:t>Each cue shows its visible origin: “You saved this after [experience].” Provide Use, Edit, Hide from suggestions, and Delete. “Hide” suppresses any policy-permitted suggestion for 30 days unless restored.</w:t>
            </w:r>
          </w:p>
        </w:tc>
      </w:tr>
      <w:tr>
        <w:trPr>
          <w:cantSplit/>
        </w:trPr>
        <w:tc>
          <w:tcPr>
            <w:tcW w:type="dxa" w:w="1950"/>
            <w:tcMar>
              <w:top w:w="80" w:type="dxa"/>
              <w:start w:w="120" w:type="dxa"/>
              <w:bottom w:w="80" w:type="dxa"/>
              <w:end w:w="120" w:type="dxa"/>
            </w:tcMar>
            <w:vAlign w:val="center"/>
          </w:tcPr>
          <w:p>
            <w:pPr>
              <w:spacing w:before="0" w:after="0" w:line="252" w:lineRule="auto"/>
            </w:pPr>
            <w:r>
              <w:rPr>
                <w:rFonts w:ascii="Calibri" w:hAnsi="Calibri"/>
                <w:color w:val="17324D"/>
                <w:sz w:val="18"/>
              </w:rPr>
              <w:t>PO-06 My routes</w:t>
            </w:r>
          </w:p>
        </w:tc>
        <w:tc>
          <w:tcPr>
            <w:tcW w:type="dxa" w:w="7410"/>
            <w:tcMar>
              <w:top w:w="80" w:type="dxa"/>
              <w:start w:w="120" w:type="dxa"/>
              <w:bottom w:w="80" w:type="dxa"/>
              <w:end w:w="120" w:type="dxa"/>
            </w:tcMar>
            <w:vAlign w:val="center"/>
          </w:tcPr>
          <w:p>
            <w:pPr>
              <w:spacing w:before="0" w:after="0" w:line="252" w:lineRule="auto"/>
            </w:pPr>
            <w:r>
              <w:rPr>
                <w:rFonts w:ascii="Calibri" w:hAnsi="Calibri"/>
                <w:color w:val="17324D"/>
                <w:sz w:val="18"/>
              </w:rPr>
              <w:t>Each route shows its user-selected name, transition, one/two ordered cues, and last explicit fit response if present. No sequence score, due date, frequency, or “recommended time.”</w:t>
            </w:r>
          </w:p>
        </w:tc>
      </w:tr>
      <w:tr>
        <w:trPr>
          <w:cantSplit/>
        </w:trPr>
        <w:tc>
          <w:tcPr>
            <w:tcW w:type="dxa" w:w="1950"/>
            <w:tcMar>
              <w:top w:w="80" w:type="dxa"/>
              <w:start w:w="120" w:type="dxa"/>
              <w:bottom w:w="80" w:type="dxa"/>
              <w:end w:w="120" w:type="dxa"/>
            </w:tcMar>
            <w:vAlign w:val="center"/>
          </w:tcPr>
          <w:p>
            <w:pPr>
              <w:spacing w:before="0" w:after="0" w:line="252" w:lineRule="auto"/>
            </w:pPr>
            <w:r>
              <w:rPr>
                <w:rFonts w:ascii="Calibri" w:hAnsi="Calibri"/>
                <w:color w:val="17324D"/>
                <w:sz w:val="18"/>
              </w:rPr>
              <w:t>PO-07 Route builder</w:t>
            </w:r>
          </w:p>
        </w:tc>
        <w:tc>
          <w:tcPr>
            <w:tcW w:type="dxa" w:w="7410"/>
            <w:tcMar>
              <w:top w:w="80" w:type="dxa"/>
              <w:start w:w="120" w:type="dxa"/>
              <w:bottom w:w="80" w:type="dxa"/>
              <w:end w:w="120" w:type="dxa"/>
            </w:tcMar>
            <w:vAlign w:val="center"/>
          </w:tcPr>
          <w:p>
            <w:pPr>
              <w:spacing w:before="0" w:after="0" w:line="252" w:lineRule="auto"/>
            </w:pPr>
            <w:r>
              <w:rPr>
                <w:rFonts w:ascii="Calibri" w:hAnsi="Calibri"/>
                <w:color w:val="17324D"/>
                <w:sz w:val="18"/>
              </w:rPr>
              <w:t>Allow one or two cues from the selected transition. Require an explicit selection, optional local name, editable order, Save, and Cancel. Do not preselect a cue without user action.</w:t>
            </w:r>
          </w:p>
        </w:tc>
      </w:tr>
      <w:tr>
        <w:trPr>
          <w:cantSplit/>
        </w:trPr>
        <w:tc>
          <w:tcPr>
            <w:tcW w:type="dxa" w:w="1950"/>
            <w:tcMar>
              <w:top w:w="80" w:type="dxa"/>
              <w:start w:w="120" w:type="dxa"/>
              <w:bottom w:w="80" w:type="dxa"/>
              <w:end w:w="120" w:type="dxa"/>
            </w:tcMar>
            <w:vAlign w:val="center"/>
          </w:tcPr>
          <w:p>
            <w:pPr>
              <w:spacing w:before="0" w:after="0" w:line="252" w:lineRule="auto"/>
            </w:pPr>
            <w:r>
              <w:rPr>
                <w:rFonts w:ascii="Calibri" w:hAnsi="Calibri"/>
                <w:color w:val="17324D"/>
                <w:sz w:val="18"/>
              </w:rPr>
              <w:t>PO-08 Why this?</w:t>
            </w:r>
          </w:p>
        </w:tc>
        <w:tc>
          <w:tcPr>
            <w:tcW w:type="dxa" w:w="7410"/>
            <w:tcMar>
              <w:top w:w="80" w:type="dxa"/>
              <w:start w:w="120" w:type="dxa"/>
              <w:bottom w:w="80" w:type="dxa"/>
              <w:end w:w="120" w:type="dxa"/>
            </w:tcMar>
            <w:vAlign w:val="center"/>
          </w:tcPr>
          <w:p>
            <w:pPr>
              <w:spacing w:before="0" w:after="0" w:line="252" w:lineRule="auto"/>
            </w:pPr>
            <w:r>
              <w:rPr>
                <w:rFonts w:ascii="Calibri" w:hAnsi="Calibri"/>
                <w:color w:val="17324D"/>
                <w:sz w:val="18"/>
              </w:rPr>
              <w:t>Name the exact explicit evidence: “You saved this cue after [experience] on [date]” or “You built this route.” Show “This evidence expires [date]” where V2 policy applies, plus Remove / Restore actions.</w:t>
            </w:r>
          </w:p>
        </w:tc>
      </w:tr>
    </w:tbl>
    <w:p>
      <w:pPr>
        <w:spacing w:after="40"/>
      </w:pPr>
    </w:p>
    <w:p>
      <w:pPr>
        <w:pStyle w:val="Heading2"/>
        <w:keepNext/>
      </w:pPr>
      <w:r>
        <w:rPr>
          <w:rFonts w:ascii="Calibri" w:hAnsi="Calibri"/>
          <w:b/>
          <w:color w:val="2E74B5"/>
          <w:sz w:val="26"/>
        </w:rPr>
        <w:t>7.6 PO-09 and PO-10 — Controls and deletion</w:t>
      </w:r>
    </w:p>
    <w:tbl>
      <w:tblPr>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Control</w:t>
            </w:r>
          </w:p>
        </w:tc>
        <w:tc>
          <w:tcPr>
            <w:tcW w:type="dxa" w:w="726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Requirement</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8"/>
              </w:rPr>
              <w:t>Export my record</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7324D"/>
                <w:sz w:val="18"/>
              </w:rPr>
              <w:t>Generate local plain-text and JSON export. Explain exact included types; exclude application diagnostics and optional cloud data unless separately selected.</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8"/>
              </w:rPr>
              <w:t>Delete one item</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7324D"/>
                <w:sz w:val="18"/>
              </w:rPr>
              <w:t>Name the item and explain effects on a saved cue/route before deletion. Require one confirmation only.</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8"/>
              </w:rPr>
              <w:t>Reset transition</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7324D"/>
                <w:sz w:val="18"/>
              </w:rPr>
              <w:t>Delete local records, cues, routes, and notes for the named transition. Do not require a reason.</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8"/>
              </w:rPr>
              <w:t>Delete all local data</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7324D"/>
                <w:sz w:val="18"/>
              </w:rPr>
              <w:t>Delete all Mirellis local records, route evidence, cues, routes, notes, and consent records. Confirm once with exact scope and immediate completion state.</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8"/>
              </w:rPr>
              <w:t>Optional permissions</w:t>
            </w:r>
          </w:p>
        </w:tc>
        <w:tc>
          <w:tcPr>
            <w:tcW w:type="dxa" w:w="7260"/>
            <w:tcMar>
              <w:top w:w="80" w:type="dxa"/>
              <w:start w:w="120" w:type="dxa"/>
              <w:bottom w:w="80" w:type="dxa"/>
              <w:end w:w="120" w:type="dxa"/>
            </w:tcMar>
            <w:vAlign w:val="center"/>
          </w:tcPr>
          <w:p>
            <w:pPr>
              <w:spacing w:before="0" w:after="0" w:line="252" w:lineRule="auto"/>
            </w:pPr>
            <w:r>
              <w:rPr>
                <w:rFonts w:ascii="Calibri" w:hAnsi="Calibri"/>
                <w:color w:val="17324D"/>
                <w:sz w:val="18"/>
              </w:rPr>
              <w:t>Present analytics, research contribution, backup/account use separately, all default-off. Each explains purpose, fields, retention, withdrawal, and deletion process.</w:t>
            </w:r>
          </w:p>
        </w:tc>
      </w:tr>
    </w:tbl>
    <w:p>
      <w:pPr>
        <w:spacing w:after="40"/>
      </w:pPr>
    </w:p>
    <w:p>
      <w:pPr>
        <w:pStyle w:val="Heading1"/>
        <w:keepNext/>
      </w:pPr>
      <w:r>
        <w:rPr>
          <w:rFonts w:ascii="Calibri" w:hAnsi="Calibri"/>
          <w:b/>
          <w:color w:val="2E74B5"/>
          <w:sz w:val="32"/>
        </w:rPr>
        <w:t>8. Interaction, voice, and accessibility requirements</w:t>
      </w:r>
    </w:p>
    <w:p>
      <w:pPr>
        <w:pStyle w:val="Heading2"/>
        <w:keepNext/>
      </w:pPr>
      <w:r>
        <w:rPr>
          <w:rFonts w:ascii="Calibri" w:hAnsi="Calibri"/>
          <w:b/>
          <w:color w:val="2E74B5"/>
          <w:sz w:val="26"/>
        </w:rPr>
        <w:t>8.1 Interaction rules</w:t>
      </w:r>
    </w:p>
    <w:tbl>
      <w:tblPr>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Rule</w:t>
            </w:r>
          </w:p>
        </w:tc>
        <w:tc>
          <w:tcPr>
            <w:tcW w:type="dxa" w:w="701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Implementation requirement</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No pressure</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Do not use red urgency, warning counters, completion rings, daily calendar gaps, celebratory animation, push prompts, or language that rewards return.</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Every action is reversible where possible</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Edit, un-save, hide, delete, and reset actions must be available near the related object and in Privacy &amp; controls.</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Source over summary</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When showing a record-derived suggestion or review, provide a direct link to the source record before any description of it.</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No accidental retention</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Opening a screen, scrolling a record, or closing an experience cannot create a cue, note, reflection, or personal route.</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Quiet motion</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Use reduced-motion-aware fades and position transitions under 180ms. No confetti, urgency, looping activity, or ambient autoplay.</w:t>
            </w:r>
          </w:p>
        </w:tc>
      </w:tr>
      <w:tr>
        <w:trPr>
          <w:cantSplit/>
        </w:trPr>
        <w:tc>
          <w:tcPr>
            <w:tcW w:type="dxa" w:w="2350"/>
            <w:tcMar>
              <w:top w:w="80" w:type="dxa"/>
              <w:start w:w="120" w:type="dxa"/>
              <w:bottom w:w="80" w:type="dxa"/>
              <w:end w:w="120" w:type="dxa"/>
            </w:tcMar>
            <w:vAlign w:val="center"/>
          </w:tcPr>
          <w:p>
            <w:pPr>
              <w:spacing w:before="0" w:after="0" w:line="252" w:lineRule="auto"/>
            </w:pPr>
            <w:r>
              <w:rPr>
                <w:rFonts w:ascii="Calibri" w:hAnsi="Calibri"/>
                <w:color w:val="17324D"/>
                <w:sz w:val="18"/>
              </w:rPr>
              <w:t>Offline first</w:t>
            </w:r>
          </w:p>
        </w:tc>
        <w:tc>
          <w:tcPr>
            <w:tcW w:type="dxa" w:w="7010"/>
            <w:tcMar>
              <w:top w:w="80" w:type="dxa"/>
              <w:start w:w="120" w:type="dxa"/>
              <w:bottom w:w="80" w:type="dxa"/>
              <w:end w:w="120" w:type="dxa"/>
            </w:tcMar>
            <w:vAlign w:val="center"/>
          </w:tcPr>
          <w:p>
            <w:pPr>
              <w:spacing w:before="0" w:after="0" w:line="252" w:lineRule="auto"/>
            </w:pPr>
            <w:r>
              <w:rPr>
                <w:rFonts w:ascii="Calibri" w:hAnsi="Calibri"/>
                <w:color w:val="17324D"/>
                <w:sz w:val="18"/>
              </w:rPr>
              <w:t>All core record, review, edit, delete, route, and export flows must work with no network. Network status cannot block local control.</w:t>
            </w:r>
          </w:p>
        </w:tc>
      </w:tr>
    </w:tbl>
    <w:p>
      <w:pPr>
        <w:spacing w:after="40"/>
      </w:pPr>
    </w:p>
    <w:p>
      <w:pPr>
        <w:pStyle w:val="Heading2"/>
        <w:keepNext/>
      </w:pPr>
      <w:r>
        <w:rPr>
          <w:rFonts w:ascii="Calibri" w:hAnsi="Calibri"/>
          <w:b/>
          <w:color w:val="2E74B5"/>
          <w:sz w:val="26"/>
        </w:rPr>
        <w:t>8.2 Voice system</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Use</w:t>
            </w:r>
          </w:p>
        </w:tc>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Avoid</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“This is the record you kept.”</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“Your personal insight.”</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“You chose this route.”</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“We learned your routine.”</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“What do you notice?”</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“Here is what your data means.”</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“Use without Mirellis.”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“Stay on track.”</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“Remove this from suggestions.”</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“Train the app.”</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“Private on this device.”</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8"/>
              </w:rPr>
              <w:t>“Securely analyzed for you.”</w:t>
            </w:r>
          </w:p>
        </w:tc>
      </w:tr>
    </w:tbl>
    <w:p>
      <w:pPr>
        <w:spacing w:after="40"/>
      </w:pPr>
    </w:p>
    <w:p>
      <w:pPr>
        <w:pStyle w:val="Heading2"/>
        <w:keepNext/>
      </w:pPr>
      <w:r>
        <w:rPr>
          <w:rFonts w:ascii="Calibri" w:hAnsi="Calibri"/>
          <w:b/>
          <w:color w:val="2E74B5"/>
          <w:sz w:val="26"/>
        </w:rPr>
        <w:t>8.3 Accessibility acceptance requirements</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Area</w:t>
            </w:r>
          </w:p>
        </w:tc>
        <w:tc>
          <w:tcPr>
            <w:tcW w:type="dxa" w:w="716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Mandatory requirement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Screen reader</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Every cue, source record, route order, policy explanation, privacy action, and destructive confirmation has a clear accessible name, role, state, and announcement.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Keyboard and switch access</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All navigation, filters, sort actions, reordering, edit/delete, export, and close paths work without drag-only interaction.</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Touch</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Minimum 44 × 44 pt targets; destructive action is separated from non-destructive actions and never solely icon-based.</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Text</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Supports dynamic type without clipping. Notes and tables/review cards reflow instead of truncating material personal text.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Contrast and colour</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No meaning conveyed by colour alone. Text/controls meet WCAG AA contrast; deleted/hidden states are named in text.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8"/>
              </w:rPr>
              <w:t>Motion and cognition</w:t>
            </w:r>
          </w:p>
        </w:tc>
        <w:tc>
          <w:tcPr>
            <w:tcW w:type="dxa" w:w="7160"/>
            <w:tcMar>
              <w:top w:w="80" w:type="dxa"/>
              <w:start w:w="120" w:type="dxa"/>
              <w:bottom w:w="80" w:type="dxa"/>
              <w:end w:w="120" w:type="dxa"/>
            </w:tcMar>
            <w:vAlign w:val="center"/>
          </w:tcPr>
          <w:p>
            <w:pPr>
              <w:spacing w:before="0" w:after="0" w:line="252" w:lineRule="auto"/>
            </w:pPr>
            <w:r>
              <w:rPr>
                <w:rFonts w:ascii="Calibri" w:hAnsi="Calibri"/>
                <w:color w:val="17324D"/>
                <w:sz w:val="18"/>
              </w:rPr>
              <w:t>Reduced-motion setting is honored; instructions are short; any confirmation states exact consequences in plain language.</w:t>
            </w:r>
          </w:p>
        </w:tc>
      </w:tr>
    </w:tbl>
    <w:p>
      <w:pPr>
        <w:spacing w:after="40"/>
      </w:pPr>
    </w:p>
    <w:p>
      <w:pPr>
        <w:pStyle w:val="Heading1"/>
        <w:keepNext/>
      </w:pPr>
      <w:r>
        <w:rPr>
          <w:rFonts w:ascii="Calibri" w:hAnsi="Calibri"/>
          <w:b/>
          <w:color w:val="2E74B5"/>
          <w:sz w:val="32"/>
        </w:rPr>
        <w:t>9. Personal controls, consent, privacy, and safety</w:t>
      </w:r>
    </w:p>
    <w:p>
      <w:pPr>
        <w:pStyle w:val="Heading2"/>
        <w:keepNext/>
      </w:pPr>
      <w:r>
        <w:rPr>
          <w:rFonts w:ascii="Calibri" w:hAnsi="Calibri"/>
          <w:b/>
          <w:color w:val="2E74B5"/>
          <w:sz w:val="26"/>
        </w:rPr>
        <w:t>9.1 Privacy model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2E74B5"/>
                <w:sz w:val="18"/>
              </w:rPr>
              <w:t xml:space="preserve">DEFAULT RULE  </w:t>
            </w:r>
            <w:r>
              <w:rPr>
                <w:rFonts w:ascii="Calibri" w:hAnsi="Calibri"/>
                <w:color w:val="17324D"/>
                <w:sz w:val="21"/>
              </w:rPr>
              <w:t>Personal Observatory data belongs to the person’s device unless they separately choose an explicitly described export, backup, analytics, or research contribution. The company must be able to operate Version 4 without receiving personal reflection text or personal-route content.</w:t>
            </w:r>
          </w:p>
        </w:tc>
      </w:tr>
    </w:tbl>
    <w:p>
      <w:pPr>
        <w:spacing w:after="40"/>
      </w:pPr>
    </w:p>
    <w:p>
      <w:pPr>
        <w:pStyle w:val="Heading2"/>
        <w:keepNext/>
      </w:pPr>
      <w:r>
        <w:rPr>
          <w:rFonts w:ascii="Calibri" w:hAnsi="Calibri"/>
          <w:b/>
          <w:color w:val="2E74B5"/>
          <w:sz w:val="26"/>
        </w:rPr>
        <w:t>9.2 Data permissions</w:t>
      </w:r>
    </w:p>
    <w:tbl>
      <w:tblPr>
        <w:tblW w:type="dxa" w:w="9360"/>
        <w:jc w:val="left"/>
        <w:tblLayout w:type="fixed"/>
        <w:tblLook w:firstColumn="1" w:firstRow="1" w:lastColumn="0" w:lastRow="0" w:noHBand="0" w:noVBand="1" w:val="04A0"/>
        <w:tblInd w:w="120" w:type="dxa"/>
      </w:tblPr>
      <w:tblGrid>
        <w:gridCol w:w="2100"/>
        <w:gridCol w:w="1100"/>
        <w:gridCol w:w="3300"/>
        <w:gridCol w:w="2860"/>
      </w:tblGrid>
      <w:tr>
        <w:trPr>
          <w:tblHeader w:val="true"/>
          <w:cantSplit/>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Permission</w:t>
            </w:r>
          </w:p>
        </w:tc>
        <w:tc>
          <w:tcPr>
            <w:tcW w:type="dxa" w:w="11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Default</w:t>
            </w:r>
          </w:p>
        </w:tc>
        <w:tc>
          <w:tcPr>
            <w:tcW w:type="dxa" w:w="33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What may leave device</w:t>
            </w:r>
          </w:p>
        </w:tc>
        <w:tc>
          <w:tcPr>
            <w:tcW w:type="dxa" w:w="286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What it must never do</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Core Personal Observatory</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17324D"/>
                <w:sz w:val="16"/>
              </w:rPr>
              <w:t>On</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17324D"/>
                <w:sz w:val="16"/>
              </w:rPr>
              <w:t>Nothing.</w:t>
            </w:r>
          </w:p>
        </w:tc>
        <w:tc>
          <w:tcPr>
            <w:tcW w:type="dxa" w:w="2860"/>
            <w:tcMar>
              <w:top w:w="80" w:type="dxa"/>
              <w:start w:w="120" w:type="dxa"/>
              <w:bottom w:w="80" w:type="dxa"/>
              <w:end w:w="120" w:type="dxa"/>
            </w:tcMar>
            <w:vAlign w:val="center"/>
          </w:tcPr>
          <w:p>
            <w:pPr>
              <w:spacing w:before="0" w:after="0" w:line="252" w:lineRule="auto"/>
            </w:pPr>
            <w:r>
              <w:rPr>
                <w:rFonts w:ascii="Calibri" w:hAnsi="Calibri"/>
                <w:color w:val="17324D"/>
                <w:sz w:val="16"/>
              </w:rPr>
              <w:t>Require an account, upload private text, or create a profile.</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Optional encrypted backup, if introduced</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17324D"/>
                <w:sz w:val="16"/>
              </w:rPr>
              <w:t>Off</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17324D"/>
                <w:sz w:val="16"/>
              </w:rPr>
              <w:t>Only selected encrypted records under a separate backup policy.</w:t>
            </w:r>
          </w:p>
        </w:tc>
        <w:tc>
          <w:tcPr>
            <w:tcW w:type="dxa" w:w="2860"/>
            <w:tcMar>
              <w:top w:w="80" w:type="dxa"/>
              <w:start w:w="120" w:type="dxa"/>
              <w:bottom w:w="80" w:type="dxa"/>
              <w:end w:w="120" w:type="dxa"/>
            </w:tcMar>
            <w:vAlign w:val="center"/>
          </w:tcPr>
          <w:p>
            <w:pPr>
              <w:spacing w:before="0" w:after="0" w:line="252" w:lineRule="auto"/>
            </w:pPr>
            <w:r>
              <w:rPr>
                <w:rFonts w:ascii="Calibri" w:hAnsi="Calibri"/>
                <w:color w:val="17324D"/>
                <w:sz w:val="16"/>
              </w:rPr>
              <w:t>Become necessary for core access or route availability.</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Aggregate product analytics</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17324D"/>
                <w:sz w:val="16"/>
              </w:rPr>
              <w:t>Off</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17324D"/>
                <w:sz w:val="16"/>
              </w:rPr>
              <w:t>De-identified, purpose-limited operational events defined in the launch policy; no free text or route labels.</w:t>
            </w:r>
          </w:p>
        </w:tc>
        <w:tc>
          <w:tcPr>
            <w:tcW w:type="dxa" w:w="2860"/>
            <w:tcMar>
              <w:top w:w="80" w:type="dxa"/>
              <w:start w:w="120" w:type="dxa"/>
              <w:bottom w:w="80" w:type="dxa"/>
              <w:end w:w="120" w:type="dxa"/>
            </w:tcMar>
            <w:vAlign w:val="center"/>
          </w:tcPr>
          <w:p>
            <w:pPr>
              <w:spacing w:before="0" w:after="0" w:line="252" w:lineRule="auto"/>
            </w:pPr>
            <w:r>
              <w:rPr>
                <w:rFonts w:ascii="Calibri" w:hAnsi="Calibri"/>
                <w:color w:val="17324D"/>
                <w:sz w:val="16"/>
              </w:rPr>
              <w:t>Influence an individual route or identify a person.</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Research contribution</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17324D"/>
                <w:sz w:val="16"/>
              </w:rPr>
              <w:t>Off</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17324D"/>
                <w:sz w:val="16"/>
              </w:rPr>
              <w:t>Only separately consented, protocol-approved, de-identified fields; exclude free text by default.</w:t>
            </w:r>
          </w:p>
        </w:tc>
        <w:tc>
          <w:tcPr>
            <w:tcW w:type="dxa" w:w="2860"/>
            <w:tcMar>
              <w:top w:w="80" w:type="dxa"/>
              <w:start w:w="120" w:type="dxa"/>
              <w:bottom w:w="80" w:type="dxa"/>
              <w:end w:w="120" w:type="dxa"/>
            </w:tcMar>
            <w:vAlign w:val="center"/>
          </w:tcPr>
          <w:p>
            <w:pPr>
              <w:spacing w:before="0" w:after="0" w:line="252" w:lineRule="auto"/>
            </w:pPr>
            <w:r>
              <w:rPr>
                <w:rFonts w:ascii="Calibri" w:hAnsi="Calibri"/>
                <w:color w:val="17324D"/>
                <w:sz w:val="16"/>
              </w:rPr>
              <w:t>Be bundled with product use or condition access.</w:t>
            </w:r>
          </w:p>
        </w:tc>
      </w:tr>
      <w:tr>
        <w:trPr>
          <w:cantSplit/>
        </w:trPr>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Account-linked service, if introduced later</w:t>
            </w:r>
          </w:p>
        </w:tc>
        <w:tc>
          <w:tcPr>
            <w:tcW w:type="dxa" w:w="1100"/>
            <w:tcMar>
              <w:top w:w="80" w:type="dxa"/>
              <w:start w:w="120" w:type="dxa"/>
              <w:bottom w:w="80" w:type="dxa"/>
              <w:end w:w="120" w:type="dxa"/>
            </w:tcMar>
            <w:vAlign w:val="center"/>
          </w:tcPr>
          <w:p>
            <w:pPr>
              <w:spacing w:before="0" w:after="0" w:line="252" w:lineRule="auto"/>
            </w:pPr>
            <w:r>
              <w:rPr>
                <w:rFonts w:ascii="Calibri" w:hAnsi="Calibri"/>
                <w:color w:val="17324D"/>
                <w:sz w:val="16"/>
              </w:rPr>
              <w:t>Off</w:t>
            </w:r>
          </w:p>
        </w:tc>
        <w:tc>
          <w:tcPr>
            <w:tcW w:type="dxa" w:w="3300"/>
            <w:tcMar>
              <w:top w:w="80" w:type="dxa"/>
              <w:start w:w="120" w:type="dxa"/>
              <w:bottom w:w="80" w:type="dxa"/>
              <w:end w:w="120" w:type="dxa"/>
            </w:tcMar>
            <w:vAlign w:val="center"/>
          </w:tcPr>
          <w:p>
            <w:pPr>
              <w:spacing w:before="0" w:after="0" w:line="252" w:lineRule="auto"/>
            </w:pPr>
            <w:r>
              <w:rPr>
                <w:rFonts w:ascii="Calibri" w:hAnsi="Calibri"/>
                <w:color w:val="17324D"/>
                <w:sz w:val="16"/>
              </w:rPr>
              <w:t>Only the fields disclosed for the service.</w:t>
            </w:r>
          </w:p>
        </w:tc>
        <w:tc>
          <w:tcPr>
            <w:tcW w:type="dxa" w:w="2860"/>
            <w:tcMar>
              <w:top w:w="80" w:type="dxa"/>
              <w:start w:w="120" w:type="dxa"/>
              <w:bottom w:w="80" w:type="dxa"/>
              <w:end w:w="120" w:type="dxa"/>
            </w:tcMar>
            <w:vAlign w:val="center"/>
          </w:tcPr>
          <w:p>
            <w:pPr>
              <w:spacing w:before="0" w:after="0" w:line="252" w:lineRule="auto"/>
            </w:pPr>
            <w:r>
              <w:rPr>
                <w:rFonts w:ascii="Calibri" w:hAnsi="Calibri"/>
                <w:color w:val="17324D"/>
                <w:sz w:val="16"/>
              </w:rPr>
              <w:t>Merge records across contexts without visible choice and migration controls.</w:t>
            </w:r>
          </w:p>
        </w:tc>
      </w:tr>
    </w:tbl>
    <w:p>
      <w:pPr>
        <w:spacing w:after="40"/>
      </w:pPr>
    </w:p>
    <w:p>
      <w:pPr>
        <w:pStyle w:val="Heading2"/>
        <w:keepNext/>
      </w:pPr>
      <w:r>
        <w:rPr>
          <w:rFonts w:ascii="Calibri" w:hAnsi="Calibri"/>
          <w:b/>
          <w:color w:val="2E74B5"/>
          <w:sz w:val="26"/>
        </w:rPr>
        <w:t>9.3 Forbidden personal inputs</w:t>
      </w:r>
    </w:p>
    <w:p>
      <w:pPr>
        <w:spacing w:before="0" w:after="120" w:line="264" w:lineRule="auto"/>
      </w:pPr>
      <w:r>
        <w:rPr>
          <w:rFonts w:ascii="Calibri" w:hAnsi="Calibri"/>
          <w:i w:val="0"/>
          <w:color w:val="17324D"/>
          <w:sz w:val="22"/>
        </w:rPr>
        <w:t>The Personal Observatory must not request or use contacts, location, camera, microphone, health records, wearable data, calendar, browsing history, app-usage history, notification history, advertising identifiers, demographic data, social graph, biometrics, or sensor-derived state. It must not derive a profile from free text, route choice, cadence, time of day, or what a person deletes.</w:t>
      </w:r>
    </w:p>
    <w:p>
      <w:pPr>
        <w:pStyle w:val="Heading2"/>
        <w:keepNext/>
      </w:pPr>
      <w:r>
        <w:rPr>
          <w:rFonts w:ascii="Calibri" w:hAnsi="Calibri"/>
          <w:b/>
          <w:color w:val="2E74B5"/>
          <w:sz w:val="26"/>
        </w:rPr>
        <w:t>9.4 Safety boundary</w:t>
      </w:r>
    </w:p>
    <w:p>
      <w:pPr>
        <w:spacing w:before="0" w:after="120" w:line="264" w:lineRule="auto"/>
      </w:pPr>
      <w:r>
        <w:rPr>
          <w:rFonts w:ascii="Calibri" w:hAnsi="Calibri"/>
          <w:i w:val="0"/>
          <w:color w:val="17324D"/>
          <w:sz w:val="22"/>
        </w:rPr>
        <w:t>Personal Observatory is not a crisis, therapy, medical, mental-health, or emergency service. It must not invite a person to disclose urgent harm, use reflective prompts that intensify distress, imply a response team is monitoring private notes, or present an app-generated interpretation as support. Support links describe product access, data controls, deletion, accessibility, and the product’s limits. Any locale-specific crisis resource configuration must be reviewed separately and must not imply that Mirellis provides the service.</w:t>
      </w:r>
    </w:p>
    <w:p>
      <w:pPr>
        <w:pStyle w:val="Heading2"/>
        <w:keepNext/>
      </w:pPr>
      <w:r>
        <w:rPr>
          <w:rFonts w:ascii="Calibri" w:hAnsi="Calibri"/>
          <w:b/>
          <w:color w:val="2E74B5"/>
          <w:sz w:val="26"/>
        </w:rPr>
        <w:t>9.5 Sensitive-text handling</w:t>
      </w:r>
    </w:p>
    <w:tbl>
      <w:tblPr>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Situation</w:t>
            </w:r>
          </w:p>
        </w:tc>
        <w:tc>
          <w:tcPr>
            <w:tcW w:type="dxa" w:w="636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Required behaviour</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color w:val="17324D"/>
                <w:sz w:val="17"/>
              </w:rPr>
              <w:t>User writes sensitive text in an optional private note</w:t>
            </w:r>
          </w:p>
        </w:tc>
        <w:tc>
          <w:tcPr>
            <w:tcW w:type="dxa" w:w="6360"/>
            <w:tcMar>
              <w:top w:w="80" w:type="dxa"/>
              <w:start w:w="120" w:type="dxa"/>
              <w:bottom w:w="80" w:type="dxa"/>
              <w:end w:w="120" w:type="dxa"/>
            </w:tcMar>
            <w:vAlign w:val="center"/>
          </w:tcPr>
          <w:p>
            <w:pPr>
              <w:spacing w:before="0" w:after="0" w:line="252" w:lineRule="auto"/>
            </w:pPr>
            <w:r>
              <w:rPr>
                <w:rFonts w:ascii="Calibri" w:hAnsi="Calibri"/>
                <w:color w:val="17324D"/>
                <w:sz w:val="17"/>
              </w:rPr>
              <w:t>Keep it local. Do not scan, classify, transmit, prompt an LLM with it, use it for routing, or display reactive warnings based on content.</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color w:val="17324D"/>
                <w:sz w:val="17"/>
              </w:rPr>
              <w:t>User asks product support for help</w:t>
            </w:r>
          </w:p>
        </w:tc>
        <w:tc>
          <w:tcPr>
            <w:tcW w:type="dxa" w:w="6360"/>
            <w:tcMar>
              <w:top w:w="80" w:type="dxa"/>
              <w:start w:w="120" w:type="dxa"/>
              <w:bottom w:w="80" w:type="dxa"/>
              <w:end w:w="120" w:type="dxa"/>
            </w:tcMar>
            <w:vAlign w:val="center"/>
          </w:tcPr>
          <w:p>
            <w:pPr>
              <w:spacing w:before="0" w:after="0" w:line="252" w:lineRule="auto"/>
            </w:pPr>
            <w:r>
              <w:rPr>
                <w:rFonts w:ascii="Calibri" w:hAnsi="Calibri"/>
                <w:color w:val="17324D"/>
                <w:sz w:val="17"/>
              </w:rPr>
              <w:t>Provide product support scope and clear service limitations. Do not solicit a detailed personal narrative as a condition of assistance.</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color w:val="17324D"/>
                <w:sz w:val="17"/>
              </w:rPr>
              <w:t>User deletes a note/record</w:t>
            </w:r>
          </w:p>
        </w:tc>
        <w:tc>
          <w:tcPr>
            <w:tcW w:type="dxa" w:w="6360"/>
            <w:tcMar>
              <w:top w:w="80" w:type="dxa"/>
              <w:start w:w="120" w:type="dxa"/>
              <w:bottom w:w="80" w:type="dxa"/>
              <w:end w:w="120" w:type="dxa"/>
            </w:tcMar>
            <w:vAlign w:val="center"/>
          </w:tcPr>
          <w:p>
            <w:pPr>
              <w:spacing w:before="0" w:after="0" w:line="252" w:lineRule="auto"/>
            </w:pPr>
            <w:r>
              <w:rPr>
                <w:rFonts w:ascii="Calibri" w:hAnsi="Calibri"/>
                <w:color w:val="17324D"/>
                <w:sz w:val="17"/>
              </w:rPr>
              <w:t>Remove it promptly from local store and any separately consented backup according to disclosed deletion process; do not retain for analytics or model training.</w:t>
            </w:r>
          </w:p>
        </w:tc>
      </w:tr>
      <w:tr>
        <w:trPr>
          <w:cantSplit/>
        </w:trPr>
        <w:tc>
          <w:tcPr>
            <w:tcW w:type="dxa" w:w="3000"/>
            <w:tcMar>
              <w:top w:w="80" w:type="dxa"/>
              <w:start w:w="120" w:type="dxa"/>
              <w:bottom w:w="80" w:type="dxa"/>
              <w:end w:w="120" w:type="dxa"/>
            </w:tcMar>
            <w:vAlign w:val="center"/>
          </w:tcPr>
          <w:p>
            <w:pPr>
              <w:spacing w:before="0" w:after="0" w:line="252" w:lineRule="auto"/>
            </w:pPr>
            <w:r>
              <w:rPr>
                <w:rFonts w:ascii="Calibri" w:hAnsi="Calibri"/>
                <w:color w:val="17324D"/>
                <w:sz w:val="17"/>
              </w:rPr>
              <w:t>A future feature requests free-text analysis</w:t>
            </w:r>
          </w:p>
        </w:tc>
        <w:tc>
          <w:tcPr>
            <w:tcW w:type="dxa" w:w="6360"/>
            <w:tcMar>
              <w:top w:w="80" w:type="dxa"/>
              <w:start w:w="120" w:type="dxa"/>
              <w:bottom w:w="80" w:type="dxa"/>
              <w:end w:w="120" w:type="dxa"/>
            </w:tcMar>
            <w:vAlign w:val="center"/>
          </w:tcPr>
          <w:p>
            <w:pPr>
              <w:spacing w:before="0" w:after="0" w:line="252" w:lineRule="auto"/>
            </w:pPr>
            <w:r>
              <w:rPr>
                <w:rFonts w:ascii="Calibri" w:hAnsi="Calibri"/>
                <w:color w:val="17324D"/>
                <w:sz w:val="17"/>
              </w:rPr>
              <w:t>Treat as a new constitutional and privacy proposal, not a V4 extension. It requires explicit user value, consent, safeguards, reviewers, and a separate decision.</w:t>
            </w:r>
          </w:p>
        </w:tc>
      </w:tr>
    </w:tbl>
    <w:p>
      <w:pPr>
        <w:spacing w:after="40"/>
      </w:pPr>
    </w:p>
    <w:p>
      <w:pPr>
        <w:pStyle w:val="Heading1"/>
        <w:keepNext/>
      </w:pPr>
      <w:r>
        <w:rPr>
          <w:rFonts w:ascii="Calibri" w:hAnsi="Calibri"/>
          <w:b/>
          <w:color w:val="2E74B5"/>
          <w:sz w:val="32"/>
        </w:rPr>
        <w:t>10. V2 route-engine and V3 stewardship integration</w:t>
      </w:r>
    </w:p>
    <w:p>
      <w:pPr>
        <w:pStyle w:val="Heading2"/>
        <w:keepNext/>
      </w:pPr>
      <w:r>
        <w:rPr>
          <w:rFonts w:ascii="Calibri" w:hAnsi="Calibri"/>
          <w:b/>
          <w:color w:val="2E74B5"/>
          <w:sz w:val="26"/>
        </w:rPr>
        <w:t>10.1 V2 integration rule</w:t>
      </w:r>
    </w:p>
    <w:p>
      <w:pPr>
        <w:spacing w:before="0" w:after="120" w:line="264" w:lineRule="auto"/>
      </w:pPr>
      <w:r>
        <w:rPr>
          <w:rFonts w:ascii="Calibri" w:hAnsi="Calibri"/>
          <w:i w:val="0"/>
          <w:color w:val="17324D"/>
          <w:sz w:val="22"/>
        </w:rPr>
        <w:t>The Personal Observatory may expose, explain, edit, and delete the explicit evidence that the V2 route engine is already permitted to use. It must not introduce any new inferred evidence. A route may use a saved cue, an explicit “fit” response, a user-created route, an explicit current constraint, and approved completion/dependency state only when the V2 policy permits the specific field.</w:t>
      </w:r>
    </w:p>
    <w:p>
      <w:pPr>
        <w:pStyle w:val="Heading2"/>
        <w:keepNext/>
      </w:pPr>
      <w:r>
        <w:rPr>
          <w:rFonts w:ascii="Calibri" w:hAnsi="Calibri"/>
          <w:b/>
          <w:color w:val="2E74B5"/>
          <w:sz w:val="26"/>
        </w:rPr>
        <w:t>10.2 Evidence boundary matrix</w:t>
      </w:r>
    </w:p>
    <w:tbl>
      <w:tblPr>
        <w:tblW w:type="dxa" w:w="9360"/>
        <w:jc w:val="left"/>
        <w:tblLayout w:type="fixed"/>
        <w:tblLook w:firstColumn="1" w:firstRow="1" w:lastColumn="0" w:lastRow="0" w:noHBand="0" w:noVBand="1" w:val="04A0"/>
        <w:tblInd w:w="120" w:type="dxa"/>
      </w:tblPr>
      <w:tblGrid>
        <w:gridCol w:w="2200"/>
        <w:gridCol w:w="2100"/>
        <w:gridCol w:w="2850"/>
        <w:gridCol w:w="2210"/>
      </w:tblGrid>
      <w:tr>
        <w:trPr>
          <w:tblHeader w:val="true"/>
          <w:cantSplit/>
        </w:trPr>
        <w:tc>
          <w:tcPr>
            <w:tcW w:type="dxa" w:w="22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Observatory object</w:t>
            </w:r>
          </w:p>
        </w:tc>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May be shown</w:t>
            </w:r>
          </w:p>
        </w:tc>
        <w:tc>
          <w:tcPr>
            <w:tcW w:type="dxa" w:w="285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May influence V2 route</w:t>
            </w:r>
          </w:p>
        </w:tc>
        <w:tc>
          <w:tcPr>
            <w:tcW w:type="dxa" w:w="221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May enter analytics/research</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Experience record</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 with source and date.</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Only approved completion/dependency data.</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Only separate opt-in aggregate operational event, not full record.</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Structured fit response</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Yes, if policy permits, visible, editable, and not expired.</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Only separate opt-in, de-identified, protocol/purpose-limited form.</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Saved cue</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 including origin and controls.</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Yes, as an offer with Why this?; never a command.</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No by default.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Personal route</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Yes, only as the person’s saved route/explicit choice.</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No by default.</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Private reflection or review note</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 only to the person.</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Never.</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Never by default; separate research proposal required even to consider.</w:t>
            </w:r>
          </w:p>
        </w:tc>
      </w:tr>
      <w:tr>
        <w:trPr>
          <w:cantSplit/>
        </w:trPr>
        <w:tc>
          <w:tcPr>
            <w:tcW w:type="dxa" w:w="2200"/>
            <w:tcMar>
              <w:top w:w="80" w:type="dxa"/>
              <w:start w:w="120" w:type="dxa"/>
              <w:bottom w:w="80" w:type="dxa"/>
              <w:end w:w="120" w:type="dxa"/>
            </w:tcMar>
            <w:vAlign w:val="center"/>
          </w:tcPr>
          <w:p>
            <w:pPr>
              <w:spacing w:before="0" w:after="0" w:line="252" w:lineRule="auto"/>
            </w:pPr>
            <w:r>
              <w:rPr>
                <w:rFonts w:ascii="Calibri" w:hAnsi="Calibri"/>
                <w:color w:val="17324D"/>
                <w:sz w:val="16"/>
              </w:rPr>
              <w:t>Deletion/hide action</w:t>
            </w:r>
          </w:p>
        </w:tc>
        <w:tc>
          <w:tcPr>
            <w:tcW w:type="dxa" w:w="2100"/>
            <w:tcMar>
              <w:top w:w="80" w:type="dxa"/>
              <w:start w:w="120" w:type="dxa"/>
              <w:bottom w:w="80" w:type="dxa"/>
              <w:end w:w="120" w:type="dxa"/>
            </w:tcMar>
            <w:vAlign w:val="center"/>
          </w:tcPr>
          <w:p>
            <w:pPr>
              <w:spacing w:before="0" w:after="0" w:line="252" w:lineRule="auto"/>
            </w:pPr>
            <w:r>
              <w:rPr>
                <w:rFonts w:ascii="Calibri" w:hAnsi="Calibri"/>
                <w:color w:val="17324D"/>
                <w:sz w:val="16"/>
              </w:rPr>
              <w:t>Yes, as a control receipt.</w:t>
            </w:r>
          </w:p>
        </w:tc>
        <w:tc>
          <w:tcPr>
            <w:tcW w:type="dxa" w:w="2850"/>
            <w:tcMar>
              <w:top w:w="80" w:type="dxa"/>
              <w:start w:w="120" w:type="dxa"/>
              <w:bottom w:w="80" w:type="dxa"/>
              <w:end w:w="120" w:type="dxa"/>
            </w:tcMar>
            <w:vAlign w:val="center"/>
          </w:tcPr>
          <w:p>
            <w:pPr>
              <w:spacing w:before="0" w:after="0" w:line="252" w:lineRule="auto"/>
            </w:pPr>
            <w:r>
              <w:rPr>
                <w:rFonts w:ascii="Calibri" w:hAnsi="Calibri"/>
                <w:color w:val="17324D"/>
                <w:sz w:val="16"/>
              </w:rPr>
              <w:t>Only to remove/suppress the relevant evidence locally.</w:t>
            </w:r>
          </w:p>
        </w:tc>
        <w:tc>
          <w:tcPr>
            <w:tcW w:type="dxa" w:w="2210"/>
            <w:tcMar>
              <w:top w:w="80" w:type="dxa"/>
              <w:start w:w="120" w:type="dxa"/>
              <w:bottom w:w="80" w:type="dxa"/>
              <w:end w:w="120" w:type="dxa"/>
            </w:tcMar>
            <w:vAlign w:val="center"/>
          </w:tcPr>
          <w:p>
            <w:pPr>
              <w:spacing w:before="0" w:after="0" w:line="252" w:lineRule="auto"/>
            </w:pPr>
            <w:r>
              <w:rPr>
                <w:rFonts w:ascii="Calibri" w:hAnsi="Calibri"/>
                <w:color w:val="17324D"/>
                <w:sz w:val="16"/>
              </w:rPr>
              <w:t>No: it must not become a negative user signal or retention feature.</w:t>
            </w:r>
          </w:p>
        </w:tc>
      </w:tr>
    </w:tbl>
    <w:p>
      <w:pPr>
        <w:spacing w:after="40"/>
      </w:pPr>
    </w:p>
    <w:p>
      <w:pPr>
        <w:pStyle w:val="Heading2"/>
        <w:keepNext/>
      </w:pPr>
      <w:r>
        <w:rPr>
          <w:rFonts w:ascii="Calibri" w:hAnsi="Calibri"/>
          <w:b/>
          <w:color w:val="2E74B5"/>
          <w:sz w:val="26"/>
        </w:rPr>
        <w:t>10.3 V3 stewardship integration</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Stewardship concern</w:t>
            </w:r>
          </w:p>
        </w:tc>
        <w:tc>
          <w:tcPr>
            <w:tcW w:type="dxa" w:w="6960"/>
            <w:tcMar>
              <w:top w:w="80" w:type="dxa"/>
              <w:start w:w="120" w:type="dxa"/>
              <w:bottom w:w="80" w:type="dxa"/>
              <w:end w:w="120" w:type="dxa"/>
            </w:tcMar>
            <w:vAlign w:val="center"/>
            <w:shd w:fill="E8EEF5"/>
          </w:tcPr>
          <w:p>
            <w:pPr>
              <w:spacing w:before="0" w:after="0" w:line="240" w:lineRule="auto"/>
            </w:pPr>
            <w:r>
              <w:rPr>
                <w:rFonts w:ascii="Calibri" w:hAnsi="Calibri"/>
                <w:b/>
                <w:color w:val="17324D"/>
                <w:sz w:val="18"/>
              </w:rPr>
              <w:t>V4 requirement</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17324D"/>
                <w:sz w:val="18"/>
              </w:rPr>
              <w:t>Curriculum meaning</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17324D"/>
                <w:sz w:val="18"/>
              </w:rPr>
              <w:t>Personal record language must mirror approved experience copy and transition dossiers. Observatory cannot reframe an experience’s learning claim.</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17324D"/>
                <w:sz w:val="18"/>
              </w:rPr>
              <w:t>Content changes</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17324D"/>
                <w:sz w:val="18"/>
              </w:rPr>
              <w:t>Any new reflection prompt, review question, source label, data field, or cue policy is a versioned content/data change with named owner and tests.</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17324D"/>
                <w:sz w:val="18"/>
              </w:rPr>
              <w:t>Aggregate learning</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17324D"/>
                <w:sz w:val="18"/>
              </w:rPr>
              <w:t>Any aggregate review uses separate consent, de-identified permitted events, and the Observation → Evidence → Interpretation → Finding discipline. It cannot auto-change user routes or content.</w:t>
            </w:r>
          </w:p>
        </w:tc>
      </w:tr>
      <w:tr>
        <w:trPr>
          <w:cantSplit/>
        </w:trPr>
        <w:tc>
          <w:tcPr>
            <w:tcW w:type="dxa" w:w="2400"/>
            <w:tcMar>
              <w:top w:w="80" w:type="dxa"/>
              <w:start w:w="120" w:type="dxa"/>
              <w:bottom w:w="80" w:type="dxa"/>
              <w:end w:w="120" w:type="dxa"/>
            </w:tcMar>
            <w:vAlign w:val="center"/>
          </w:tcPr>
          <w:p>
            <w:pPr>
              <w:spacing w:before="0" w:after="0" w:line="252" w:lineRule="auto"/>
            </w:pPr>
            <w:r>
              <w:rPr>
                <w:rFonts w:ascii="Calibri" w:hAnsi="Calibri"/>
                <w:color w:val="17324D"/>
                <w:sz w:val="18"/>
              </w:rPr>
              <w:t>Pause authority</w:t>
            </w:r>
          </w:p>
        </w:tc>
        <w:tc>
          <w:tcPr>
            <w:tcW w:type="dxa" w:w="6960"/>
            <w:tcMar>
              <w:top w:w="80" w:type="dxa"/>
              <w:start w:w="120" w:type="dxa"/>
              <w:bottom w:w="80" w:type="dxa"/>
              <w:end w:w="120" w:type="dxa"/>
            </w:tcMar>
            <w:vAlign w:val="center"/>
          </w:tcPr>
          <w:p>
            <w:pPr>
              <w:spacing w:before="0" w:after="0" w:line="252" w:lineRule="auto"/>
            </w:pPr>
            <w:r>
              <w:rPr>
                <w:rFonts w:ascii="Calibri" w:hAnsi="Calibri"/>
                <w:color w:val="17324D"/>
                <w:sz w:val="18"/>
              </w:rPr>
              <w:t>Product, engineering, editorial, privacy, accessibility, research, or safety reviewers may pause release if the Observatory creates profiling, coercion, misleading interpretation, inaccessible deletion, or data-boundary failure.</w:t>
            </w:r>
          </w:p>
        </w:tc>
      </w:tr>
    </w:tbl>
    <w:p>
      <w:pPr>
        <w:spacing w:after="40"/>
      </w:pPr>
    </w:p>
    <w:p>
      <w:pPr>
        <w:pStyle w:val="Heading2"/>
        <w:keepNext/>
      </w:pPr>
      <w:r>
        <w:rPr>
          <w:rFonts w:ascii="Calibri" w:hAnsi="Calibri"/>
          <w:b/>
          <w:color w:val="2E74B5"/>
          <w:sz w:val="26"/>
        </w:rPr>
        <w:t>10.4 Measurement rules</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May review, only with separate consent where needed</w:t>
            </w:r>
          </w:p>
        </w:tc>
        <w:tc>
          <w:tcPr>
            <w:tcW w:type="dxa" w:w="468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Must not optimize</w:t>
            </w:r>
          </w:p>
        </w:tc>
      </w:tr>
      <w:tr>
        <w:trPr>
          <w:cantSplit/>
        </w:trPr>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7"/>
              </w:rPr>
              <w:t>Whether controls are discoverable; export/deletion success; accessibility failures; route-explanation clarity; bug/incident counts; explicit “fit / not fit” for a cue; proportion of people choosing self-guidance as an optional product-quality signal.</w:t>
            </w:r>
          </w:p>
        </w:tc>
        <w:tc>
          <w:tcPr>
            <w:tcW w:type="dxa" w:w="4680"/>
            <w:tcMar>
              <w:top w:w="80" w:type="dxa"/>
              <w:start w:w="120" w:type="dxa"/>
              <w:bottom w:w="80" w:type="dxa"/>
              <w:end w:w="120" w:type="dxa"/>
            </w:tcMar>
            <w:vAlign w:val="center"/>
          </w:tcPr>
          <w:p>
            <w:pPr>
              <w:spacing w:before="0" w:after="0" w:line="252" w:lineRule="auto"/>
            </w:pPr>
            <w:r>
              <w:rPr>
                <w:rFonts w:ascii="Calibri" w:hAnsi="Calibri"/>
                <w:color w:val="17324D"/>
                <w:sz w:val="17"/>
              </w:rPr>
              <w:t>Daily active users, record count per person, note length, review time, return frequency, session length, completion rate, emotional intensity, private-text content, hidden engagement score, or any “observatory health” KPI that rewards disclosure.</w:t>
            </w:r>
          </w:p>
        </w:tc>
      </w:tr>
    </w:tbl>
    <w:p>
      <w:pPr>
        <w:spacing w:after="40"/>
      </w:pPr>
    </w:p>
    <w:p>
      <w:pPr>
        <w:pStyle w:val="Heading1"/>
        <w:keepNext/>
      </w:pPr>
      <w:r>
        <w:rPr>
          <w:rFonts w:ascii="Calibri" w:hAnsi="Calibri"/>
          <w:b/>
          <w:color w:val="2E74B5"/>
          <w:sz w:val="32"/>
        </w:rPr>
        <w:t>11. Claude implementation architecture and contracts</w:t>
      </w:r>
    </w:p>
    <w:p>
      <w:pPr>
        <w:pStyle w:val="Heading2"/>
        <w:keepNext/>
      </w:pPr>
      <w:r>
        <w:rPr>
          <w:rFonts w:ascii="Calibri" w:hAnsi="Calibri"/>
          <w:b/>
          <w:color w:val="2E74B5"/>
          <w:sz w:val="26"/>
        </w:rPr>
        <w:t>11.1 Build principle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7A5A00"/>
                <w:sz w:val="18"/>
              </w:rPr>
              <w:t xml:space="preserve">CLAUDE MANDATE  </w:t>
            </w:r>
            <w:r>
              <w:rPr>
                <w:rFonts w:ascii="Calibri" w:hAnsi="Calibri"/>
                <w:color w:val="17324D"/>
                <w:sz w:val="21"/>
              </w:rPr>
              <w:t>Claude implements this specification; it does not invent a personal interpretation, data field, AI behavior, route policy, notification, account dependency, or engagement mechanism. If a requirement is ambiguous, Claude must create a blocking question or draft a versioned change request rather than guess.</w:t>
            </w:r>
          </w:p>
        </w:tc>
      </w:tr>
    </w:tbl>
    <w:p>
      <w:pPr>
        <w:spacing w:after="40"/>
      </w:pPr>
    </w:p>
    <w:p>
      <w:pPr>
        <w:pStyle w:val="Heading2"/>
        <w:keepNext/>
      </w:pPr>
      <w:r>
        <w:rPr>
          <w:rFonts w:ascii="Calibri" w:hAnsi="Calibri"/>
          <w:b/>
          <w:color w:val="2E74B5"/>
          <w:sz w:val="26"/>
        </w:rPr>
        <w:t>11.2 Recommended local architecture</w:t>
      </w:r>
    </w:p>
    <w:tbl>
      <w:tblPr>
        <w:tblW w:type="dxa" w:w="9360"/>
        <w:jc w:val="left"/>
        <w:tblLayout w:type="fixed"/>
        <w:tblLook w:firstColumn="1" w:firstRow="1" w:lastColumn="0" w:lastRow="0" w:noHBand="0" w:noVBand="1" w:val="04A0"/>
        <w:tblInd w:w="120" w:type="dxa"/>
      </w:tblPr>
      <w:tblGrid>
        <w:gridCol w:w="1750"/>
        <w:gridCol w:w="4470"/>
        <w:gridCol w:w="3140"/>
      </w:tblGrid>
      <w:tr>
        <w:trPr>
          <w:tblHeader w:val="true"/>
          <w:cantSplit/>
        </w:trPr>
        <w:tc>
          <w:tcPr>
            <w:tcW w:type="dxa" w:w="17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Layer</w:t>
            </w:r>
          </w:p>
        </w:tc>
        <w:tc>
          <w:tcPr>
            <w:tcW w:type="dxa" w:w="447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Responsibility</w:t>
            </w:r>
          </w:p>
        </w:tc>
        <w:tc>
          <w:tcPr>
            <w:tcW w:type="dxa" w:w="314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Hard boundary</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UI / navigation</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Renders My record, detail, review, cues, routes, explanations, controls, and deletion confirmations.</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Never derives a hidden insight or makes a data upload silently.</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Local repository</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Encrypted-at-rest where platform supports it; stores records, cues, routes, notes, consent receipts, and local deletion state.</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No server write for core use; no free-text indexing outside local device.</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Policy adapter</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Reads versioned V2 eligibility/ranking/explanation policy and maps permitted evidence to UI.</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Cannot access reflection text or unsupported device data.</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Export service</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Builds local JSON and plain-text files from visible personal objects.</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No upload or analytics event required to generate export.</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Optional consent gateway</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Separately manages backup, analytics, and research permissions.</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Default-off; cannot merge purposes or gate core use.</w:t>
            </w:r>
          </w:p>
        </w:tc>
      </w:tr>
      <w:tr>
        <w:trPr>
          <w:cantSplit/>
        </w:trPr>
        <w:tc>
          <w:tcPr>
            <w:tcW w:type="dxa" w:w="1750"/>
            <w:tcMar>
              <w:top w:w="80" w:type="dxa"/>
              <w:start w:w="120" w:type="dxa"/>
              <w:bottom w:w="80" w:type="dxa"/>
              <w:end w:w="120" w:type="dxa"/>
            </w:tcMar>
            <w:vAlign w:val="center"/>
          </w:tcPr>
          <w:p>
            <w:pPr>
              <w:spacing w:before="0" w:after="0" w:line="252" w:lineRule="auto"/>
            </w:pPr>
            <w:r>
              <w:rPr>
                <w:rFonts w:ascii="Calibri" w:hAnsi="Calibri"/>
                <w:color w:val="17324D"/>
                <w:sz w:val="17"/>
              </w:rPr>
              <w:t>Test harness</w:t>
            </w:r>
          </w:p>
        </w:tc>
        <w:tc>
          <w:tcPr>
            <w:tcW w:type="dxa" w:w="4470"/>
            <w:tcMar>
              <w:top w:w="80" w:type="dxa"/>
              <w:start w:w="120" w:type="dxa"/>
              <w:bottom w:w="80" w:type="dxa"/>
              <w:end w:w="120" w:type="dxa"/>
            </w:tcMar>
            <w:vAlign w:val="center"/>
          </w:tcPr>
          <w:p>
            <w:pPr>
              <w:spacing w:before="0" w:after="0" w:line="252" w:lineRule="auto"/>
            </w:pPr>
            <w:r>
              <w:rPr>
                <w:rFonts w:ascii="Calibri" w:hAnsi="Calibri"/>
                <w:color w:val="17324D"/>
                <w:sz w:val="17"/>
              </w:rPr>
              <w:t>Runs privacy, policy, deletion, accessibility, offline, and regression fixtures.</w:t>
            </w:r>
          </w:p>
        </w:tc>
        <w:tc>
          <w:tcPr>
            <w:tcW w:type="dxa" w:w="3140"/>
            <w:tcMar>
              <w:top w:w="80" w:type="dxa"/>
              <w:start w:w="120" w:type="dxa"/>
              <w:bottom w:w="80" w:type="dxa"/>
              <w:end w:w="120" w:type="dxa"/>
            </w:tcMar>
            <w:vAlign w:val="center"/>
          </w:tcPr>
          <w:p>
            <w:pPr>
              <w:spacing w:before="0" w:after="0" w:line="252" w:lineRule="auto"/>
            </w:pPr>
            <w:r>
              <w:rPr>
                <w:rFonts w:ascii="Calibri" w:hAnsi="Calibri"/>
                <w:color w:val="17324D"/>
                <w:sz w:val="17"/>
              </w:rPr>
              <w:t>Release is blocked if fixtures expose forbidden evidence or broken control paths.</w:t>
            </w:r>
          </w:p>
        </w:tc>
      </w:tr>
    </w:tbl>
    <w:p>
      <w:pPr>
        <w:spacing w:after="40"/>
      </w:pPr>
    </w:p>
    <w:p>
      <w:pPr>
        <w:pStyle w:val="Heading2"/>
        <w:keepNext/>
      </w:pPr>
      <w:r>
        <w:rPr>
          <w:rFonts w:ascii="Calibri" w:hAnsi="Calibri"/>
          <w:b/>
          <w:color w:val="2E74B5"/>
          <w:sz w:val="26"/>
        </w:rPr>
        <w:t>11.3 Type contracts</w:t>
      </w:r>
    </w:p>
    <w:p>
      <w:pPr>
        <w:spacing w:before="0" w:after="160" w:line="240" w:lineRule="auto"/>
      </w:pPr>
      <w:r>
        <w:rPr>
          <w:rFonts w:ascii="Consolas" w:hAnsi="Consolas"/>
          <w:color w:val="17324D"/>
          <w:sz w:val="16"/>
        </w:rPr>
        <w:t>type ObservatoryRecord = {</w:t>
        <w:br/>
        <w:t xml:space="preserve">  id: string; // local UUID</w:t>
        <w:br/>
        <w:t xml:space="preserve">  transitionId: string;</w:t>
        <w:br/>
        <w:t xml:space="preserve">  experienceId: string;</w:t>
        <w:br/>
        <w:t xml:space="preserve">  curriculumVersion: string;</w:t>
        <w:br/>
        <w:t xml:space="preserve">  occurredAtLocal: string;</w:t>
        <w:br/>
        <w:t xml:space="preserve">  routeType: 'primary' | 'alternate' | 'minimum' | 'self_guided' | 'skipped' | 'exited';</w:t>
        <w:br/>
        <w:t xml:space="preserve">  explicitResponse?: EnumResponse;</w:t>
        <w:br/>
        <w:t xml:space="preserve">  savedCueId?: string;</w:t>
        <w:br/>
        <w:t xml:space="preserve">  reflectionText?: string; // local-only, excluded from policy and telemetry</w:t>
        <w:br/>
        <w:t xml:space="preserve">  policyVersion: string;</w:t>
        <w:br/>
        <w:t>};</w:t>
        <w:br/>
        <w:br/>
        <w:t>type SavedCue = {</w:t>
        <w:br/>
        <w:t xml:space="preserve">  id: string;</w:t>
        <w:br/>
        <w:t xml:space="preserve">  transitionId: string;</w:t>
        <w:br/>
        <w:t xml:space="preserve">  label: string;</w:t>
        <w:br/>
        <w:t xml:space="preserve">  originRecordId: string;</w:t>
        <w:br/>
        <w:t xml:space="preserve">  createdAtLocal: string;</w:t>
        <w:br/>
        <w:t xml:space="preserve">  suggestionState: 'available' | 'hidden_by_user';</w:t>
        <w:br/>
        <w:t xml:space="preserve">  suggestionHiddenUntil?: string;</w:t>
        <w:br/>
        <w:t>};</w:t>
        <w:br/>
        <w:br/>
        <w:t>type PersonalRoute = {</w:t>
        <w:br/>
        <w:t xml:space="preserve">  id: string;</w:t>
        <w:br/>
        <w:t xml:space="preserve">  transitionId: string;</w:t>
        <w:br/>
        <w:t xml:space="preserve">  label?: string;</w:t>
        <w:br/>
        <w:t xml:space="preserve">  cueIds: [string] | [string, string];</w:t>
        <w:br/>
        <w:t xml:space="preserve">  createdBy: 'user';</w:t>
        <w:br/>
        <w:t xml:space="preserve">  localOnly: true;</w:t>
        <w:br/>
        <w:t>};</w:t>
        <w:br/>
        <w:br/>
        <w:t>// Invariants:</w:t>
        <w:br/>
        <w:t>// - reflectionText and review notes never enter a RouteRequest, analytics payload, research export, or AI prompt.</w:t>
        <w:br/>
        <w:t>// - no object contains a score, inferred trait, diagnosis, sentiment, or engagement value.</w:t>
        <w:br/>
        <w:t>// - every local object can be read, edited where appropriate, exported, and deleted by the user.</w:t>
      </w:r>
    </w:p>
    <w:p>
      <w:pPr>
        <w:pStyle w:val="Heading2"/>
        <w:keepNext/>
      </w:pPr>
      <w:r>
        <w:rPr>
          <w:rFonts w:ascii="Calibri" w:hAnsi="Calibri"/>
          <w:b/>
          <w:color w:val="2E74B5"/>
          <w:sz w:val="26"/>
        </w:rPr>
        <w:t>11.4 Repository and file structure</w:t>
      </w:r>
    </w:p>
    <w:p>
      <w:pPr>
        <w:spacing w:before="0" w:after="160" w:line="240" w:lineRule="auto"/>
      </w:pPr>
      <w:r>
        <w:rPr>
          <w:rFonts w:ascii="Consolas" w:hAnsi="Consolas"/>
          <w:color w:val="17324D"/>
          <w:sz w:val="16"/>
        </w:rPr>
        <w:t>mirellis/</w:t>
        <w:br/>
        <w:t xml:space="preserve">  app/</w:t>
        <w:br/>
        <w:t xml:space="preserve">    observatory/</w:t>
        <w:br/>
        <w:t xml:space="preserve">      screens/ PO-01-record.tsx ... PO-10-delete-confirmation.tsx</w:t>
        <w:br/>
        <w:t xml:space="preserve">      components/ RecordCard, CueCard, RouteBuilder, WhyThis, PrivacyControls</w:t>
        <w:br/>
        <w:t xml:space="preserve">      state/ observatory-store.ts, local-repository.ts, deletion-service.ts</w:t>
        <w:br/>
        <w:t xml:space="preserve">      policy/ observatory-policy-adapter.ts</w:t>
        <w:br/>
        <w:t xml:space="preserve">      export/ local-export.ts</w:t>
        <w:br/>
        <w:t xml:space="preserve">  curriculum/</w:t>
        <w:br/>
        <w:t xml:space="preserve">    transitions/ TR-###/ (approved experience and route artifacts)</w:t>
        <w:br/>
        <w:t xml:space="preserve">  policy/</w:t>
        <w:br/>
        <w:t xml:space="preserve">    evidence-schema.ts, route-policy.ts, explanation-templates.ts</w:t>
        <w:br/>
        <w:t xml:space="preserve">  governance/</w:t>
        <w:br/>
        <w:t xml:space="preserve">    data-inventory.md, change-requests/, release-checklist.md</w:t>
        <w:br/>
        <w:t xml:space="preserve">  tests/</w:t>
        <w:br/>
        <w:t xml:space="preserve">    observatory/ privacy.spec.ts, deletion.spec.ts, offline.spec.ts,</w:t>
        <w:br/>
        <w:t xml:space="preserve">      route-boundary.spec.ts, accessibility.spec.ts, regression.spec.ts</w:t>
      </w:r>
    </w:p>
    <w:p>
      <w:pPr>
        <w:pStyle w:val="Heading2"/>
        <w:keepNext/>
      </w:pPr>
      <w:r>
        <w:rPr>
          <w:rFonts w:ascii="Calibri" w:hAnsi="Calibri"/>
          <w:b/>
          <w:color w:val="2E74B5"/>
          <w:sz w:val="26"/>
        </w:rPr>
        <w:t>11.5 Mandatory automated checks</w:t>
      </w:r>
    </w:p>
    <w:tbl>
      <w:tblPr>
        <w:tblW w:type="dxa" w:w="9360"/>
        <w:jc w:val="left"/>
        <w:tblLayout w:type="fixed"/>
        <w:tblLook w:firstColumn="1" w:firstRow="1" w:lastColumn="0" w:lastRow="0" w:noHBand="0" w:noVBand="1" w:val="04A0"/>
        <w:tblInd w:w="120" w:type="dxa"/>
      </w:tblPr>
      <w:tblGrid>
        <w:gridCol w:w="2050"/>
        <w:gridCol w:w="7310"/>
      </w:tblGrid>
      <w:tr>
        <w:trPr>
          <w:tblHeader w:val="true"/>
          <w:cantSplit/>
        </w:trPr>
        <w:tc>
          <w:tcPr>
            <w:tcW w:type="dxa" w:w="205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Test class</w:t>
            </w:r>
          </w:p>
        </w:tc>
        <w:tc>
          <w:tcPr>
            <w:tcW w:type="dxa" w:w="7310"/>
            <w:tcMar>
              <w:top w:w="80" w:type="dxa"/>
              <w:start w:w="120" w:type="dxa"/>
              <w:bottom w:w="80" w:type="dxa"/>
              <w:end w:w="120" w:type="dxa"/>
            </w:tcMar>
            <w:vAlign w:val="center"/>
            <w:shd w:fill="E8EEF5"/>
          </w:tcPr>
          <w:p>
            <w:pPr>
              <w:spacing w:before="0" w:after="0" w:line="240" w:lineRule="auto"/>
            </w:pPr>
            <w:r>
              <w:rPr>
                <w:rFonts w:ascii="Calibri" w:hAnsi="Calibri"/>
                <w:b/>
                <w:color w:val="17324D"/>
                <w:sz w:val="17"/>
              </w:rPr>
              <w:t>Must prove</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Schema</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Reflection text/review notes cannot type-check as route evidence, analytics payload, research payload, or model input.</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Policy boundary</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Only explicit, non-expired, approved evidence can reach a route explanation; hidden/deleted cues are excluded immediately.</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Deletion</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Deleting a note, cue, record, transition, or all local data removes the correct local objects and invalidates dependent routes/explanations.</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Export</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Export includes only visible personal objects, does not upload, and represents dates/fields accurately.</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Offline</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Open, review, create/edit/delete, use route, and export work without network. Permission screens degrade safely.</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Accessibility</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All PO screens pass screen-reader, keyboard/switch, text-scaling, contrast, focus order, reduced-motion, and touch-target checks.</w:t>
            </w:r>
          </w:p>
        </w:tc>
      </w:tr>
      <w:tr>
        <w:trPr>
          <w:cantSplit/>
        </w:trPr>
        <w:tc>
          <w:tcPr>
            <w:tcW w:type="dxa" w:w="2050"/>
            <w:tcMar>
              <w:top w:w="80" w:type="dxa"/>
              <w:start w:w="120" w:type="dxa"/>
              <w:bottom w:w="80" w:type="dxa"/>
              <w:end w:w="120" w:type="dxa"/>
            </w:tcMar>
            <w:vAlign w:val="center"/>
          </w:tcPr>
          <w:p>
            <w:pPr>
              <w:spacing w:before="0" w:after="0" w:line="252" w:lineRule="auto"/>
            </w:pPr>
            <w:r>
              <w:rPr>
                <w:rFonts w:ascii="Calibri" w:hAnsi="Calibri"/>
                <w:color w:val="17324D"/>
                <w:sz w:val="17"/>
              </w:rPr>
              <w:t>Regression</w:t>
            </w:r>
          </w:p>
        </w:tc>
        <w:tc>
          <w:tcPr>
            <w:tcW w:type="dxa" w:w="7310"/>
            <w:tcMar>
              <w:top w:w="80" w:type="dxa"/>
              <w:start w:w="120" w:type="dxa"/>
              <w:bottom w:w="80" w:type="dxa"/>
              <w:end w:w="120" w:type="dxa"/>
            </w:tcMar>
            <w:vAlign w:val="center"/>
          </w:tcPr>
          <w:p>
            <w:pPr>
              <w:spacing w:before="0" w:after="0" w:line="252" w:lineRule="auto"/>
            </w:pPr>
            <w:r>
              <w:rPr>
                <w:rFonts w:ascii="Calibri" w:hAnsi="Calibri"/>
                <w:color w:val="17324D"/>
                <w:sz w:val="17"/>
              </w:rPr>
              <w:t>No score, streak, notification prompt, social surface, account requirement, LLM call, device sensor, or personal-text telemetry is introduced.</w:t>
            </w:r>
          </w:p>
        </w:tc>
      </w:tr>
    </w:tbl>
    <w:p>
      <w:pPr>
        <w:spacing w:after="40"/>
      </w:pPr>
    </w:p>
    <w:p>
      <w:pPr>
        <w:pStyle w:val="Heading1"/>
        <w:keepNext/>
      </w:pPr>
      <w:r>
        <w:rPr>
          <w:rFonts w:ascii="Calibri" w:hAnsi="Calibri"/>
          <w:b/>
          <w:color w:val="2E74B5"/>
          <w:sz w:val="32"/>
        </w:rPr>
        <w:t>12. QA, release governance, acceptance criteria, and V4 freeze</w:t>
      </w:r>
    </w:p>
    <w:p>
      <w:pPr>
        <w:pStyle w:val="Heading2"/>
        <w:keepNext/>
      </w:pPr>
      <w:r>
        <w:rPr>
          <w:rFonts w:ascii="Calibri" w:hAnsi="Calibri"/>
          <w:b/>
          <w:color w:val="2E74B5"/>
          <w:sz w:val="26"/>
        </w:rPr>
        <w:t>12.1 Pre-release review gates</w:t>
      </w:r>
    </w:p>
    <w:tbl>
      <w:tblPr>
        <w:tblW w:type="dxa" w:w="9360"/>
        <w:jc w:val="left"/>
        <w:tblLayout w:type="fixed"/>
        <w:tblLook w:firstColumn="1" w:firstRow="1" w:lastColumn="0" w:lastRow="0" w:noHBand="0" w:noVBand="1" w:val="04A0"/>
        <w:tblInd w:w="120" w:type="dxa"/>
      </w:tblPr>
      <w:tblGrid>
        <w:gridCol w:w="1450"/>
        <w:gridCol w:w="3920"/>
        <w:gridCol w:w="3990"/>
      </w:tblGrid>
      <w:tr>
        <w:trPr>
          <w:tblHeader w:val="true"/>
          <w:cantSplit/>
        </w:trPr>
        <w:tc>
          <w:tcPr>
            <w:tcW w:type="dxa" w:w="145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Gate</w:t>
            </w:r>
          </w:p>
        </w:tc>
        <w:tc>
          <w:tcPr>
            <w:tcW w:type="dxa" w:w="392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Question</w:t>
            </w:r>
          </w:p>
        </w:tc>
        <w:tc>
          <w:tcPr>
            <w:tcW w:type="dxa" w:w="3990"/>
            <w:tcMar>
              <w:top w:w="80" w:type="dxa"/>
              <w:start w:w="120" w:type="dxa"/>
              <w:bottom w:w="80" w:type="dxa"/>
              <w:end w:w="120" w:type="dxa"/>
            </w:tcMar>
            <w:vAlign w:val="center"/>
            <w:shd w:fill="E8EEF5"/>
          </w:tcPr>
          <w:p>
            <w:pPr>
              <w:spacing w:before="0" w:after="0" w:line="240" w:lineRule="auto"/>
            </w:pPr>
            <w:r>
              <w:rPr>
                <w:rFonts w:ascii="Calibri" w:hAnsi="Calibri"/>
                <w:b/>
                <w:color w:val="17324D"/>
                <w:sz w:val="16"/>
              </w:rPr>
              <w:t>Required approvers / evidence</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Product meaning</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Does every screen strengthen the Personal Observatory promise without becoming a scorecard or coach?</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Product + curriculum steward; screen inventory and copy review.</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Privacy/data</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Can core use remain local and account-free? Is every optional field/purpose/control documented?</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Privacy/safety reviewer; data inventory, permission flow, deletion/export test.</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Route boundary</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Can any reflection/free text/hidden data influence a route?</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Engineering + V2 policy owner; automated boundary suite.</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Accessibility</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Can a person use, understand, edit, export, and delete their record through supported assistive pathways?</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Accessibility reviewer; manual and automated test results.</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Safety/claims</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Does the design avoid diagnosis, therapy, distress escalation, health claims, and false interpretation?</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Curriculum + qualified safety/editorial review where required.</w:t>
            </w:r>
          </w:p>
        </w:tc>
      </w:tr>
      <w:tr>
        <w:trPr>
          <w:cantSplit/>
        </w:trPr>
        <w:tc>
          <w:tcPr>
            <w:tcW w:type="dxa" w:w="1450"/>
            <w:tcMar>
              <w:top w:w="80" w:type="dxa"/>
              <w:start w:w="120" w:type="dxa"/>
              <w:bottom w:w="80" w:type="dxa"/>
              <w:end w:w="120" w:type="dxa"/>
            </w:tcMar>
            <w:vAlign w:val="center"/>
          </w:tcPr>
          <w:p>
            <w:pPr>
              <w:spacing w:before="0" w:after="0" w:line="252" w:lineRule="auto"/>
            </w:pPr>
            <w:r>
              <w:rPr>
                <w:rFonts w:ascii="Calibri" w:hAnsi="Calibri"/>
                <w:color w:val="17324D"/>
                <w:sz w:val="16"/>
              </w:rPr>
              <w:t>Operations</w:t>
            </w:r>
          </w:p>
        </w:tc>
        <w:tc>
          <w:tcPr>
            <w:tcW w:type="dxa" w:w="3920"/>
            <w:tcMar>
              <w:top w:w="80" w:type="dxa"/>
              <w:start w:w="120" w:type="dxa"/>
              <w:bottom w:w="80" w:type="dxa"/>
              <w:end w:w="120" w:type="dxa"/>
            </w:tcMar>
            <w:vAlign w:val="center"/>
          </w:tcPr>
          <w:p>
            <w:pPr>
              <w:spacing w:before="0" w:after="0" w:line="252" w:lineRule="auto"/>
            </w:pPr>
            <w:r>
              <w:rPr>
                <w:rFonts w:ascii="Calibri" w:hAnsi="Calibri"/>
                <w:color w:val="17324D"/>
                <w:sz w:val="16"/>
              </w:rPr>
              <w:t>Are support scope, incident response, rollback, and consent/deletion operations ready?</w:t>
            </w:r>
          </w:p>
        </w:tc>
        <w:tc>
          <w:tcPr>
            <w:tcW w:type="dxa" w:w="3990"/>
            <w:tcMar>
              <w:top w:w="80" w:type="dxa"/>
              <w:start w:w="120" w:type="dxa"/>
              <w:bottom w:w="80" w:type="dxa"/>
              <w:end w:w="120" w:type="dxa"/>
            </w:tcMar>
            <w:vAlign w:val="center"/>
          </w:tcPr>
          <w:p>
            <w:pPr>
              <w:spacing w:before="0" w:after="0" w:line="252" w:lineRule="auto"/>
            </w:pPr>
            <w:r>
              <w:rPr>
                <w:rFonts w:ascii="Calibri" w:hAnsi="Calibri"/>
                <w:color w:val="17324D"/>
                <w:sz w:val="16"/>
              </w:rPr>
              <w:t>Launch/operations owner; release checklist and rollback drill.</w:t>
            </w:r>
          </w:p>
        </w:tc>
      </w:tr>
    </w:tbl>
    <w:p>
      <w:pPr>
        <w:spacing w:after="40"/>
      </w:pPr>
    </w:p>
    <w:p>
      <w:pPr>
        <w:pStyle w:val="Heading2"/>
        <w:keepNext/>
      </w:pPr>
      <w:r>
        <w:rPr>
          <w:rFonts w:ascii="Calibri" w:hAnsi="Calibri"/>
          <w:b/>
          <w:color w:val="2E74B5"/>
          <w:sz w:val="26"/>
        </w:rPr>
        <w:t>12.2 Release-blocking defects</w:t>
      </w:r>
    </w:p>
    <w:p>
      <w:pPr>
        <w:spacing w:before="0" w:after="120" w:line="264" w:lineRule="auto"/>
      </w:pPr>
      <w:r>
        <w:rPr>
          <w:rFonts w:ascii="Calibri" w:hAnsi="Calibri"/>
          <w:i w:val="0"/>
          <w:color w:val="17324D"/>
          <w:sz w:val="22"/>
        </w:rPr>
        <w:t>Do not release if any private free text can be uploaded, logged, indexed, sent to an LLM, used for recommendation, or included in analytics by default; if a user cannot find or complete deletion/export; if a route explanation cannot name its permitted evidence; if an account is required for core review; if a screen suggests a diagnosis or personal conclusion; if reduced use is framed as churn; if a cue can be saved or used without user action; or if any observatory screen fails accessibility or offline/local-first requirements.</w:t>
      </w:r>
    </w:p>
    <w:p>
      <w:pPr>
        <w:pStyle w:val="Heading2"/>
        <w:keepNext/>
      </w:pPr>
      <w:r>
        <w:rPr>
          <w:rFonts w:ascii="Calibri" w:hAnsi="Calibri"/>
          <w:b/>
          <w:color w:val="2E74B5"/>
          <w:sz w:val="26"/>
        </w:rPr>
        <w:t>12.3 Acceptance criteria</w:t>
      </w:r>
    </w:p>
    <w:p>
      <w:pPr>
        <w:spacing w:before="0" w:after="80" w:line="264" w:lineRule="auto"/>
      </w:pPr>
      <w:r>
        <w:rPr>
          <w:rFonts w:ascii="Calibri" w:hAnsi="Calibri"/>
          <w:b/>
          <w:color w:val="17324D"/>
          <w:sz w:val="22"/>
        </w:rPr>
        <w:t xml:space="preserve">1. </w:t>
      </w:r>
      <w:r>
        <w:rPr>
          <w:rFonts w:ascii="Calibri" w:hAnsi="Calibri"/>
          <w:color w:val="17324D"/>
          <w:sz w:val="22"/>
        </w:rPr>
        <w:t>A person can open My record, inspect a source moment, create or decline a private note, save/edit/remove a cue, build/use/remove a route, export their visible record, and delete individual/transition/all local data without an account or network connection.</w:t>
      </w:r>
    </w:p>
    <w:p>
      <w:pPr>
        <w:spacing w:before="0" w:after="80" w:line="264" w:lineRule="auto"/>
      </w:pPr>
      <w:r>
        <w:rPr>
          <w:rFonts w:ascii="Calibri" w:hAnsi="Calibri"/>
          <w:b/>
          <w:color w:val="17324D"/>
          <w:sz w:val="22"/>
        </w:rPr>
        <w:t xml:space="preserve">2. </w:t>
      </w:r>
      <w:r>
        <w:rPr>
          <w:rFonts w:ascii="Calibri" w:hAnsi="Calibri"/>
          <w:color w:val="17324D"/>
          <w:sz w:val="22"/>
        </w:rPr>
        <w:t>Every record displays its source experience, local date, explicit response where present, policy/curriculum version, and available edit/delete controls. No record displays a score, inferred trait, outcome, health status, or engagement label.</w:t>
      </w:r>
    </w:p>
    <w:p>
      <w:pPr>
        <w:spacing w:before="0" w:after="80" w:line="264" w:lineRule="auto"/>
      </w:pPr>
      <w:r>
        <w:rPr>
          <w:rFonts w:ascii="Calibri" w:hAnsi="Calibri"/>
          <w:b/>
          <w:color w:val="17324D"/>
          <w:sz w:val="22"/>
        </w:rPr>
        <w:t xml:space="preserve">3. </w:t>
      </w:r>
      <w:r>
        <w:rPr>
          <w:rFonts w:ascii="Calibri" w:hAnsi="Calibri"/>
          <w:color w:val="17324D"/>
          <w:sz w:val="22"/>
        </w:rPr>
        <w:t>Private reflection and review text are local-only by default and are structurally excluded from routing, personalisation, analytics, research, search indexing, telemetry, cloud backup, AI prompts, and model training.</w:t>
      </w:r>
    </w:p>
    <w:p>
      <w:pPr>
        <w:spacing w:before="0" w:after="80" w:line="264" w:lineRule="auto"/>
      </w:pPr>
      <w:r>
        <w:rPr>
          <w:rFonts w:ascii="Calibri" w:hAnsi="Calibri"/>
          <w:b/>
          <w:color w:val="17324D"/>
          <w:sz w:val="22"/>
        </w:rPr>
        <w:t xml:space="preserve">4. </w:t>
      </w:r>
      <w:r>
        <w:rPr>
          <w:rFonts w:ascii="Calibri" w:hAnsi="Calibri"/>
          <w:color w:val="17324D"/>
          <w:sz w:val="22"/>
        </w:rPr>
        <w:t>Every V2 suggestion that uses a saved cue or explicit response exposes Why this? with its exact visible evidence, expiry where applicable, and controls to remove/restore it.</w:t>
      </w:r>
    </w:p>
    <w:p>
      <w:pPr>
        <w:spacing w:before="0" w:after="80" w:line="264" w:lineRule="auto"/>
      </w:pPr>
      <w:r>
        <w:rPr>
          <w:rFonts w:ascii="Calibri" w:hAnsi="Calibri"/>
          <w:b/>
          <w:color w:val="17324D"/>
          <w:sz w:val="22"/>
        </w:rPr>
        <w:t xml:space="preserve">5. </w:t>
      </w:r>
      <w:r>
        <w:rPr>
          <w:rFonts w:ascii="Calibri" w:hAnsi="Calibri"/>
          <w:color w:val="17324D"/>
          <w:sz w:val="22"/>
        </w:rPr>
        <w:t>The product always exposes user choice: Choose another route, Use without Mirellis, Leave for today, edit/remove cue, and deletion controls cannot be suppressed by ranking or content state.</w:t>
      </w:r>
    </w:p>
    <w:p>
      <w:pPr>
        <w:spacing w:before="0" w:after="80" w:line="264" w:lineRule="auto"/>
      </w:pPr>
      <w:r>
        <w:rPr>
          <w:rFonts w:ascii="Calibri" w:hAnsi="Calibri"/>
          <w:b/>
          <w:color w:val="17324D"/>
          <w:sz w:val="22"/>
        </w:rPr>
        <w:t xml:space="preserve">6. </w:t>
      </w:r>
      <w:r>
        <w:rPr>
          <w:rFonts w:ascii="Calibri" w:hAnsi="Calibri"/>
          <w:color w:val="17324D"/>
          <w:sz w:val="22"/>
        </w:rPr>
        <w:t>The user may review records without being shown an automatic pattern, trend, summary, insight, mood label, productivity claim, or recommendation based on private text.</w:t>
      </w:r>
    </w:p>
    <w:p>
      <w:pPr>
        <w:spacing w:before="0" w:after="80" w:line="264" w:lineRule="auto"/>
      </w:pPr>
      <w:r>
        <w:rPr>
          <w:rFonts w:ascii="Calibri" w:hAnsi="Calibri"/>
          <w:b/>
          <w:color w:val="17324D"/>
          <w:sz w:val="22"/>
        </w:rPr>
        <w:t xml:space="preserve">7. </w:t>
      </w:r>
      <w:r>
        <w:rPr>
          <w:rFonts w:ascii="Calibri" w:hAnsi="Calibri"/>
          <w:color w:val="17324D"/>
          <w:sz w:val="22"/>
        </w:rPr>
        <w:t>All V4 surfaces work locally offline, respect dynamic type/reduced motion, and pass keyboard/switch, screen-reader, contrast, touch-target, focus, and plain-language tests.</w:t>
      </w:r>
    </w:p>
    <w:p>
      <w:pPr>
        <w:spacing w:before="0" w:after="80" w:line="264" w:lineRule="auto"/>
      </w:pPr>
      <w:r>
        <w:rPr>
          <w:rFonts w:ascii="Calibri" w:hAnsi="Calibri"/>
          <w:b/>
          <w:color w:val="17324D"/>
          <w:sz w:val="22"/>
        </w:rPr>
        <w:t xml:space="preserve">8. </w:t>
      </w:r>
      <w:r>
        <w:rPr>
          <w:rFonts w:ascii="Calibri" w:hAnsi="Calibri"/>
          <w:color w:val="17324D"/>
          <w:sz w:val="22"/>
        </w:rPr>
        <w:t>Analytics, research contribution, backup, and any future account-linked service remain distinct, default-off permissions with clear purpose, field, retention, withdrawal, and deletion explanations.</w:t>
      </w:r>
    </w:p>
    <w:p>
      <w:pPr>
        <w:spacing w:before="0" w:after="80" w:line="264" w:lineRule="auto"/>
      </w:pPr>
      <w:r>
        <w:rPr>
          <w:rFonts w:ascii="Calibri" w:hAnsi="Calibri"/>
          <w:b/>
          <w:color w:val="17324D"/>
          <w:sz w:val="22"/>
        </w:rPr>
        <w:t xml:space="preserve">9. </w:t>
      </w:r>
      <w:r>
        <w:rPr>
          <w:rFonts w:ascii="Calibri" w:hAnsi="Calibri"/>
          <w:color w:val="17324D"/>
          <w:sz w:val="22"/>
        </w:rPr>
        <w:t>No new notification loop, engagement metric, social feature, generic AI companion, clinical claim, device sensor, calendar/location integration, or behavioral profiling is added in V4.</w:t>
      </w:r>
    </w:p>
    <w:p>
      <w:pPr>
        <w:spacing w:before="0" w:after="80" w:line="264" w:lineRule="auto"/>
      </w:pPr>
      <w:r>
        <w:rPr>
          <w:rFonts w:ascii="Calibri" w:hAnsi="Calibri"/>
          <w:b/>
          <w:color w:val="17324D"/>
          <w:sz w:val="22"/>
        </w:rPr>
        <w:t xml:space="preserve">10. </w:t>
      </w:r>
      <w:r>
        <w:rPr>
          <w:rFonts w:ascii="Calibri" w:hAnsi="Calibri"/>
          <w:color w:val="17324D"/>
          <w:sz w:val="22"/>
        </w:rPr>
        <w:t>Every data/copy/policy change has a V3 change request, named owner, review record, acceptance tests, release note, and rollback or reconsideration condition.</w:t>
      </w:r>
    </w:p>
    <w:p>
      <w:pPr>
        <w:pStyle w:val="Heading2"/>
        <w:keepNext/>
      </w:pPr>
      <w:r>
        <w:rPr>
          <w:rFonts w:ascii="Calibri" w:hAnsi="Calibri"/>
          <w:b/>
          <w:color w:val="2E74B5"/>
          <w:sz w:val="26"/>
        </w:rPr>
        <w:t>12.4 Definition of done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before="40" w:after="60" w:line="264" w:lineRule="auto"/>
            </w:pPr>
            <w:r>
              <w:rPr>
                <w:rFonts w:ascii="Calibri" w:hAnsi="Calibri"/>
                <w:b/>
                <w:color w:val="2E74B5"/>
                <w:sz w:val="18"/>
              </w:rPr>
              <w:t xml:space="preserve">DONE MEANS COMPLETE WITHIN BOUNDARY  </w:t>
            </w:r>
            <w:r>
              <w:rPr>
                <w:rFonts w:ascii="Calibri" w:hAnsi="Calibri"/>
                <w:color w:val="17324D"/>
                <w:sz w:val="21"/>
              </w:rPr>
              <w:t>V4 is done when the user-owned personal record, cue/route control, local review, consent and deletion controls, policy explanations, offline behavior, accessibility, automated boundary tests, support/rollback operations, and versioned governance artifacts are all implemented and approved. A narrow V4 is acceptable. A half-built private record is not.</w:t>
            </w:r>
          </w:p>
        </w:tc>
      </w:tr>
    </w:tbl>
    <w:p>
      <w:pPr>
        <w:spacing w:after="40"/>
      </w:pPr>
    </w:p>
    <w:p>
      <w:pPr>
        <w:pStyle w:val="Heading2"/>
        <w:keepNext/>
      </w:pPr>
      <w:r>
        <w:rPr>
          <w:rFonts w:ascii="Calibri" w:hAnsi="Calibri"/>
          <w:b/>
          <w:color w:val="2E74B5"/>
          <w:sz w:val="26"/>
        </w:rPr>
        <w:t>12.5 Version 4 freeze</w:t>
      </w:r>
    </w:p>
    <w:p>
      <w:pPr>
        <w:spacing w:before="0" w:after="120" w:line="264" w:lineRule="auto"/>
      </w:pPr>
      <w:r>
        <w:rPr>
          <w:rFonts w:ascii="Calibri" w:hAnsi="Calibri"/>
          <w:i w:val="0"/>
          <w:color w:val="17324D"/>
          <w:sz w:val="22"/>
        </w:rPr>
        <w:t>Frozen V4 decisions: Personal Observatory is local-first, account-free for core use, private by default, and built from visible explicit records only. It supports optional reflection, user-owned cues and routes, neutral user-directed review, transparent V2 explanation, export, edit, reset, and deletion. Free text is not AI input, route evidence, analytics, research data, or training data by default. V4 adds no score, streak, dashboard metric, notification, social layer, diagnosis, therapeutic claim, hidden pattern detection, personal AI, sensor input, calendar/location access, or engagement optimisation. Any exception requires a new constitutional/product/privacy proposal and cross-functional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Mirellis • Personal Observatory v4 • </w:t>
    </w:r>
    <w:r>
      <w:rPr>
        <w:rFonts w:ascii="Calibri" w:hAnsi="Calibri"/>
        <w:color w:val="64748B"/>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color w:val="64748B"/>
        <w:sz w:val="17"/>
      </w:rPr>
      <w:t>MIRELLIS  /  PERSONAL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Mirellis Personal Observatory v4 — Private Reflection, Learning Record &amp; Self-Understanding Specification</dc:title>
  <dc:subject>Detailed product, privacy, and implementation specification</dc:subject>
  <dc:creator>Mirellis Product Lab</dc:creator>
  <cp:keywords/>
  <dc:description>Editable Version 4 specification. Personal Observatory is private by default and must not be used for hidden profiling.</dc:description>
  <cp:lastModifiedBy/>
  <cp:revision>1</cp:revision>
  <dcterms:created xsi:type="dcterms:W3CDTF">2013-12-23T23:15:00Z</dcterms:created>
  <dcterms:modified xsi:type="dcterms:W3CDTF">2013-12-23T23:15:00Z</dcterms:modified>
  <cp:category/>
</cp:coreProperties>
</file>