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pPr>
      <w:r>
        <w:rPr>
          <w:b/>
          <w:bCs/>
          <w:color w:val="9B1C3C"/>
          <w:sz w:val="24"/>
          <w:szCs w:val="24"/>
        </w:rPr>
        <w:t xml:space="preserve">AKTCL · Aron field-sales platform</w:t>
      </w:r>
    </w:p>
    <w:p>
      <w:pPr>
        <w:spacing w:after="200"/>
      </w:pPr>
      <w:r>
        <w:rPr>
          <w:b/>
          <w:bCs/>
          <w:sz w:val="56"/>
          <w:szCs w:val="56"/>
        </w:rPr>
        <w:t xml:space="preserve">Aron on Azure — final account, precise version</w:t>
      </w:r>
    </w:p>
    <w:p>
      <w:pPr>
        <w:spacing w:after="400"/>
      </w:pPr>
      <w:r>
        <w:rPr>
          <w:color w:val="555555"/>
          <w:sz w:val="28"/>
          <w:szCs w:val="28"/>
        </w:rPr>
        <w:t xml:space="preserve">Version 2 (precise): HLD and LLD diagrams, resource table with specification, quantity, justification and monthly cost, Spec+ for the existing sites</w:t>
      </w:r>
    </w:p>
    <w:p>
      <w:pPr>
        <w:spacing w:after="80"/>
      </w:pPr>
      <w:r>
        <w:rPr>
          <w:sz w:val="22"/>
          <w:szCs w:val="22"/>
        </w:rPr>
        <w:t xml:space="preserve">Prepared by the Aron lead for the owner · 2026-10-29</w:t>
      </w:r>
    </w:p>
    <w:p>
      <w:pPr>
        <w:spacing w:after="80"/>
      </w:pPr>
      <w:r>
        <w:rPr>
          <w:sz w:val="22"/>
          <w:szCs w:val="22"/>
        </w:rPr>
        <w:t xml:space="preserve">Prices: Azure Retail Prices API, 2026-10-29, Southeast Asia · list prices, pay-as-you-go</w:t>
      </w:r>
    </w:p>
    <w:p>
      <w:pPr>
        <w:spacing w:after="80"/>
      </w:pPr>
      <w:r>
        <w:rPr>
          <w:sz w:val="22"/>
          <w:szCs w:val="22"/>
        </w:rPr>
        <w:t xml:space="preserve">Buffer: USD 2,000 a month on Aron, USD 500 on the existing sites (owner band 1,000 to 3,000)</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04 — Precise version: diagrams, resources with quantity and justification, monthly cost</w:t>
      </w:r>
    </w:p>
    <w:p>
      <w:pPr>
        <w:spacing w:after="120"/>
      </w:pPr>
      <w:r>
        <w:t xml:space="preserve">Part of the owner pack </w:t>
      </w:r>
      <w:r>
        <w:rPr>
          <w:rFonts w:ascii="Consolas" w:cs="Consolas" w:eastAsia="Consolas" w:hAnsi="Consolas"/>
          <w:sz w:val="19"/>
          <w:szCs w:val="19"/>
        </w:rPr>
        <w:t xml:space="preserve">docs/35-final-azure-design-pack/</w:t>
      </w:r>
      <w:r>
        <w:t xml:space="preserve">. This is the short, exact version: the high-level and low-level diagrams drawn with Microsoft's Azure architecture icons, one resource table with the specification, the quantity, why that specification, why that quantity and the monthly cost, the disaster-recovery tier, the contingency buffer, and a separate table for the existing web properties that move into the same account (Spec+). Every figure comes from </w:t>
      </w:r>
      <w:r>
        <w:rPr>
          <w:rFonts w:ascii="Consolas" w:cs="Consolas" w:eastAsia="Consolas" w:hAnsi="Consolas"/>
          <w:sz w:val="19"/>
          <w:szCs w:val="19"/>
        </w:rPr>
        <w:t xml:space="preserve">cost-model.py</w:t>
      </w:r>
      <w:r>
        <w:t xml:space="preserve"> (Azure Retail Prices API, 2026-10-29, Southeast Asia). The long explanations are in documents 01 to 03.</w:t>
      </w:r>
    </w:p>
    <w:p>
      <w:pPr>
        <w:pStyle w:val="Heading2"/>
        <w:spacing w:after="120" w:before="200"/>
      </w:pPr>
      <w:r>
        <w:t xml:space="preserve">1. High-level design diagrams</w:t>
      </w:r>
    </w:p>
    <w:p>
      <w:pPr>
        <w:spacing w:after="60" w:before="120"/>
        <w:jc w:val="center"/>
      </w:pPr>
      <w:r>
        <w:drawing>
          <wp:inline distT="0" distB="0" distL="0" distR="0">
            <wp:extent cx="9391650" cy="4476750"/>
            <wp:effectExtent t="0" r="0" b="0" l="0"/>
            <wp:docPr id="1" name="HLD 1 — system context" descr="HLD 1 — system context" title="HLD 1 —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391650" cy="4476750"/>
                    </a:xfrm>
                    <a:prstGeom prst="rect">
                      <a:avLst/>
                    </a:prstGeom>
                  </pic:spPr>
                </pic:pic>
              </a:graphicData>
            </a:graphic>
          </wp:inline>
        </w:drawing>
      </w:r>
    </w:p>
    <w:p>
      <w:pPr>
        <w:spacing w:after="200"/>
        <w:jc w:val="center"/>
      </w:pPr>
      <w:r>
        <w:rPr>
          <w:i/>
          <w:iCs/>
          <w:color w:val="555555"/>
          <w:sz w:val="19"/>
          <w:szCs w:val="19"/>
        </w:rPr>
        <w:t xml:space="preserve">HLD 1 — System context. 9,842 field users on Android phones and about 150 portal users reach one platform through Front Door; photos go straight to Blob; Google Maps, Firebase and GitHub are outside Azure.</w:t>
      </w:r>
    </w:p>
    <w:p>
      <w:pPr>
        <w:spacing w:after="60" w:before="120"/>
        <w:jc w:val="center"/>
      </w:pPr>
      <w:r>
        <w:drawing>
          <wp:inline distT="0" distB="0" distL="0" distR="0">
            <wp:extent cx="9391650" cy="5095875"/>
            <wp:effectExtent t="0" r="0" b="0" l="0"/>
            <wp:docPr id="1" name="HLD 2 — logical architecture" descr="HLD 2 — logical architecture" title="HLD 2 —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391650" cy="5095875"/>
                    </a:xfrm>
                    <a:prstGeom prst="rect">
                      <a:avLst/>
                    </a:prstGeom>
                  </pic:spPr>
                </pic:pic>
              </a:graphicData>
            </a:graphic>
          </wp:inline>
        </w:drawing>
      </w:r>
    </w:p>
    <w:p>
      <w:pPr>
        <w:spacing w:after="200"/>
        <w:jc w:val="center"/>
      </w:pPr>
      <w:r>
        <w:rPr>
          <w:i/>
          <w:iCs/>
          <w:color w:val="555555"/>
          <w:sz w:val="19"/>
          <w:szCs w:val="19"/>
        </w:rPr>
        <w:t xml:space="preserve">HLD 2 — Logical architecture. Edge, application tier (api, worker, web, jobs), data tier (PostgreSQL with a read replica, Blob and queue, Key Vault) and operations.</w:t>
      </w:r>
    </w:p>
    <w:p>
      <w:pPr>
        <w:spacing w:after="60" w:before="120"/>
        <w:jc w:val="center"/>
      </w:pPr>
      <w:r>
        <w:drawing>
          <wp:inline distT="0" distB="0" distL="0" distR="0">
            <wp:extent cx="9391650" cy="5638800"/>
            <wp:effectExtent t="0" r="0" b="0" l="0"/>
            <wp:docPr id="1" name="HLD 3 — Azure deployment" descr="HLD 3 — Azure deployment" title="HLD 3 — Azure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391650" cy="5638800"/>
                    </a:xfrm>
                    <a:prstGeom prst="rect">
                      <a:avLst/>
                    </a:prstGeom>
                  </pic:spPr>
                </pic:pic>
              </a:graphicData>
            </a:graphic>
          </wp:inline>
        </w:drawing>
      </w:r>
    </w:p>
    <w:p>
      <w:pPr>
        <w:spacing w:after="200"/>
        <w:jc w:val="center"/>
      </w:pPr>
      <w:r>
        <w:rPr>
          <w:i/>
          <w:iCs/>
          <w:color w:val="555555"/>
          <w:sz w:val="19"/>
          <w:szCs w:val="19"/>
        </w:rPr>
        <w:t xml:space="preserve">HLD 3 — Azure deployment in the final account: one resource group in Southeast Asia with a private application network, and the East Asia DR tier (designed).</w:t>
      </w:r>
    </w:p>
    <w:p>
      <w:pPr>
        <w:spacing w:after="60" w:before="120"/>
        <w:jc w:val="center"/>
      </w:pPr>
      <w:r>
        <w:drawing>
          <wp:inline distT="0" distB="0" distL="0" distR="0">
            <wp:extent cx="9391650" cy="4048125"/>
            <wp:effectExtent t="0" r="0" b="0" l="0"/>
            <wp:docPr id="1" name="HLD 4 — availability and DR" descr="HLD 4 — availability and DR" title="HLD 4 — availability and 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391650" cy="4048125"/>
                    </a:xfrm>
                    <a:prstGeom prst="rect">
                      <a:avLst/>
                    </a:prstGeom>
                  </pic:spPr>
                </pic:pic>
              </a:graphicData>
            </a:graphic>
          </wp:inline>
        </w:drawing>
      </w:r>
    </w:p>
    <w:p>
      <w:pPr>
        <w:spacing w:after="200"/>
        <w:jc w:val="center"/>
      </w:pPr>
      <w:r>
        <w:rPr>
          <w:i/>
          <w:iCs/>
          <w:color w:val="555555"/>
          <w:sz w:val="19"/>
          <w:szCs w:val="19"/>
        </w:rPr>
        <w:t xml:space="preserve">HLD 4 — Availability and disaster recovery: zone loss is automatic (RPO 0), data loss is a 35-day point-in-time restore, region loss is a DR promotion (RPO 15 min, RTO 4 h) once the East Asia tier exists.</w:t>
      </w:r>
    </w:p>
    <w:p>
      <w:pPr>
        <w:pStyle w:val="Heading2"/>
        <w:spacing w:after="120" w:before="200"/>
      </w:pPr>
      <w:r>
        <w:t xml:space="preserve">2. Low-level design diagrams</w:t>
      </w:r>
    </w:p>
    <w:p>
      <w:pPr>
        <w:spacing w:after="60" w:before="120"/>
        <w:jc w:val="center"/>
      </w:pPr>
      <w:r>
        <w:drawing>
          <wp:inline distT="0" distB="0" distL="0" distR="0">
            <wp:extent cx="9391650" cy="4829175"/>
            <wp:effectExtent t="0" r="0" b="0" l="0"/>
            <wp:docPr id="1" name="LLD 1 — network" descr="LLD 1 — network" title="LLD 1 —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391650" cy="4829175"/>
                    </a:xfrm>
                    <a:prstGeom prst="rect">
                      <a:avLst/>
                    </a:prstGeom>
                  </pic:spPr>
                </pic:pic>
              </a:graphicData>
            </a:graphic>
          </wp:inline>
        </w:drawing>
      </w:r>
    </w:p>
    <w:p>
      <w:pPr>
        <w:spacing w:after="200"/>
        <w:jc w:val="center"/>
      </w:pPr>
      <w:r>
        <w:rPr>
          <w:i/>
          <w:iCs/>
          <w:color w:val="555555"/>
          <w:sz w:val="19"/>
          <w:szCs w:val="19"/>
        </w:rPr>
        <w:t xml:space="preserve">LLD 1 — Network: Front Door's Private Link is the only entrance; the database subnet accepts only the app subnet on 5432/6432; the private endpoints for Key Vault, registry and Blob are planned.</w:t>
      </w:r>
    </w:p>
    <w:p>
      <w:pPr>
        <w:spacing w:after="60" w:before="120"/>
        <w:jc w:val="center"/>
      </w:pPr>
      <w:r>
        <w:drawing>
          <wp:inline distT="0" distB="0" distL="0" distR="0">
            <wp:extent cx="9391650" cy="3486150"/>
            <wp:effectExtent t="0" r="0" b="0" l="0"/>
            <wp:docPr id="1" name="LLD 2 — sync flow" descr="LLD 2 — sync flow" title="LLD 2 — syn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391650" cy="3486150"/>
                    </a:xfrm>
                    <a:prstGeom prst="rect">
                      <a:avLst/>
                    </a:prstGeom>
                  </pic:spPr>
                </pic:pic>
              </a:graphicData>
            </a:graphic>
          </wp:inline>
        </w:drawing>
      </w:r>
    </w:p>
    <w:p>
      <w:pPr>
        <w:spacing w:after="200"/>
        <w:jc w:val="center"/>
      </w:pPr>
      <w:r>
        <w:rPr>
          <w:i/>
          <w:iCs/>
          <w:color w:val="555555"/>
          <w:sz w:val="19"/>
          <w:szCs w:val="19"/>
        </w:rPr>
        <w:t xml:space="preserve">LLD 2 — The critical path: a sale captured offline, one gzip batch, one short transaction idempotent by client UUID, asynchronous aggregation, the dashboard.</w:t>
      </w:r>
    </w:p>
    <w:p>
      <w:pPr>
        <w:spacing w:after="60" w:before="120"/>
        <w:jc w:val="center"/>
      </w:pPr>
      <w:r>
        <w:drawing>
          <wp:inline distT="0" distB="0" distL="0" distR="0">
            <wp:extent cx="9391650" cy="3181350"/>
            <wp:effectExtent t="0" r="0" b="0" l="0"/>
            <wp:docPr id="1" name="LLD 3 — photo pipeline" descr="LLD 3 — photo pipeline" title="LLD 3 — photo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391650" cy="3181350"/>
                    </a:xfrm>
                    <a:prstGeom prst="rect">
                      <a:avLst/>
                    </a:prstGeom>
                  </pic:spPr>
                </pic:pic>
              </a:graphicData>
            </a:graphic>
          </wp:inline>
        </w:drawing>
      </w:r>
    </w:p>
    <w:p>
      <w:pPr>
        <w:spacing w:after="200"/>
        <w:jc w:val="center"/>
      </w:pPr>
      <w:r>
        <w:rPr>
          <w:i/>
          <w:iCs/>
          <w:color w:val="555555"/>
          <w:sz w:val="19"/>
          <w:szCs w:val="19"/>
        </w:rPr>
        <w:t xml:space="preserve">LLD 3 — Photo pipeline: SAS upload straight to Blob, Event Grid to a queue; the worker consumer is planned.</w:t>
      </w:r>
    </w:p>
    <w:p>
      <w:pPr>
        <w:spacing w:after="60" w:before="120"/>
        <w:jc w:val="center"/>
      </w:pPr>
      <w:r>
        <w:drawing>
          <wp:inline distT="0" distB="0" distL="0" distR="0">
            <wp:extent cx="9391650" cy="4048125"/>
            <wp:effectExtent t="0" r="0" b="0" l="0"/>
            <wp:docPr id="1" name="LLD 4 — identity and secrets" descr="LLD 4 — identity and secrets" title="LLD 4 — identity and secr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391650" cy="4048125"/>
                    </a:xfrm>
                    <a:prstGeom prst="rect">
                      <a:avLst/>
                    </a:prstGeom>
                  </pic:spPr>
                </pic:pic>
              </a:graphicData>
            </a:graphic>
          </wp:inline>
        </w:drawing>
      </w:r>
    </w:p>
    <w:p>
      <w:pPr>
        <w:spacing w:after="200"/>
        <w:jc w:val="center"/>
      </w:pPr>
      <w:r>
        <w:rPr>
          <w:i/>
          <w:iCs/>
          <w:color w:val="555555"/>
          <w:sz w:val="19"/>
          <w:szCs w:val="19"/>
        </w:rPr>
        <w:t xml:space="preserve">LLD 4 — Identity and secrets: GitHub OIDC for deploys, one managed identity per process, Key Vault references.</w:t>
      </w:r>
    </w:p>
    <w:p>
      <w:pPr>
        <w:spacing w:after="60" w:before="120"/>
        <w:jc w:val="center"/>
      </w:pPr>
      <w:r>
        <w:drawing>
          <wp:inline distT="0" distB="0" distL="0" distR="0">
            <wp:extent cx="9391650" cy="3752850"/>
            <wp:effectExtent t="0" r="0" b="0" l="0"/>
            <wp:docPr id="1" name="LLD 5 — observability" descr="LLD 5 — observability" title="LLD 5 — observ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391650" cy="3752850"/>
                    </a:xfrm>
                    <a:prstGeom prst="rect">
                      <a:avLst/>
                    </a:prstGeom>
                  </pic:spPr>
                </pic:pic>
              </a:graphicData>
            </a:graphic>
          </wp:inline>
        </w:drawing>
      </w:r>
    </w:p>
    <w:p>
      <w:pPr>
        <w:spacing w:after="200"/>
        <w:jc w:val="center"/>
      </w:pPr>
      <w:r>
        <w:rPr>
          <w:i/>
          <w:iCs/>
          <w:color w:val="555555"/>
          <w:sz w:val="19"/>
          <w:szCs w:val="19"/>
        </w:rPr>
        <w:t xml:space="preserve">LLD 5 — Observability: every service reports to one Log Analytics workspace; alerts map to runbooks.</w:t>
      </w:r>
    </w:p>
    <w:p>
      <w:pPr>
        <w:spacing w:after="60" w:before="120"/>
        <w:jc w:val="center"/>
      </w:pPr>
      <w:r>
        <w:drawing>
          <wp:inline distT="0" distB="0" distL="0" distR="0">
            <wp:extent cx="9391650" cy="2819400"/>
            <wp:effectExtent t="0" r="0" b="0" l="0"/>
            <wp:docPr id="1" name="LLD 6 — delivery pipeline" descr="LLD 6 — delivery pipeline" title="LLD 6 — deliver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391650" cy="2819400"/>
                    </a:xfrm>
                    <a:prstGeom prst="rect">
                      <a:avLst/>
                    </a:prstGeom>
                  </pic:spPr>
                </pic:pic>
              </a:graphicData>
            </a:graphic>
          </wp:inline>
        </w:drawing>
      </w:r>
    </w:p>
    <w:p>
      <w:pPr>
        <w:spacing w:after="200"/>
        <w:jc w:val="center"/>
      </w:pPr>
      <w:r>
        <w:rPr>
          <w:i/>
          <w:iCs/>
          <w:color w:val="555555"/>
          <w:sz w:val="19"/>
          <w:szCs w:val="19"/>
        </w:rPr>
        <w:t xml:space="preserve">LLD 6 — Delivery: digest-pinned images, migrations first, a health gate before traffic moves.</w:t>
      </w:r>
    </w:p>
    <w:p>
      <w:pPr>
        <w:spacing w:after="60" w:before="120"/>
        <w:jc w:val="center"/>
      </w:pPr>
      <w:r>
        <w:drawing>
          <wp:inline distT="0" distB="0" distL="0" distR="0">
            <wp:extent cx="9391650" cy="2886075"/>
            <wp:effectExtent t="0" r="0" b="0" l="0"/>
            <wp:docPr id="1" name="LLD 7 — scaling" descr="LLD 7 — scaling" title="LLD 7 —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391650" cy="2886075"/>
                    </a:xfrm>
                    <a:prstGeom prst="rect">
                      <a:avLst/>
                    </a:prstGeom>
                  </pic:spPr>
                </pic:pic>
              </a:graphicData>
            </a:graphic>
          </wp:inline>
        </w:drawing>
      </w:r>
    </w:p>
    <w:p>
      <w:pPr>
        <w:spacing w:after="200"/>
        <w:jc w:val="center"/>
      </w:pPr>
      <w:r>
        <w:rPr>
          <w:i/>
          <w:iCs/>
          <w:color w:val="555555"/>
          <w:sz w:val="19"/>
          <w:szCs w:val="19"/>
        </w:rPr>
        <w:t xml:space="preserve">LLD 7 — Scaling rules over the field day (Dhaka time).</w:t>
      </w:r>
    </w:p>
    <w:p>
      <w:pPr>
        <w:pStyle w:val="Heading2"/>
        <w:spacing w:after="120" w:before="200"/>
      </w:pPr>
      <w:r>
        <w:t xml:space="preserve">3. Resource table: specification, quantity, why, monthly cost</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196"/>
        <w:gridCol w:w="2933"/>
        <w:gridCol w:w="2933"/>
        <w:gridCol w:w="2509"/>
        <w:gridCol w:w="2933"/>
        <w:gridCol w:w="2933"/>
        <w:gridCol w:w="359"/>
      </w:tblGrid>
      <w:tr>
        <w:trPr>
          <w:tblHeader/>
        </w:trPr>
        <w:tc>
          <w:tcPr>
            <w:tcW w:type="dxa" w:w="196"/>
            <w:shd w:fill="E8EEF7" w:color="auto" w:val="clear"/>
            <w:tcMar>
              <w:top w:type="dxa" w:w="60"/>
              <w:left w:type="dxa" w:w="80"/>
              <w:bottom w:type="dxa" w:w="60"/>
              <w:right w:type="dxa" w:w="80"/>
            </w:tcMar>
          </w:tcPr>
          <w:p>
            <w:pPr>
              <w:jc w:val="left"/>
            </w:pPr>
            <w:r>
              <w:rPr>
                <w:b/>
                <w:bCs/>
                <w:sz w:val="16"/>
                <w:szCs w:val="16"/>
              </w:rPr>
              <w:t xml:space="preserve">#</w:t>
            </w:r>
          </w:p>
        </w:tc>
        <w:tc>
          <w:tcPr>
            <w:tcW w:type="dxa" w:w="2933"/>
            <w:shd w:fill="E8EEF7" w:color="auto" w:val="clear"/>
            <w:tcMar>
              <w:top w:type="dxa" w:w="60"/>
              <w:left w:type="dxa" w:w="80"/>
              <w:bottom w:type="dxa" w:w="60"/>
              <w:right w:type="dxa" w:w="80"/>
            </w:tcMar>
          </w:tcPr>
          <w:p>
            <w:pPr>
              <w:jc w:val="left"/>
            </w:pPr>
            <w:r>
              <w:rPr>
                <w:b/>
                <w:bCs/>
                <w:sz w:val="16"/>
                <w:szCs w:val="16"/>
              </w:rPr>
              <w:t xml:space="preserve">Resource</w:t>
            </w:r>
          </w:p>
        </w:tc>
        <w:tc>
          <w:tcPr>
            <w:tcW w:type="dxa" w:w="2933"/>
            <w:shd w:fill="E8EEF7" w:color="auto" w:val="clear"/>
            <w:tcMar>
              <w:top w:type="dxa" w:w="60"/>
              <w:left w:type="dxa" w:w="80"/>
              <w:bottom w:type="dxa" w:w="60"/>
              <w:right w:type="dxa" w:w="80"/>
            </w:tcMar>
          </w:tcPr>
          <w:p>
            <w:pPr>
              <w:jc w:val="left"/>
            </w:pPr>
            <w:r>
              <w:rPr>
                <w:b/>
                <w:bCs/>
                <w:sz w:val="16"/>
                <w:szCs w:val="16"/>
              </w:rPr>
              <w:t xml:space="preserve">Specification</w:t>
            </w:r>
          </w:p>
        </w:tc>
        <w:tc>
          <w:tcPr>
            <w:tcW w:type="dxa" w:w="2509"/>
            <w:shd w:fill="E8EEF7" w:color="auto" w:val="clear"/>
            <w:tcMar>
              <w:top w:type="dxa" w:w="60"/>
              <w:left w:type="dxa" w:w="80"/>
              <w:bottom w:type="dxa" w:w="60"/>
              <w:right w:type="dxa" w:w="80"/>
            </w:tcMar>
          </w:tcPr>
          <w:p>
            <w:pPr>
              <w:jc w:val="left"/>
            </w:pPr>
            <w:r>
              <w:rPr>
                <w:b/>
                <w:bCs/>
                <w:sz w:val="16"/>
                <w:szCs w:val="16"/>
              </w:rPr>
              <w:t xml:space="preserve">Quantity</w:t>
            </w:r>
          </w:p>
        </w:tc>
        <w:tc>
          <w:tcPr>
            <w:tcW w:type="dxa" w:w="2933"/>
            <w:shd w:fill="E8EEF7" w:color="auto" w:val="clear"/>
            <w:tcMar>
              <w:top w:type="dxa" w:w="60"/>
              <w:left w:type="dxa" w:w="80"/>
              <w:bottom w:type="dxa" w:w="60"/>
              <w:right w:type="dxa" w:w="80"/>
            </w:tcMar>
          </w:tcPr>
          <w:p>
            <w:pPr>
              <w:jc w:val="left"/>
            </w:pPr>
            <w:r>
              <w:rPr>
                <w:b/>
                <w:bCs/>
                <w:sz w:val="16"/>
                <w:szCs w:val="16"/>
              </w:rPr>
              <w:t xml:space="preserve">Why this specification</w:t>
            </w:r>
          </w:p>
        </w:tc>
        <w:tc>
          <w:tcPr>
            <w:tcW w:type="dxa" w:w="2933"/>
            <w:shd w:fill="E8EEF7" w:color="auto" w:val="clear"/>
            <w:tcMar>
              <w:top w:type="dxa" w:w="60"/>
              <w:left w:type="dxa" w:w="80"/>
              <w:bottom w:type="dxa" w:w="60"/>
              <w:right w:type="dxa" w:w="80"/>
            </w:tcMar>
          </w:tcPr>
          <w:p>
            <w:pPr>
              <w:jc w:val="left"/>
            </w:pPr>
            <w:r>
              <w:rPr>
                <w:b/>
                <w:bCs/>
                <w:sz w:val="16"/>
                <w:szCs w:val="16"/>
              </w:rPr>
              <w:t xml:space="preserve">Why this quantity</w:t>
            </w:r>
          </w:p>
        </w:tc>
        <w:tc>
          <w:tcPr>
            <w:tcW w:type="dxa" w:w="359"/>
            <w:shd w:fill="E8EEF7" w:color="auto" w:val="clear"/>
            <w:tcMar>
              <w:top w:type="dxa" w:w="60"/>
              <w:left w:type="dxa" w:w="80"/>
              <w:bottom w:type="dxa" w:w="60"/>
              <w:right w:type="dxa" w:w="80"/>
            </w:tcMar>
          </w:tcPr>
          <w:p>
            <w:pPr>
              <w:jc w:val="right"/>
            </w:pPr>
            <w:r>
              <w:rPr>
                <w:b/>
                <w:bCs/>
                <w:sz w:val="16"/>
                <w:szCs w:val="16"/>
              </w:rPr>
              <w:t xml:space="preserve">USD / month</w:t>
            </w:r>
          </w:p>
        </w:tc>
      </w:tr>
      <w:tr>
        <w:tc>
          <w:tcPr>
            <w:tcW w:type="dxa" w:w="196"/>
            <w:tcMar>
              <w:top w:type="dxa" w:w="60"/>
              <w:left w:type="dxa" w:w="80"/>
              <w:bottom w:type="dxa" w:w="60"/>
              <w:right w:type="dxa" w:w="80"/>
            </w:tcMar>
          </w:tcPr>
          <w:p>
            <w:pPr>
              <w:jc w:val="left"/>
            </w:pPr>
            <w:r>
              <w:rPr>
                <w:sz w:val="16"/>
                <w:szCs w:val="16"/>
              </w:rPr>
              <w:t xml:space="preserve">1</w:t>
            </w:r>
          </w:p>
        </w:tc>
        <w:tc>
          <w:tcPr>
            <w:tcW w:type="dxa" w:w="2933"/>
            <w:tcMar>
              <w:top w:type="dxa" w:w="60"/>
              <w:left w:type="dxa" w:w="80"/>
              <w:bottom w:type="dxa" w:w="60"/>
              <w:right w:type="dxa" w:w="80"/>
            </w:tcMar>
          </w:tcPr>
          <w:p>
            <w:pPr>
              <w:jc w:val="left"/>
            </w:pPr>
            <w:r>
              <w:rPr>
                <w:sz w:val="16"/>
                <w:szCs w:val="16"/>
              </w:rPr>
              <w:t xml:space="preserve">PostgreSQL Flexible Server primary `psql-aron-prod`</w:t>
            </w:r>
          </w:p>
        </w:tc>
        <w:tc>
          <w:tcPr>
            <w:tcW w:type="dxa" w:w="2933"/>
            <w:tcMar>
              <w:top w:type="dxa" w:w="60"/>
              <w:left w:type="dxa" w:w="80"/>
              <w:bottom w:type="dxa" w:w="60"/>
              <w:right w:type="dxa" w:w="80"/>
            </w:tcMar>
          </w:tcPr>
          <w:p>
            <w:pPr>
              <w:jc w:val="left"/>
            </w:pPr>
            <w:r>
              <w:rPr>
                <w:sz w:val="16"/>
                <w:szCs w:val="16"/>
              </w:rPr>
              <w:t xml:space="preserve">General Purpose D8ds_v5 (8 vCore, 32 GiB), PostgreSQL 16, zone-redundant HA, Premium SSD v2 1,024 GiB at 12,000 IOPS / 300 MB/s (included with the disk size), PITR 35 days, geo-redundant backup, built-in PgBouncer</w:t>
            </w:r>
          </w:p>
        </w:tc>
        <w:tc>
          <w:tcPr>
            <w:tcW w:type="dxa" w:w="2509"/>
            <w:tcMar>
              <w:top w:type="dxa" w:w="60"/>
              <w:left w:type="dxa" w:w="80"/>
              <w:bottom w:type="dxa" w:w="60"/>
              <w:right w:type="dxa" w:w="80"/>
            </w:tcMar>
          </w:tcPr>
          <w:p>
            <w:pPr>
              <w:jc w:val="left"/>
            </w:pPr>
            <w:r>
              <w:rPr>
                <w:sz w:val="16"/>
                <w:szCs w:val="16"/>
              </w:rPr>
              <w:t xml:space="preserve">1 server = 2 nodes (primary zone 1 + synchronous standby zone 2)</w:t>
            </w:r>
          </w:p>
        </w:tc>
        <w:tc>
          <w:tcPr>
            <w:tcW w:type="dxa" w:w="2933"/>
            <w:tcMar>
              <w:top w:type="dxa" w:w="60"/>
              <w:left w:type="dxa" w:w="80"/>
              <w:bottom w:type="dxa" w:w="60"/>
              <w:right w:type="dxa" w:w="80"/>
            </w:tcMar>
          </w:tcPr>
          <w:p>
            <w:pPr>
              <w:jc w:val="left"/>
            </w:pPr>
            <w:r>
              <w:rPr>
                <w:sz w:val="16"/>
                <w:szCs w:val="16"/>
              </w:rPr>
              <w:t xml:space="preserve">D8 is the first SKU whose 12,800 IOPS cap and 8 vCores hold the 17:00 write peak (4,500 rows/s) and the 8,000 rows/s load gate under 80 % CPU; SSD v2 gives 12,000 IOPS free with a 1,024 GiB disk</w:t>
            </w:r>
          </w:p>
        </w:tc>
        <w:tc>
          <w:tcPr>
            <w:tcW w:type="dxa" w:w="2933"/>
            <w:tcMar>
              <w:top w:type="dxa" w:w="60"/>
              <w:left w:type="dxa" w:w="80"/>
              <w:bottom w:type="dxa" w:w="60"/>
              <w:right w:type="dxa" w:w="80"/>
            </w:tcMar>
          </w:tcPr>
          <w:p>
            <w:pPr>
              <w:jc w:val="left"/>
            </w:pPr>
            <w:r>
              <w:rPr>
                <w:sz w:val="16"/>
                <w:szCs w:val="16"/>
              </w:rPr>
              <w:t xml:space="preserve">One system of record keeps idempotency, money and scope transactional; the standby is what makes a zone loss a 60-120 s blip with zero data loss (RPO 0)</w:t>
            </w:r>
          </w:p>
        </w:tc>
        <w:tc>
          <w:tcPr>
            <w:tcW w:type="dxa" w:w="359"/>
            <w:tcMar>
              <w:top w:type="dxa" w:w="60"/>
              <w:left w:type="dxa" w:w="80"/>
              <w:bottom w:type="dxa" w:w="60"/>
              <w:right w:type="dxa" w:w="80"/>
            </w:tcMar>
          </w:tcPr>
          <w:p>
            <w:pPr>
              <w:jc w:val="right"/>
            </w:pPr>
            <w:r>
              <w:rPr>
                <w:sz w:val="16"/>
                <w:szCs w:val="16"/>
              </w:rPr>
              <w:t xml:space="preserve">1,829</w:t>
            </w:r>
          </w:p>
        </w:tc>
      </w:tr>
      <w:tr>
        <w:tc>
          <w:tcPr>
            <w:tcW w:type="dxa" w:w="196"/>
            <w:tcMar>
              <w:top w:type="dxa" w:w="60"/>
              <w:left w:type="dxa" w:w="80"/>
              <w:bottom w:type="dxa" w:w="60"/>
              <w:right w:type="dxa" w:w="80"/>
            </w:tcMar>
          </w:tcPr>
          <w:p>
            <w:pPr>
              <w:jc w:val="left"/>
            </w:pPr>
            <w:r>
              <w:rPr>
                <w:sz w:val="16"/>
                <w:szCs w:val="16"/>
              </w:rPr>
              <w:t xml:space="preserve">2</w:t>
            </w:r>
          </w:p>
        </w:tc>
        <w:tc>
          <w:tcPr>
            <w:tcW w:type="dxa" w:w="2933"/>
            <w:tcMar>
              <w:top w:type="dxa" w:w="60"/>
              <w:left w:type="dxa" w:w="80"/>
              <w:bottom w:type="dxa" w:w="60"/>
              <w:right w:type="dxa" w:w="80"/>
            </w:tcMar>
          </w:tcPr>
          <w:p>
            <w:pPr>
              <w:jc w:val="left"/>
            </w:pPr>
            <w:r>
              <w:rPr>
                <w:sz w:val="16"/>
                <w:szCs w:val="16"/>
              </w:rPr>
              <w:t xml:space="preserve">PostgreSQL read replica `psql-aron-prod-&lt;s&gt;-r1`</w:t>
            </w:r>
          </w:p>
        </w:tc>
        <w:tc>
          <w:tcPr>
            <w:tcW w:type="dxa" w:w="2933"/>
            <w:tcMar>
              <w:top w:type="dxa" w:w="60"/>
              <w:left w:type="dxa" w:w="80"/>
              <w:bottom w:type="dxa" w:w="60"/>
              <w:right w:type="dxa" w:w="80"/>
            </w:tcMar>
          </w:tcPr>
          <w:p>
            <w:pPr>
              <w:jc w:val="left"/>
            </w:pPr>
            <w:r>
              <w:rPr>
                <w:sz w:val="16"/>
                <w:szCs w:val="16"/>
              </w:rPr>
              <w:t xml:space="preserve">same SKU and disk as the primary, zone 3, asynchronous, no HA, own PgBouncer</w:t>
            </w:r>
          </w:p>
        </w:tc>
        <w:tc>
          <w:tcPr>
            <w:tcW w:type="dxa" w:w="2509"/>
            <w:tcMar>
              <w:top w:type="dxa" w:w="60"/>
              <w:left w:type="dxa" w:w="80"/>
              <w:bottom w:type="dxa" w:w="60"/>
              <w:right w:type="dxa" w:w="80"/>
            </w:tcMar>
          </w:tcPr>
          <w:p>
            <w:pPr>
              <w:jc w:val="left"/>
            </w:pPr>
            <w:r>
              <w:rPr>
                <w:sz w:val="16"/>
                <w:szCs w:val="16"/>
              </w:rPr>
              <w:t xml:space="preserve">1</w:t>
            </w:r>
          </w:p>
        </w:tc>
        <w:tc>
          <w:tcPr>
            <w:tcW w:type="dxa" w:w="2933"/>
            <w:tcMar>
              <w:top w:type="dxa" w:w="60"/>
              <w:left w:type="dxa" w:w="80"/>
              <w:bottom w:type="dxa" w:w="60"/>
              <w:right w:type="dxa" w:w="80"/>
            </w:tcMar>
          </w:tcPr>
          <w:p>
            <w:pPr>
              <w:jc w:val="left"/>
            </w:pPr>
            <w:r>
              <w:rPr>
                <w:sz w:val="16"/>
                <w:szCs w:val="16"/>
              </w:rPr>
              <w:t xml:space="preserve">The same SKU because WAL replay is single-threaded and a smaller replica falls behind at the 17:00 peak</w:t>
            </w:r>
          </w:p>
        </w:tc>
        <w:tc>
          <w:tcPr>
            <w:tcW w:type="dxa" w:w="2933"/>
            <w:tcMar>
              <w:top w:type="dxa" w:w="60"/>
              <w:left w:type="dxa" w:w="80"/>
              <w:bottom w:type="dxa" w:w="60"/>
              <w:right w:type="dxa" w:w="80"/>
            </w:tcMar>
          </w:tcPr>
          <w:p>
            <w:pPr>
              <w:jc w:val="left"/>
            </w:pPr>
            <w:r>
              <w:rPr>
                <w:sz w:val="16"/>
                <w:szCs w:val="16"/>
              </w:rPr>
              <w:t xml:space="preserve">One replica serves the 150 queries/s read budget with 3x headroom; a second would only isolate BI later</w:t>
            </w:r>
          </w:p>
        </w:tc>
        <w:tc>
          <w:tcPr>
            <w:tcW w:type="dxa" w:w="359"/>
            <w:tcMar>
              <w:top w:type="dxa" w:w="60"/>
              <w:left w:type="dxa" w:w="80"/>
              <w:bottom w:type="dxa" w:w="60"/>
              <w:right w:type="dxa" w:w="80"/>
            </w:tcMar>
          </w:tcPr>
          <w:p>
            <w:pPr>
              <w:jc w:val="right"/>
            </w:pPr>
            <w:r>
              <w:rPr>
                <w:sz w:val="16"/>
                <w:szCs w:val="16"/>
              </w:rPr>
              <w:t xml:space="preserve">854</w:t>
            </w:r>
          </w:p>
        </w:tc>
      </w:tr>
      <w:tr>
        <w:tc>
          <w:tcPr>
            <w:tcW w:type="dxa" w:w="196"/>
            <w:tcMar>
              <w:top w:type="dxa" w:w="60"/>
              <w:left w:type="dxa" w:w="80"/>
              <w:bottom w:type="dxa" w:w="60"/>
              <w:right w:type="dxa" w:w="80"/>
            </w:tcMar>
          </w:tcPr>
          <w:p>
            <w:pPr>
              <w:jc w:val="left"/>
            </w:pPr>
            <w:r>
              <w:rPr>
                <w:sz w:val="16"/>
                <w:szCs w:val="16"/>
              </w:rPr>
              <w:t xml:space="preserve">3</w:t>
            </w:r>
          </w:p>
        </w:tc>
        <w:tc>
          <w:tcPr>
            <w:tcW w:type="dxa" w:w="2933"/>
            <w:tcMar>
              <w:top w:type="dxa" w:w="60"/>
              <w:left w:type="dxa" w:w="80"/>
              <w:bottom w:type="dxa" w:w="60"/>
              <w:right w:type="dxa" w:w="80"/>
            </w:tcMar>
          </w:tcPr>
          <w:p>
            <w:pPr>
              <w:jc w:val="left"/>
            </w:pPr>
            <w:r>
              <w:rPr>
                <w:sz w:val="16"/>
                <w:szCs w:val="16"/>
              </w:rPr>
              <w:t xml:space="preserve">Container App `ca-aron-prod-api`</w:t>
            </w:r>
          </w:p>
        </w:tc>
        <w:tc>
          <w:tcPr>
            <w:tcW w:type="dxa" w:w="2933"/>
            <w:tcMar>
              <w:top w:type="dxa" w:w="60"/>
              <w:left w:type="dxa" w:w="80"/>
              <w:bottom w:type="dxa" w:w="60"/>
              <w:right w:type="dxa" w:w="80"/>
            </w:tcMar>
          </w:tcPr>
          <w:p>
            <w:pPr>
              <w:jc w:val="left"/>
            </w:pPr>
            <w:r>
              <w:rPr>
                <w:sz w:val="16"/>
                <w:szCs w:val="16"/>
              </w:rPr>
              <w:t xml:space="preserve">1 vCPU / 2 GiB per replica (JVM heap ceiling about 1.5 GiB); HTTP scale rule 50 concurrent requests per replica; cron pre-scale 06:15-10:00 and 16:45-20:00 Dhaka; Multiple revisions; startup, liveness and readiness probes</w:t>
            </w:r>
          </w:p>
        </w:tc>
        <w:tc>
          <w:tcPr>
            <w:tcW w:type="dxa" w:w="2509"/>
            <w:tcMar>
              <w:top w:type="dxa" w:w="60"/>
              <w:left w:type="dxa" w:w="80"/>
              <w:bottom w:type="dxa" w:w="60"/>
              <w:right w:type="dxa" w:w="80"/>
            </w:tcMar>
          </w:tcPr>
          <w:p>
            <w:pPr>
              <w:jc w:val="left"/>
            </w:pPr>
            <w:r>
              <w:rPr>
                <w:sz w:val="16"/>
                <w:szCs w:val="16"/>
              </w:rPr>
              <w:t xml:space="preserve">3 to 30 replicas (8 pre-scaled in the storms; about 5 on average)</w:t>
            </w:r>
          </w:p>
        </w:tc>
        <w:tc>
          <w:tcPr>
            <w:tcW w:type="dxa" w:w="2933"/>
            <w:tcMar>
              <w:top w:type="dxa" w:w="60"/>
              <w:left w:type="dxa" w:w="80"/>
              <w:bottom w:type="dxa" w:w="60"/>
              <w:right w:type="dxa" w:w="80"/>
            </w:tcMar>
          </w:tcPr>
          <w:p>
            <w:pPr>
              <w:jc w:val="left"/>
            </w:pPr>
            <w:r>
              <w:rPr>
                <w:sz w:val="16"/>
                <w:szCs w:val="16"/>
              </w:rPr>
              <w:t xml:space="preserve">1 vCPU / 2 GiB is the smallest step that holds a Ktor JVM at 150-300 requests/s; small steps scale finely</w:t>
            </w:r>
          </w:p>
        </w:tc>
        <w:tc>
          <w:tcPr>
            <w:tcW w:type="dxa" w:w="2933"/>
            <w:tcMar>
              <w:top w:type="dxa" w:w="60"/>
              <w:left w:type="dxa" w:w="80"/>
              <w:bottom w:type="dxa" w:w="60"/>
              <w:right w:type="dxa" w:w="80"/>
            </w:tcMar>
          </w:tcPr>
          <w:p>
            <w:pPr>
              <w:jc w:val="left"/>
            </w:pPr>
            <w:r>
              <w:rPr>
                <w:sz w:val="16"/>
                <w:szCs w:val="16"/>
              </w:rPr>
              <w:t xml:space="preserve">3 = one replica per availability zone; 8 pre-scaled covers the expected 131 requests/s with 1.8x; 30 = 900 requests/s, 2.3x the design-for storm of 400</w:t>
            </w:r>
          </w:p>
        </w:tc>
        <w:tc>
          <w:tcPr>
            <w:tcW w:type="dxa" w:w="359"/>
            <w:tcMar>
              <w:top w:type="dxa" w:w="60"/>
              <w:left w:type="dxa" w:w="80"/>
              <w:bottom w:type="dxa" w:w="60"/>
              <w:right w:type="dxa" w:w="80"/>
            </w:tcMar>
          </w:tcPr>
          <w:p>
            <w:pPr>
              <w:jc w:val="right"/>
            </w:pPr>
            <w:r>
              <w:rPr>
                <w:sz w:val="16"/>
                <w:szCs w:val="16"/>
              </w:rPr>
              <w:t xml:space="preserve">662</w:t>
            </w:r>
          </w:p>
        </w:tc>
      </w:tr>
      <w:tr>
        <w:tc>
          <w:tcPr>
            <w:tcW w:type="dxa" w:w="196"/>
            <w:tcMar>
              <w:top w:type="dxa" w:w="60"/>
              <w:left w:type="dxa" w:w="80"/>
              <w:bottom w:type="dxa" w:w="60"/>
              <w:right w:type="dxa" w:w="80"/>
            </w:tcMar>
          </w:tcPr>
          <w:p>
            <w:pPr>
              <w:jc w:val="left"/>
            </w:pPr>
            <w:r>
              <w:rPr>
                <w:sz w:val="16"/>
                <w:szCs w:val="16"/>
              </w:rPr>
              <w:t xml:space="preserve">4</w:t>
            </w:r>
          </w:p>
        </w:tc>
        <w:tc>
          <w:tcPr>
            <w:tcW w:type="dxa" w:w="2933"/>
            <w:tcMar>
              <w:top w:type="dxa" w:w="60"/>
              <w:left w:type="dxa" w:w="80"/>
              <w:bottom w:type="dxa" w:w="60"/>
              <w:right w:type="dxa" w:w="80"/>
            </w:tcMar>
          </w:tcPr>
          <w:p>
            <w:pPr>
              <w:jc w:val="left"/>
            </w:pPr>
            <w:r>
              <w:rPr>
                <w:sz w:val="16"/>
                <w:szCs w:val="16"/>
              </w:rPr>
              <w:t xml:space="preserve">Container App `ca-aron-prod-worker`</w:t>
            </w:r>
          </w:p>
        </w:tc>
        <w:tc>
          <w:tcPr>
            <w:tcW w:type="dxa" w:w="2933"/>
            <w:tcMar>
              <w:top w:type="dxa" w:w="60"/>
              <w:left w:type="dxa" w:w="80"/>
              <w:bottom w:type="dxa" w:w="60"/>
              <w:right w:type="dxa" w:w="80"/>
            </w:tcMar>
          </w:tcPr>
          <w:p>
            <w:pPr>
              <w:jc w:val="left"/>
            </w:pPr>
            <w:r>
              <w:rPr>
                <w:sz w:val="16"/>
                <w:szCs w:val="16"/>
              </w:rPr>
              <w:t xml:space="preserve">1 vCPU / 2 GiB; no ingress; outbox aggregation, risk signals, route-day planning, geo re-check sweep, retention; KEDA rules on outbox depth and photo queue designed</w:t>
            </w:r>
          </w:p>
        </w:tc>
        <w:tc>
          <w:tcPr>
            <w:tcW w:type="dxa" w:w="2509"/>
            <w:tcMar>
              <w:top w:type="dxa" w:w="60"/>
              <w:left w:type="dxa" w:w="80"/>
              <w:bottom w:type="dxa" w:w="60"/>
              <w:right w:type="dxa" w:w="80"/>
            </w:tcMar>
          </w:tcPr>
          <w:p>
            <w:pPr>
              <w:jc w:val="left"/>
            </w:pPr>
            <w:r>
              <w:rPr>
                <w:sz w:val="16"/>
                <w:szCs w:val="16"/>
              </w:rPr>
              <w:t xml:space="preserve">1 to 10 replicas (deployed: 1 and no scale rule; costed at 2)</w:t>
            </w:r>
          </w:p>
        </w:tc>
        <w:tc>
          <w:tcPr>
            <w:tcW w:type="dxa" w:w="2933"/>
            <w:tcMar>
              <w:top w:type="dxa" w:w="60"/>
              <w:left w:type="dxa" w:w="80"/>
              <w:bottom w:type="dxa" w:w="60"/>
              <w:right w:type="dxa" w:w="80"/>
            </w:tcMar>
          </w:tcPr>
          <w:p>
            <w:pPr>
              <w:jc w:val="left"/>
            </w:pPr>
            <w:r>
              <w:rPr>
                <w:sz w:val="16"/>
                <w:szCs w:val="16"/>
              </w:rPr>
              <w:t xml:space="preserve">Aggregation is bursty (17:00) and must not run inside the request path</w:t>
            </w:r>
          </w:p>
        </w:tc>
        <w:tc>
          <w:tcPr>
            <w:tcW w:type="dxa" w:w="2933"/>
            <w:tcMar>
              <w:top w:type="dxa" w:w="60"/>
              <w:left w:type="dxa" w:w="80"/>
              <w:bottom w:type="dxa" w:w="60"/>
              <w:right w:type="dxa" w:w="80"/>
            </w:tcMar>
          </w:tcPr>
          <w:p>
            <w:pPr>
              <w:jc w:val="left"/>
            </w:pPr>
            <w:r>
              <w:rPr>
                <w:sz w:val="16"/>
                <w:szCs w:val="16"/>
              </w:rPr>
              <w:t xml:space="preserve">1 steady replica drains the trickle; 10 drain a 30-minute backlog (38,000 rows) in about a minute once the KEDA rules exist</w:t>
            </w:r>
          </w:p>
        </w:tc>
        <w:tc>
          <w:tcPr>
            <w:tcW w:type="dxa" w:w="359"/>
            <w:tcMar>
              <w:top w:type="dxa" w:w="60"/>
              <w:left w:type="dxa" w:w="80"/>
              <w:bottom w:type="dxa" w:w="60"/>
              <w:right w:type="dxa" w:w="80"/>
            </w:tcMar>
          </w:tcPr>
          <w:p>
            <w:pPr>
              <w:jc w:val="right"/>
            </w:pPr>
            <w:r>
              <w:rPr>
                <w:sz w:val="16"/>
                <w:szCs w:val="16"/>
              </w:rPr>
              <w:t xml:space="preserve">221</w:t>
            </w:r>
          </w:p>
        </w:tc>
      </w:tr>
      <w:tr>
        <w:tc>
          <w:tcPr>
            <w:tcW w:type="dxa" w:w="196"/>
            <w:tcMar>
              <w:top w:type="dxa" w:w="60"/>
              <w:left w:type="dxa" w:w="80"/>
              <w:bottom w:type="dxa" w:w="60"/>
              <w:right w:type="dxa" w:w="80"/>
            </w:tcMar>
          </w:tcPr>
          <w:p>
            <w:pPr>
              <w:jc w:val="left"/>
            </w:pPr>
            <w:r>
              <w:rPr>
                <w:sz w:val="16"/>
                <w:szCs w:val="16"/>
              </w:rPr>
              <w:t xml:space="preserve">5</w:t>
            </w:r>
          </w:p>
        </w:tc>
        <w:tc>
          <w:tcPr>
            <w:tcW w:type="dxa" w:w="2933"/>
            <w:tcMar>
              <w:top w:type="dxa" w:w="60"/>
              <w:left w:type="dxa" w:w="80"/>
              <w:bottom w:type="dxa" w:w="60"/>
              <w:right w:type="dxa" w:w="80"/>
            </w:tcMar>
          </w:tcPr>
          <w:p>
            <w:pPr>
              <w:jc w:val="left"/>
            </w:pPr>
            <w:r>
              <w:rPr>
                <w:sz w:val="16"/>
                <w:szCs w:val="16"/>
              </w:rPr>
              <w:t xml:space="preserve">Container App `ca-aron-prod-web`</w:t>
            </w:r>
          </w:p>
        </w:tc>
        <w:tc>
          <w:tcPr>
            <w:tcW w:type="dxa" w:w="2933"/>
            <w:tcMar>
              <w:top w:type="dxa" w:w="60"/>
              <w:left w:type="dxa" w:w="80"/>
              <w:bottom w:type="dxa" w:w="60"/>
              <w:right w:type="dxa" w:w="80"/>
            </w:tcMar>
          </w:tcPr>
          <w:p>
            <w:pPr>
              <w:jc w:val="left"/>
            </w:pPr>
            <w:r>
              <w:rPr>
                <w:sz w:val="16"/>
                <w:szCs w:val="16"/>
              </w:rPr>
              <w:t xml:space="preserve">0.5 vCPU / 1 GiB; Next.js dashboard and portal; its server-side calls reach the api through Front Door</w:t>
            </w:r>
          </w:p>
        </w:tc>
        <w:tc>
          <w:tcPr>
            <w:tcW w:type="dxa" w:w="2509"/>
            <w:tcMar>
              <w:top w:type="dxa" w:w="60"/>
              <w:left w:type="dxa" w:w="80"/>
              <w:bottom w:type="dxa" w:w="60"/>
              <w:right w:type="dxa" w:w="80"/>
            </w:tcMar>
          </w:tcPr>
          <w:p>
            <w:pPr>
              <w:jc w:val="left"/>
            </w:pPr>
            <w:r>
              <w:rPr>
                <w:sz w:val="16"/>
                <w:szCs w:val="16"/>
              </w:rPr>
              <w:t xml:space="preserve">2 to 6 replicas (costed at 3)</w:t>
            </w:r>
          </w:p>
        </w:tc>
        <w:tc>
          <w:tcPr>
            <w:tcW w:type="dxa" w:w="2933"/>
            <w:tcMar>
              <w:top w:type="dxa" w:w="60"/>
              <w:left w:type="dxa" w:w="80"/>
              <w:bottom w:type="dxa" w:w="60"/>
              <w:right w:type="dxa" w:w="80"/>
            </w:tcMar>
          </w:tcPr>
          <w:p>
            <w:pPr>
              <w:jc w:val="left"/>
            </w:pPr>
            <w:r>
              <w:rPr>
                <w:sz w:val="16"/>
                <w:szCs w:val="16"/>
              </w:rPr>
              <w:t xml:space="preserve">Server-rendered pages are light; half a vCPU per replica is enough</w:t>
            </w:r>
          </w:p>
        </w:tc>
        <w:tc>
          <w:tcPr>
            <w:tcW w:type="dxa" w:w="2933"/>
            <w:tcMar>
              <w:top w:type="dxa" w:w="60"/>
              <w:left w:type="dxa" w:w="80"/>
              <w:bottom w:type="dxa" w:w="60"/>
              <w:right w:type="dxa" w:w="80"/>
            </w:tcMar>
          </w:tcPr>
          <w:p>
            <w:pPr>
              <w:jc w:val="left"/>
            </w:pPr>
            <w:r>
              <w:rPr>
                <w:sz w:val="16"/>
                <w:szCs w:val="16"/>
              </w:rPr>
              <w:t xml:space="preserve">2 for zone spread; 6 gives 2x on the pessimistic 25 pages/s reader load</w:t>
            </w:r>
          </w:p>
        </w:tc>
        <w:tc>
          <w:tcPr>
            <w:tcW w:type="dxa" w:w="359"/>
            <w:tcMar>
              <w:top w:type="dxa" w:w="60"/>
              <w:left w:type="dxa" w:w="80"/>
              <w:bottom w:type="dxa" w:w="60"/>
              <w:right w:type="dxa" w:w="80"/>
            </w:tcMar>
          </w:tcPr>
          <w:p>
            <w:pPr>
              <w:jc w:val="right"/>
            </w:pPr>
            <w:r>
              <w:rPr>
                <w:sz w:val="16"/>
                <w:szCs w:val="16"/>
              </w:rPr>
              <w:t xml:space="preserve">166</w:t>
            </w:r>
          </w:p>
        </w:tc>
      </w:tr>
      <w:tr>
        <w:tc>
          <w:tcPr>
            <w:tcW w:type="dxa" w:w="196"/>
            <w:tcMar>
              <w:top w:type="dxa" w:w="60"/>
              <w:left w:type="dxa" w:w="80"/>
              <w:bottom w:type="dxa" w:w="60"/>
              <w:right w:type="dxa" w:w="80"/>
            </w:tcMar>
          </w:tcPr>
          <w:p>
            <w:pPr>
              <w:jc w:val="left"/>
            </w:pPr>
            <w:r>
              <w:rPr>
                <w:sz w:val="16"/>
                <w:szCs w:val="16"/>
              </w:rPr>
              <w:t xml:space="preserve">6</w:t>
            </w:r>
          </w:p>
        </w:tc>
        <w:tc>
          <w:tcPr>
            <w:tcW w:type="dxa" w:w="2933"/>
            <w:tcMar>
              <w:top w:type="dxa" w:w="60"/>
              <w:left w:type="dxa" w:w="80"/>
              <w:bottom w:type="dxa" w:w="60"/>
              <w:right w:type="dxa" w:w="80"/>
            </w:tcMar>
          </w:tcPr>
          <w:p>
            <w:pPr>
              <w:jc w:val="left"/>
            </w:pPr>
            <w:r>
              <w:rPr>
                <w:sz w:val="16"/>
                <w:szCs w:val="16"/>
              </w:rPr>
              <w:t xml:space="preserve">Container Apps Jobs `caj-aron-prod-migrate`, `caj-aron-prod-dblogins` (+ export jobs designed)</w:t>
            </w:r>
          </w:p>
        </w:tc>
        <w:tc>
          <w:tcPr>
            <w:tcW w:type="dxa" w:w="2933"/>
            <w:tcMar>
              <w:top w:type="dxa" w:w="60"/>
              <w:left w:type="dxa" w:w="80"/>
              <w:bottom w:type="dxa" w:w="60"/>
              <w:right w:type="dxa" w:w="80"/>
            </w:tcMar>
          </w:tcPr>
          <w:p>
            <w:pPr>
              <w:jc w:val="left"/>
            </w:pPr>
            <w:r>
              <w:rPr>
                <w:sz w:val="16"/>
                <w:szCs w:val="16"/>
              </w:rPr>
              <w:t xml:space="preserve">run-to-completion jobs: Flyway migrations before any revision change; per-app database logins; large exports</w:t>
            </w:r>
          </w:p>
        </w:tc>
        <w:tc>
          <w:tcPr>
            <w:tcW w:type="dxa" w:w="2509"/>
            <w:tcMar>
              <w:top w:type="dxa" w:w="60"/>
              <w:left w:type="dxa" w:w="80"/>
              <w:bottom w:type="dxa" w:w="60"/>
              <w:right w:type="dxa" w:w="80"/>
            </w:tcMar>
          </w:tcPr>
          <w:p>
            <w:pPr>
              <w:jc w:val="left"/>
            </w:pPr>
            <w:r>
              <w:rPr>
                <w:sz w:val="16"/>
                <w:szCs w:val="16"/>
              </w:rPr>
              <w:t xml:space="preserve">2 jobs defined (+ exports designed); about 60 vCPU-hours a month</w:t>
            </w:r>
          </w:p>
        </w:tc>
        <w:tc>
          <w:tcPr>
            <w:tcW w:type="dxa" w:w="2933"/>
            <w:tcMar>
              <w:top w:type="dxa" w:w="60"/>
              <w:left w:type="dxa" w:w="80"/>
              <w:bottom w:type="dxa" w:w="60"/>
              <w:right w:type="dxa" w:w="80"/>
            </w:tcMar>
          </w:tcPr>
          <w:p>
            <w:pPr>
              <w:jc w:val="left"/>
            </w:pPr>
            <w:r>
              <w:rPr>
                <w:sz w:val="16"/>
                <w:szCs w:val="16"/>
              </w:rPr>
              <w:t xml:space="preserve">Migrations and grants must finish before code changes; they do not belong in a serving replica</w:t>
            </w:r>
          </w:p>
        </w:tc>
        <w:tc>
          <w:tcPr>
            <w:tcW w:type="dxa" w:w="2933"/>
            <w:tcMar>
              <w:top w:type="dxa" w:w="60"/>
              <w:left w:type="dxa" w:w="80"/>
              <w:bottom w:type="dxa" w:w="60"/>
              <w:right w:type="dxa" w:w="80"/>
            </w:tcMar>
          </w:tcPr>
          <w:p>
            <w:pPr>
              <w:jc w:val="left"/>
            </w:pPr>
            <w:r>
              <w:rPr>
                <w:sz w:val="16"/>
                <w:szCs w:val="16"/>
              </w:rPr>
              <w:t xml:space="preserve">One job per task; they run only when invoked</w:t>
            </w:r>
          </w:p>
        </w:tc>
        <w:tc>
          <w:tcPr>
            <w:tcW w:type="dxa" w:w="359"/>
            <w:tcMar>
              <w:top w:type="dxa" w:w="60"/>
              <w:left w:type="dxa" w:w="80"/>
              <w:bottom w:type="dxa" w:w="60"/>
              <w:right w:type="dxa" w:w="80"/>
            </w:tcMar>
          </w:tcPr>
          <w:p>
            <w:pPr>
              <w:jc w:val="right"/>
            </w:pPr>
            <w:r>
              <w:rPr>
                <w:sz w:val="16"/>
                <w:szCs w:val="16"/>
              </w:rPr>
              <w:t xml:space="preserve">9</w:t>
            </w:r>
          </w:p>
        </w:tc>
      </w:tr>
      <w:tr>
        <w:tc>
          <w:tcPr>
            <w:tcW w:type="dxa" w:w="196"/>
            <w:tcMar>
              <w:top w:type="dxa" w:w="60"/>
              <w:left w:type="dxa" w:w="80"/>
              <w:bottom w:type="dxa" w:w="60"/>
              <w:right w:type="dxa" w:w="80"/>
            </w:tcMar>
          </w:tcPr>
          <w:p>
            <w:pPr>
              <w:jc w:val="left"/>
            </w:pPr>
            <w:r>
              <w:rPr>
                <w:sz w:val="16"/>
                <w:szCs w:val="16"/>
              </w:rPr>
              <w:t xml:space="preserve">7</w:t>
            </w:r>
          </w:p>
        </w:tc>
        <w:tc>
          <w:tcPr>
            <w:tcW w:type="dxa" w:w="2933"/>
            <w:tcMar>
              <w:top w:type="dxa" w:w="60"/>
              <w:left w:type="dxa" w:w="80"/>
              <w:bottom w:type="dxa" w:w="60"/>
              <w:right w:type="dxa" w:w="80"/>
            </w:tcMar>
          </w:tcPr>
          <w:p>
            <w:pPr>
              <w:jc w:val="left"/>
            </w:pPr>
            <w:r>
              <w:rPr>
                <w:sz w:val="16"/>
                <w:szCs w:val="16"/>
              </w:rPr>
              <w:t xml:space="preserve">Container Apps environment `cae-aron-prod`</w:t>
            </w:r>
          </w:p>
        </w:tc>
        <w:tc>
          <w:tcPr>
            <w:tcW w:type="dxa" w:w="2933"/>
            <w:tcMar>
              <w:top w:type="dxa" w:w="60"/>
              <w:left w:type="dxa" w:w="80"/>
              <w:bottom w:type="dxa" w:w="60"/>
              <w:right w:type="dxa" w:w="80"/>
            </w:tcMar>
          </w:tcPr>
          <w:p>
            <w:pPr>
              <w:jc w:val="left"/>
            </w:pPr>
            <w:r>
              <w:rPr>
                <w:sz w:val="16"/>
                <w:szCs w:val="16"/>
              </w:rPr>
              <w:t xml:space="preserve">workload-profiles environment, Consumption profile, zone-redundant, VNet-injected, public access off, Front Door Private Link connection</w:t>
            </w:r>
          </w:p>
        </w:tc>
        <w:tc>
          <w:tcPr>
            <w:tcW w:type="dxa" w:w="2509"/>
            <w:tcMar>
              <w:top w:type="dxa" w:w="60"/>
              <w:left w:type="dxa" w:w="80"/>
              <w:bottom w:type="dxa" w:w="60"/>
              <w:right w:type="dxa" w:w="80"/>
            </w:tcMar>
          </w:tcPr>
          <w:p>
            <w:pPr>
              <w:jc w:val="left"/>
            </w:pPr>
            <w:r>
              <w:rPr>
                <w:sz w:val="16"/>
                <w:szCs w:val="16"/>
              </w:rPr>
              <w:t xml:space="preserve">1</w:t>
            </w:r>
          </w:p>
        </w:tc>
        <w:tc>
          <w:tcPr>
            <w:tcW w:type="dxa" w:w="2933"/>
            <w:tcMar>
              <w:top w:type="dxa" w:w="60"/>
              <w:left w:type="dxa" w:w="80"/>
              <w:bottom w:type="dxa" w:w="60"/>
              <w:right w:type="dxa" w:w="80"/>
            </w:tcMar>
          </w:tcPr>
          <w:p>
            <w:pPr>
              <w:jc w:val="left"/>
            </w:pPr>
            <w:r>
              <w:rPr>
                <w:sz w:val="16"/>
                <w:szCs w:val="16"/>
              </w:rPr>
              <w:t xml:space="preserve">Zone redundancy spreads replicas over three zones; disabling public access leaves Front Door as the only way in</w:t>
            </w:r>
          </w:p>
        </w:tc>
        <w:tc>
          <w:tcPr>
            <w:tcW w:type="dxa" w:w="2933"/>
            <w:tcMar>
              <w:top w:type="dxa" w:w="60"/>
              <w:left w:type="dxa" w:w="80"/>
              <w:bottom w:type="dxa" w:w="60"/>
              <w:right w:type="dxa" w:w="80"/>
            </w:tcMar>
          </w:tcPr>
          <w:p>
            <w:pPr>
              <w:jc w:val="left"/>
            </w:pPr>
            <w:r>
              <w:rPr>
                <w:sz w:val="16"/>
                <w:szCs w:val="16"/>
              </w:rPr>
              <w:t xml:space="preserve">One environment per region and environment; the DR region gets its own</w:t>
            </w:r>
          </w:p>
        </w:tc>
        <w:tc>
          <w:tcPr>
            <w:tcW w:type="dxa" w:w="359"/>
            <w:tcMar>
              <w:top w:type="dxa" w:w="60"/>
              <w:left w:type="dxa" w:w="80"/>
              <w:bottom w:type="dxa" w:w="60"/>
              <w:right w:type="dxa" w:w="80"/>
            </w:tcMar>
          </w:tcPr>
          <w:p>
            <w:pPr>
              <w:jc w:val="right"/>
            </w:pPr>
            <w:r>
              <w:rPr>
                <w:sz w:val="16"/>
                <w:szCs w:val="16"/>
              </w:rPr>
              <w:t xml:space="preserve">175</w:t>
            </w:r>
          </w:p>
        </w:tc>
      </w:tr>
      <w:tr>
        <w:tc>
          <w:tcPr>
            <w:tcW w:type="dxa" w:w="196"/>
            <w:tcMar>
              <w:top w:type="dxa" w:w="60"/>
              <w:left w:type="dxa" w:w="80"/>
              <w:bottom w:type="dxa" w:w="60"/>
              <w:right w:type="dxa" w:w="80"/>
            </w:tcMar>
          </w:tcPr>
          <w:p>
            <w:pPr>
              <w:jc w:val="left"/>
            </w:pPr>
            <w:r>
              <w:rPr>
                <w:sz w:val="16"/>
                <w:szCs w:val="16"/>
              </w:rPr>
              <w:t xml:space="preserve">8</w:t>
            </w:r>
          </w:p>
        </w:tc>
        <w:tc>
          <w:tcPr>
            <w:tcW w:type="dxa" w:w="2933"/>
            <w:tcMar>
              <w:top w:type="dxa" w:w="60"/>
              <w:left w:type="dxa" w:w="80"/>
              <w:bottom w:type="dxa" w:w="60"/>
              <w:right w:type="dxa" w:w="80"/>
            </w:tcMar>
          </w:tcPr>
          <w:p>
            <w:pPr>
              <w:jc w:val="left"/>
            </w:pPr>
            <w:r>
              <w:rPr>
                <w:sz w:val="16"/>
                <w:szCs w:val="16"/>
              </w:rPr>
              <w:t xml:space="preserve">Front Door Premium `afd-aron-prod` + WAF policy `wafaronprod`</w:t>
            </w:r>
          </w:p>
        </w:tc>
        <w:tc>
          <w:tcPr>
            <w:tcW w:type="dxa" w:w="2933"/>
            <w:tcMar>
              <w:top w:type="dxa" w:w="60"/>
              <w:left w:type="dxa" w:w="80"/>
              <w:bottom w:type="dxa" w:w="60"/>
              <w:right w:type="dxa" w:w="80"/>
            </w:tcMar>
          </w:tcPr>
          <w:p>
            <w:pPr>
              <w:jc w:val="left"/>
            </w:pPr>
            <w:r>
              <w:rPr>
                <w:sz w:val="16"/>
                <w:szCs w:val="16"/>
              </w:rPr>
              <w:t xml:space="preserve">Premium tier (Private Link origins, managed rule sets), WAF in Prevention with managed rules in Log for the first wave, custom rules: IP backstop 60,000 / 5 min and method allow-list; origin timeout 60 s; probes HEAD /v1/health every 60 s</w:t>
            </w:r>
          </w:p>
        </w:tc>
        <w:tc>
          <w:tcPr>
            <w:tcW w:type="dxa" w:w="2509"/>
            <w:tcMar>
              <w:top w:type="dxa" w:w="60"/>
              <w:left w:type="dxa" w:w="80"/>
              <w:bottom w:type="dxa" w:w="60"/>
              <w:right w:type="dxa" w:w="80"/>
            </w:tcMar>
          </w:tcPr>
          <w:p>
            <w:pPr>
              <w:jc w:val="left"/>
            </w:pPr>
            <w:r>
              <w:rPr>
                <w:sz w:val="16"/>
                <w:szCs w:val="16"/>
              </w:rPr>
              <w:t xml:space="preserve">1 profile, 1 endpoint, 2 origin groups, 2 routes, 1 WAF policy</w:t>
            </w:r>
          </w:p>
        </w:tc>
        <w:tc>
          <w:tcPr>
            <w:tcW w:type="dxa" w:w="2933"/>
            <w:tcMar>
              <w:top w:type="dxa" w:w="60"/>
              <w:left w:type="dxa" w:w="80"/>
              <w:bottom w:type="dxa" w:w="60"/>
              <w:right w:type="dxa" w:w="80"/>
            </w:tcMar>
          </w:tcPr>
          <w:p>
            <w:pPr>
              <w:jc w:val="left"/>
            </w:pPr>
            <w:r>
              <w:rPr>
                <w:sz w:val="16"/>
                <w:szCs w:val="16"/>
              </w:rPr>
              <w:t xml:space="preserve">Only Premium can reach a private origin and run the managed firewall rules; the edge terminates TLS close to Dhaka</w:t>
            </w:r>
          </w:p>
        </w:tc>
        <w:tc>
          <w:tcPr>
            <w:tcW w:type="dxa" w:w="2933"/>
            <w:tcMar>
              <w:top w:type="dxa" w:w="60"/>
              <w:left w:type="dxa" w:w="80"/>
              <w:bottom w:type="dxa" w:w="60"/>
              <w:right w:type="dxa" w:w="80"/>
            </w:tcMar>
          </w:tcPr>
          <w:p>
            <w:pPr>
              <w:jc w:val="left"/>
            </w:pPr>
            <w:r>
              <w:rPr>
                <w:sz w:val="16"/>
                <w:szCs w:val="16"/>
              </w:rPr>
              <w:t xml:space="preserve">One entrance for phones and browsers; a second route only for the APK channel</w:t>
            </w:r>
          </w:p>
        </w:tc>
        <w:tc>
          <w:tcPr>
            <w:tcW w:type="dxa" w:w="359"/>
            <w:tcMar>
              <w:top w:type="dxa" w:w="60"/>
              <w:left w:type="dxa" w:w="80"/>
              <w:bottom w:type="dxa" w:w="60"/>
              <w:right w:type="dxa" w:w="80"/>
            </w:tcMar>
          </w:tcPr>
          <w:p>
            <w:pPr>
              <w:jc w:val="right"/>
            </w:pPr>
            <w:r>
              <w:rPr>
                <w:sz w:val="16"/>
                <w:szCs w:val="16"/>
              </w:rPr>
              <w:t xml:space="preserve">403</w:t>
            </w:r>
          </w:p>
        </w:tc>
      </w:tr>
      <w:tr>
        <w:tc>
          <w:tcPr>
            <w:tcW w:type="dxa" w:w="196"/>
            <w:tcMar>
              <w:top w:type="dxa" w:w="60"/>
              <w:left w:type="dxa" w:w="80"/>
              <w:bottom w:type="dxa" w:w="60"/>
              <w:right w:type="dxa" w:w="80"/>
            </w:tcMar>
          </w:tcPr>
          <w:p>
            <w:pPr>
              <w:jc w:val="left"/>
            </w:pPr>
            <w:r>
              <w:rPr>
                <w:sz w:val="16"/>
                <w:szCs w:val="16"/>
              </w:rPr>
              <w:t xml:space="preserve">9</w:t>
            </w:r>
          </w:p>
        </w:tc>
        <w:tc>
          <w:tcPr>
            <w:tcW w:type="dxa" w:w="2933"/>
            <w:tcMar>
              <w:top w:type="dxa" w:w="60"/>
              <w:left w:type="dxa" w:w="80"/>
              <w:bottom w:type="dxa" w:w="60"/>
              <w:right w:type="dxa" w:w="80"/>
            </w:tcMar>
          </w:tcPr>
          <w:p>
            <w:pPr>
              <w:jc w:val="left"/>
            </w:pPr>
            <w:r>
              <w:rPr>
                <w:sz w:val="16"/>
                <w:szCs w:val="16"/>
              </w:rPr>
              <w:t xml:space="preserve">Storage account `staronprod` (Blob + queue)</w:t>
            </w:r>
          </w:p>
        </w:tc>
        <w:tc>
          <w:tcPr>
            <w:tcW w:type="dxa" w:w="2933"/>
            <w:tcMar>
              <w:top w:type="dxa" w:w="60"/>
              <w:left w:type="dxa" w:w="80"/>
              <w:bottom w:type="dxa" w:w="60"/>
              <w:right w:type="dxa" w:w="80"/>
            </w:tcMar>
          </w:tcPr>
          <w:p>
            <w:pPr>
              <w:jc w:val="left"/>
            </w:pPr>
            <w:r>
              <w:rPr>
                <w:sz w:val="16"/>
                <w:szCs w:val="16"/>
              </w:rPr>
              <w:t xml:space="preserve">StorageV2 Standard_RAGZRS Hot; containers media (photos), bundles, exports (7-day expiry); lifecycle photos Cool 30 d, Cold 90 d, delete 730 d; soft delete 14 d; queue media-events (message TTL 7 d)</w:t>
            </w:r>
          </w:p>
        </w:tc>
        <w:tc>
          <w:tcPr>
            <w:tcW w:type="dxa" w:w="2509"/>
            <w:tcMar>
              <w:top w:type="dxa" w:w="60"/>
              <w:left w:type="dxa" w:w="80"/>
              <w:bottom w:type="dxa" w:w="60"/>
              <w:right w:type="dxa" w:w="80"/>
            </w:tcMar>
          </w:tcPr>
          <w:p>
            <w:pPr>
              <w:jc w:val="left"/>
            </w:pPr>
            <w:r>
              <w:rPr>
                <w:sz w:val="16"/>
                <w:szCs w:val="16"/>
              </w:rPr>
              <w:t xml:space="preserve">1 account, 3 containers, 1 queue</w:t>
            </w:r>
          </w:p>
        </w:tc>
        <w:tc>
          <w:tcPr>
            <w:tcW w:type="dxa" w:w="2933"/>
            <w:tcMar>
              <w:top w:type="dxa" w:w="60"/>
              <w:left w:type="dxa" w:w="80"/>
              <w:bottom w:type="dxa" w:w="60"/>
              <w:right w:type="dxa" w:w="80"/>
            </w:tcMar>
          </w:tcPr>
          <w:p>
            <w:pPr>
              <w:jc w:val="left"/>
            </w:pPr>
            <w:r>
              <w:rPr>
                <w:sz w:val="16"/>
                <w:szCs w:val="16"/>
              </w:rPr>
              <w:t xml:space="preserve">Read-access geo-zone-redundant keeps evidence photos readable through a zone or region loss; lifecycle tiers cut stored-data cost by about 70 %</w:t>
            </w:r>
          </w:p>
        </w:tc>
        <w:tc>
          <w:tcPr>
            <w:tcW w:type="dxa" w:w="2933"/>
            <w:tcMar>
              <w:top w:type="dxa" w:w="60"/>
              <w:left w:type="dxa" w:w="80"/>
              <w:bottom w:type="dxa" w:w="60"/>
              <w:right w:type="dxa" w:w="80"/>
            </w:tcMar>
          </w:tcPr>
          <w:p>
            <w:pPr>
              <w:jc w:val="left"/>
            </w:pPr>
            <w:r>
              <w:rPr>
                <w:sz w:val="16"/>
                <w:szCs w:val="16"/>
              </w:rPr>
              <w:t xml:space="preserve">One account is within the 40,000 requests/s limit by a wide margin; a second account only for a separate APK/content channel later</w:t>
            </w:r>
          </w:p>
        </w:tc>
        <w:tc>
          <w:tcPr>
            <w:tcW w:type="dxa" w:w="359"/>
            <w:tcMar>
              <w:top w:type="dxa" w:w="60"/>
              <w:left w:type="dxa" w:w="80"/>
              <w:bottom w:type="dxa" w:w="60"/>
              <w:right w:type="dxa" w:w="80"/>
            </w:tcMar>
          </w:tcPr>
          <w:p>
            <w:pPr>
              <w:jc w:val="right"/>
            </w:pPr>
            <w:r>
              <w:rPr>
                <w:sz w:val="16"/>
                <w:szCs w:val="16"/>
              </w:rPr>
              <w:t xml:space="preserve">530</w:t>
            </w:r>
          </w:p>
        </w:tc>
      </w:tr>
      <w:tr>
        <w:tc>
          <w:tcPr>
            <w:tcW w:type="dxa" w:w="196"/>
            <w:tcMar>
              <w:top w:type="dxa" w:w="60"/>
              <w:left w:type="dxa" w:w="80"/>
              <w:bottom w:type="dxa" w:w="60"/>
              <w:right w:type="dxa" w:w="80"/>
            </w:tcMar>
          </w:tcPr>
          <w:p>
            <w:pPr>
              <w:jc w:val="left"/>
            </w:pPr>
            <w:r>
              <w:rPr>
                <w:sz w:val="16"/>
                <w:szCs w:val="16"/>
              </w:rPr>
              <w:t xml:space="preserve">10</w:t>
            </w:r>
          </w:p>
        </w:tc>
        <w:tc>
          <w:tcPr>
            <w:tcW w:type="dxa" w:w="2933"/>
            <w:tcMar>
              <w:top w:type="dxa" w:w="60"/>
              <w:left w:type="dxa" w:w="80"/>
              <w:bottom w:type="dxa" w:w="60"/>
              <w:right w:type="dxa" w:w="80"/>
            </w:tcMar>
          </w:tcPr>
          <w:p>
            <w:pPr>
              <w:jc w:val="left"/>
            </w:pPr>
            <w:r>
              <w:rPr>
                <w:sz w:val="16"/>
                <w:szCs w:val="16"/>
              </w:rPr>
              <w:t xml:space="preserve">Data-lake account `staronprodlake`</w:t>
            </w:r>
          </w:p>
        </w:tc>
        <w:tc>
          <w:tcPr>
            <w:tcW w:type="dxa" w:w="2933"/>
            <w:tcMar>
              <w:top w:type="dxa" w:w="60"/>
              <w:left w:type="dxa" w:w="80"/>
              <w:bottom w:type="dxa" w:w="60"/>
              <w:right w:type="dxa" w:w="80"/>
            </w:tcMar>
          </w:tcPr>
          <w:p>
            <w:pPr>
              <w:jc w:val="left"/>
            </w:pPr>
            <w:r>
              <w:rPr>
                <w:sz w:val="16"/>
                <w:szCs w:val="16"/>
              </w:rPr>
              <w:t xml:space="preserve">StorageV2 Standard_ZRS with hierarchical namespace, container lake, soft delete 14 d; nightly Parquet export of the dw views (writer planned)</w:t>
            </w:r>
          </w:p>
        </w:tc>
        <w:tc>
          <w:tcPr>
            <w:tcW w:type="dxa" w:w="2509"/>
            <w:tcMar>
              <w:top w:type="dxa" w:w="60"/>
              <w:left w:type="dxa" w:w="80"/>
              <w:bottom w:type="dxa" w:w="60"/>
              <w:right w:type="dxa" w:w="80"/>
            </w:tcMar>
          </w:tcPr>
          <w:p>
            <w:pPr>
              <w:jc w:val="left"/>
            </w:pPr>
            <w:r>
              <w:rPr>
                <w:sz w:val="16"/>
                <w:szCs w:val="16"/>
              </w:rPr>
              <w:t xml:space="preserve">1</w:t>
            </w:r>
          </w:p>
        </w:tc>
        <w:tc>
          <w:tcPr>
            <w:tcW w:type="dxa" w:w="2933"/>
            <w:tcMar>
              <w:top w:type="dxa" w:w="60"/>
              <w:left w:type="dxa" w:w="80"/>
              <w:bottom w:type="dxa" w:w="60"/>
              <w:right w:type="dxa" w:w="80"/>
            </w:tcMar>
          </w:tcPr>
          <w:p>
            <w:pPr>
              <w:jc w:val="left"/>
            </w:pPr>
            <w:r>
              <w:rPr>
                <w:sz w:val="16"/>
                <w:szCs w:val="16"/>
              </w:rPr>
              <w:t xml:space="preserve">BI and archived partitions are read from files, not from the live database</w:t>
            </w:r>
          </w:p>
        </w:tc>
        <w:tc>
          <w:tcPr>
            <w:tcW w:type="dxa" w:w="2933"/>
            <w:tcMar>
              <w:top w:type="dxa" w:w="60"/>
              <w:left w:type="dxa" w:w="80"/>
              <w:bottom w:type="dxa" w:w="60"/>
              <w:right w:type="dxa" w:w="80"/>
            </w:tcMar>
          </w:tcPr>
          <w:p>
            <w:pPr>
              <w:jc w:val="left"/>
            </w:pPr>
            <w:r>
              <w:rPr>
                <w:sz w:val="16"/>
                <w:szCs w:val="16"/>
              </w:rPr>
              <w:t xml:space="preserve">One lake per environment</w:t>
            </w:r>
          </w:p>
        </w:tc>
        <w:tc>
          <w:tcPr>
            <w:tcW w:type="dxa" w:w="359"/>
            <w:tcMar>
              <w:top w:type="dxa" w:w="60"/>
              <w:left w:type="dxa" w:w="80"/>
              <w:bottom w:type="dxa" w:w="60"/>
              <w:right w:type="dxa" w:w="80"/>
            </w:tcMar>
          </w:tcPr>
          <w:p>
            <w:pPr>
              <w:jc w:val="right"/>
            </w:pPr>
            <w:r>
              <w:rPr>
                <w:sz w:val="16"/>
                <w:szCs w:val="16"/>
              </w:rPr>
              <w:t xml:space="preserve">5</w:t>
            </w:r>
          </w:p>
        </w:tc>
      </w:tr>
      <w:tr>
        <w:tc>
          <w:tcPr>
            <w:tcW w:type="dxa" w:w="196"/>
            <w:tcMar>
              <w:top w:type="dxa" w:w="60"/>
              <w:left w:type="dxa" w:w="80"/>
              <w:bottom w:type="dxa" w:w="60"/>
              <w:right w:type="dxa" w:w="80"/>
            </w:tcMar>
          </w:tcPr>
          <w:p>
            <w:pPr>
              <w:jc w:val="left"/>
            </w:pPr>
            <w:r>
              <w:rPr>
                <w:sz w:val="16"/>
                <w:szCs w:val="16"/>
              </w:rPr>
              <w:t xml:space="preserve">11</w:t>
            </w:r>
          </w:p>
        </w:tc>
        <w:tc>
          <w:tcPr>
            <w:tcW w:type="dxa" w:w="2933"/>
            <w:tcMar>
              <w:top w:type="dxa" w:w="60"/>
              <w:left w:type="dxa" w:w="80"/>
              <w:bottom w:type="dxa" w:w="60"/>
              <w:right w:type="dxa" w:w="80"/>
            </w:tcMar>
          </w:tcPr>
          <w:p>
            <w:pPr>
              <w:jc w:val="left"/>
            </w:pPr>
            <w:r>
              <w:rPr>
                <w:sz w:val="16"/>
                <w:szCs w:val="16"/>
              </w:rPr>
              <w:t xml:space="preserve">Container Registry `craronprod`</w:t>
            </w:r>
          </w:p>
        </w:tc>
        <w:tc>
          <w:tcPr>
            <w:tcW w:type="dxa" w:w="2933"/>
            <w:tcMar>
              <w:top w:type="dxa" w:w="60"/>
              <w:left w:type="dxa" w:w="80"/>
              <w:bottom w:type="dxa" w:w="60"/>
              <w:right w:type="dxa" w:w="80"/>
            </w:tcMar>
          </w:tcPr>
          <w:p>
            <w:pPr>
              <w:jc w:val="left"/>
            </w:pPr>
            <w:r>
              <w:rPr>
                <w:sz w:val="16"/>
                <w:szCs w:val="16"/>
              </w:rPr>
              <w:t xml:space="preserve">Premium, zone-redundant, 500 GiB included, untagged manifests purged after 30 days</w:t>
            </w:r>
          </w:p>
        </w:tc>
        <w:tc>
          <w:tcPr>
            <w:tcW w:type="dxa" w:w="2509"/>
            <w:tcMar>
              <w:top w:type="dxa" w:w="60"/>
              <w:left w:type="dxa" w:w="80"/>
              <w:bottom w:type="dxa" w:w="60"/>
              <w:right w:type="dxa" w:w="80"/>
            </w:tcMar>
          </w:tcPr>
          <w:p>
            <w:pPr>
              <w:jc w:val="left"/>
            </w:pPr>
            <w:r>
              <w:rPr>
                <w:sz w:val="16"/>
                <w:szCs w:val="16"/>
              </w:rPr>
              <w:t xml:space="preserve">1 (+1 geo-replica in DR)</w:t>
            </w:r>
          </w:p>
        </w:tc>
        <w:tc>
          <w:tcPr>
            <w:tcW w:type="dxa" w:w="2933"/>
            <w:tcMar>
              <w:top w:type="dxa" w:w="60"/>
              <w:left w:type="dxa" w:w="80"/>
              <w:bottom w:type="dxa" w:w="60"/>
              <w:right w:type="dxa" w:w="80"/>
            </w:tcMar>
          </w:tcPr>
          <w:p>
            <w:pPr>
              <w:jc w:val="left"/>
            </w:pPr>
            <w:r>
              <w:rPr>
                <w:sz w:val="16"/>
                <w:szCs w:val="16"/>
              </w:rPr>
              <w:t xml:space="preserve">Only Premium is zone-redundant and can geo-replicate so image pulls survive a region loss</w:t>
            </w:r>
          </w:p>
        </w:tc>
        <w:tc>
          <w:tcPr>
            <w:tcW w:type="dxa" w:w="2933"/>
            <w:tcMar>
              <w:top w:type="dxa" w:w="60"/>
              <w:left w:type="dxa" w:w="80"/>
              <w:bottom w:type="dxa" w:w="60"/>
              <w:right w:type="dxa" w:w="80"/>
            </w:tcMar>
          </w:tcPr>
          <w:p>
            <w:pPr>
              <w:jc w:val="left"/>
            </w:pPr>
            <w:r>
              <w:rPr>
                <w:sz w:val="16"/>
                <w:szCs w:val="16"/>
              </w:rPr>
              <w:t xml:space="preserve">One registry per subscription is enough; images are pulled by digest</w:t>
            </w:r>
          </w:p>
        </w:tc>
        <w:tc>
          <w:tcPr>
            <w:tcW w:type="dxa" w:w="359"/>
            <w:tcMar>
              <w:top w:type="dxa" w:w="60"/>
              <w:left w:type="dxa" w:w="80"/>
              <w:bottom w:type="dxa" w:w="60"/>
              <w:right w:type="dxa" w:w="80"/>
            </w:tcMar>
          </w:tcPr>
          <w:p>
            <w:pPr>
              <w:jc w:val="right"/>
            </w:pPr>
            <w:r>
              <w:rPr>
                <w:sz w:val="16"/>
                <w:szCs w:val="16"/>
              </w:rPr>
              <w:t xml:space="preserve">51</w:t>
            </w:r>
          </w:p>
        </w:tc>
      </w:tr>
      <w:tr>
        <w:tc>
          <w:tcPr>
            <w:tcW w:type="dxa" w:w="196"/>
            <w:tcMar>
              <w:top w:type="dxa" w:w="60"/>
              <w:left w:type="dxa" w:w="80"/>
              <w:bottom w:type="dxa" w:w="60"/>
              <w:right w:type="dxa" w:w="80"/>
            </w:tcMar>
          </w:tcPr>
          <w:p>
            <w:pPr>
              <w:jc w:val="left"/>
            </w:pPr>
            <w:r>
              <w:rPr>
                <w:sz w:val="16"/>
                <w:szCs w:val="16"/>
              </w:rPr>
              <w:t xml:space="preserve">12</w:t>
            </w:r>
          </w:p>
        </w:tc>
        <w:tc>
          <w:tcPr>
            <w:tcW w:type="dxa" w:w="2933"/>
            <w:tcMar>
              <w:top w:type="dxa" w:w="60"/>
              <w:left w:type="dxa" w:w="80"/>
              <w:bottom w:type="dxa" w:w="60"/>
              <w:right w:type="dxa" w:w="80"/>
            </w:tcMar>
          </w:tcPr>
          <w:p>
            <w:pPr>
              <w:jc w:val="left"/>
            </w:pPr>
            <w:r>
              <w:rPr>
                <w:sz w:val="16"/>
                <w:szCs w:val="16"/>
              </w:rPr>
              <w:t xml:space="preserve">Key Vault `kv-aron-prod`</w:t>
            </w:r>
          </w:p>
        </w:tc>
        <w:tc>
          <w:tcPr>
            <w:tcW w:type="dxa" w:w="2933"/>
            <w:tcMar>
              <w:top w:type="dxa" w:w="60"/>
              <w:left w:type="dxa" w:w="80"/>
              <w:bottom w:type="dxa" w:w="60"/>
              <w:right w:type="dxa" w:w="80"/>
            </w:tcMar>
          </w:tcPr>
          <w:p>
            <w:pPr>
              <w:jc w:val="left"/>
            </w:pPr>
            <w:r>
              <w:rPr>
                <w:sz w:val="16"/>
                <w:szCs w:val="16"/>
              </w:rPr>
              <w:t xml:space="preserve">Standard, RBAC, soft delete 90 d, purge protection on; secrets referenced by the Container Apps; JWT signing key as a secret (signing vault with a non-exportable key designed)</w:t>
            </w:r>
          </w:p>
        </w:tc>
        <w:tc>
          <w:tcPr>
            <w:tcW w:type="dxa" w:w="2509"/>
            <w:tcMar>
              <w:top w:type="dxa" w:w="60"/>
              <w:left w:type="dxa" w:w="80"/>
              <w:bottom w:type="dxa" w:w="60"/>
              <w:right w:type="dxa" w:w="80"/>
            </w:tcMar>
          </w:tcPr>
          <w:p>
            <w:pPr>
              <w:jc w:val="left"/>
            </w:pPr>
            <w:r>
              <w:rPr>
                <w:sz w:val="16"/>
                <w:szCs w:val="16"/>
              </w:rPr>
              <w:t xml:space="preserve">1 (+1 signing vault designed)</w:t>
            </w:r>
          </w:p>
        </w:tc>
        <w:tc>
          <w:tcPr>
            <w:tcW w:type="dxa" w:w="2933"/>
            <w:tcMar>
              <w:top w:type="dxa" w:w="60"/>
              <w:left w:type="dxa" w:w="80"/>
              <w:bottom w:type="dxa" w:w="60"/>
              <w:right w:type="dxa" w:w="80"/>
            </w:tcMar>
          </w:tcPr>
          <w:p>
            <w:pPr>
              <w:jc w:val="left"/>
            </w:pPr>
            <w:r>
              <w:rPr>
                <w:sz w:val="16"/>
                <w:szCs w:val="16"/>
              </w:rPr>
              <w:t xml:space="preserve">Purge protection makes a wrong delete recoverable for 90 days; references keep vault clients out of the code</w:t>
            </w:r>
          </w:p>
        </w:tc>
        <w:tc>
          <w:tcPr>
            <w:tcW w:type="dxa" w:w="2933"/>
            <w:tcMar>
              <w:top w:type="dxa" w:w="60"/>
              <w:left w:type="dxa" w:w="80"/>
              <w:bottom w:type="dxa" w:w="60"/>
              <w:right w:type="dxa" w:w="80"/>
            </w:tcMar>
          </w:tcPr>
          <w:p>
            <w:pPr>
              <w:jc w:val="left"/>
            </w:pPr>
            <w:r>
              <w:rPr>
                <w:sz w:val="16"/>
                <w:szCs w:val="16"/>
              </w:rPr>
              <w:t xml:space="preserve">One vault per environment; the signing key gets its own later</w:t>
            </w:r>
          </w:p>
        </w:tc>
        <w:tc>
          <w:tcPr>
            <w:tcW w:type="dxa" w:w="359"/>
            <w:tcMar>
              <w:top w:type="dxa" w:w="60"/>
              <w:left w:type="dxa" w:w="80"/>
              <w:bottom w:type="dxa" w:w="60"/>
              <w:right w:type="dxa" w:w="80"/>
            </w:tcMar>
          </w:tcPr>
          <w:p>
            <w:pPr>
              <w:jc w:val="right"/>
            </w:pPr>
            <w:r>
              <w:rPr>
                <w:sz w:val="16"/>
                <w:szCs w:val="16"/>
              </w:rPr>
              <w:t xml:space="preserve">6</w:t>
            </w:r>
          </w:p>
        </w:tc>
      </w:tr>
      <w:tr>
        <w:tc>
          <w:tcPr>
            <w:tcW w:type="dxa" w:w="196"/>
            <w:tcMar>
              <w:top w:type="dxa" w:w="60"/>
              <w:left w:type="dxa" w:w="80"/>
              <w:bottom w:type="dxa" w:w="60"/>
              <w:right w:type="dxa" w:w="80"/>
            </w:tcMar>
          </w:tcPr>
          <w:p>
            <w:pPr>
              <w:jc w:val="left"/>
            </w:pPr>
            <w:r>
              <w:rPr>
                <w:sz w:val="16"/>
                <w:szCs w:val="16"/>
              </w:rPr>
              <w:t xml:space="preserve">13</w:t>
            </w:r>
          </w:p>
        </w:tc>
        <w:tc>
          <w:tcPr>
            <w:tcW w:type="dxa" w:w="2933"/>
            <w:tcMar>
              <w:top w:type="dxa" w:w="60"/>
              <w:left w:type="dxa" w:w="80"/>
              <w:bottom w:type="dxa" w:w="60"/>
              <w:right w:type="dxa" w:w="80"/>
            </w:tcMar>
          </w:tcPr>
          <w:p>
            <w:pPr>
              <w:jc w:val="left"/>
            </w:pPr>
            <w:r>
              <w:rPr>
                <w:sz w:val="16"/>
                <w:szCs w:val="16"/>
              </w:rPr>
              <w:t xml:space="preserve">Log Analytics `log-aron-prod` + Application Insights `appi-aron-prod` + alerts + workbook</w:t>
            </w:r>
          </w:p>
        </w:tc>
        <w:tc>
          <w:tcPr>
            <w:tcW w:type="dxa" w:w="2933"/>
            <w:tcMar>
              <w:top w:type="dxa" w:w="60"/>
              <w:left w:type="dxa" w:w="80"/>
              <w:bottom w:type="dxa" w:w="60"/>
              <w:right w:type="dxa" w:w="80"/>
            </w:tcMar>
          </w:tcPr>
          <w:p>
            <w:pPr>
              <w:jc w:val="left"/>
            </w:pPr>
            <w:r>
              <w:rPr>
                <w:sz w:val="16"/>
                <w:szCs w:val="16"/>
              </w:rPr>
              <w:t xml:space="preserve">PerGB2018, 90-day retention, 8 GB/day cap; diagnostics from every service; Java agent traces; 5 log-search alerts, PostgreSQL and app metric alerts, resource-health alerts, e-mail action group; one workbook</w:t>
            </w:r>
          </w:p>
        </w:tc>
        <w:tc>
          <w:tcPr>
            <w:tcW w:type="dxa" w:w="2509"/>
            <w:tcMar>
              <w:top w:type="dxa" w:w="60"/>
              <w:left w:type="dxa" w:w="80"/>
              <w:bottom w:type="dxa" w:w="60"/>
              <w:right w:type="dxa" w:w="80"/>
            </w:tcMar>
          </w:tcPr>
          <w:p>
            <w:pPr>
              <w:jc w:val="left"/>
            </w:pPr>
            <w:r>
              <w:rPr>
                <w:sz w:val="16"/>
                <w:szCs w:val="16"/>
              </w:rPr>
              <w:t xml:space="preserve">1 workspace, 1 App Insights, about 15 alert rules, 1 workbook, 1 action group</w:t>
            </w:r>
          </w:p>
        </w:tc>
        <w:tc>
          <w:tcPr>
            <w:tcW w:type="dxa" w:w="2933"/>
            <w:tcMar>
              <w:top w:type="dxa" w:w="60"/>
              <w:left w:type="dxa" w:w="80"/>
              <w:bottom w:type="dxa" w:w="60"/>
              <w:right w:type="dxa" w:w="80"/>
            </w:tcMar>
          </w:tcPr>
          <w:p>
            <w:pPr>
              <w:jc w:val="left"/>
            </w:pPr>
            <w:r>
              <w:rPr>
                <w:sz w:val="16"/>
                <w:szCs w:val="16"/>
              </w:rPr>
              <w:t xml:space="preserve">90 days covers a quarter-end investigation; the daily cap bounds the bill if a logging bug appears</w:t>
            </w:r>
          </w:p>
        </w:tc>
        <w:tc>
          <w:tcPr>
            <w:tcW w:type="dxa" w:w="2933"/>
            <w:tcMar>
              <w:top w:type="dxa" w:w="60"/>
              <w:left w:type="dxa" w:w="80"/>
              <w:bottom w:type="dxa" w:w="60"/>
              <w:right w:type="dxa" w:w="80"/>
            </w:tcMar>
          </w:tcPr>
          <w:p>
            <w:pPr>
              <w:jc w:val="left"/>
            </w:pPr>
            <w:r>
              <w:rPr>
                <w:sz w:val="16"/>
                <w:szCs w:val="16"/>
              </w:rPr>
              <w:t xml:space="preserve">One workspace keeps queries simple; a second (sync) workspace is designed</w:t>
            </w:r>
          </w:p>
        </w:tc>
        <w:tc>
          <w:tcPr>
            <w:tcW w:type="dxa" w:w="359"/>
            <w:tcMar>
              <w:top w:type="dxa" w:w="60"/>
              <w:left w:type="dxa" w:w="80"/>
              <w:bottom w:type="dxa" w:w="60"/>
              <w:right w:type="dxa" w:w="80"/>
            </w:tcMar>
          </w:tcPr>
          <w:p>
            <w:pPr>
              <w:jc w:val="right"/>
            </w:pPr>
            <w:r>
              <w:rPr>
                <w:sz w:val="16"/>
                <w:szCs w:val="16"/>
              </w:rPr>
              <w:t xml:space="preserve">552</w:t>
            </w:r>
          </w:p>
        </w:tc>
      </w:tr>
      <w:tr>
        <w:tc>
          <w:tcPr>
            <w:tcW w:type="dxa" w:w="196"/>
            <w:tcMar>
              <w:top w:type="dxa" w:w="60"/>
              <w:left w:type="dxa" w:w="80"/>
              <w:bottom w:type="dxa" w:w="60"/>
              <w:right w:type="dxa" w:w="80"/>
            </w:tcMar>
          </w:tcPr>
          <w:p>
            <w:pPr>
              <w:jc w:val="left"/>
            </w:pPr>
            <w:r>
              <w:rPr>
                <w:sz w:val="16"/>
                <w:szCs w:val="16"/>
              </w:rPr>
              <w:t xml:space="preserve">14</w:t>
            </w:r>
          </w:p>
        </w:tc>
        <w:tc>
          <w:tcPr>
            <w:tcW w:type="dxa" w:w="2933"/>
            <w:tcMar>
              <w:top w:type="dxa" w:w="60"/>
              <w:left w:type="dxa" w:w="80"/>
              <w:bottom w:type="dxa" w:w="60"/>
              <w:right w:type="dxa" w:w="80"/>
            </w:tcMar>
          </w:tcPr>
          <w:p>
            <w:pPr>
              <w:jc w:val="left"/>
            </w:pPr>
            <w:r>
              <w:rPr>
                <w:sz w:val="16"/>
                <w:szCs w:val="16"/>
              </w:rPr>
              <w:t xml:space="preserve">Event Grid system topic `evgt-aron-prod-storage`</w:t>
            </w:r>
          </w:p>
        </w:tc>
        <w:tc>
          <w:tcPr>
            <w:tcW w:type="dxa" w:w="2933"/>
            <w:tcMar>
              <w:top w:type="dxa" w:w="60"/>
              <w:left w:type="dxa" w:w="80"/>
              <w:bottom w:type="dxa" w:w="60"/>
              <w:right w:type="dxa" w:w="80"/>
            </w:tcMar>
          </w:tcPr>
          <w:p>
            <w:pPr>
              <w:jc w:val="left"/>
            </w:pPr>
            <w:r>
              <w:rPr>
                <w:sz w:val="16"/>
                <w:szCs w:val="16"/>
              </w:rPr>
              <w:t xml:space="preserve">BlobCreated on media/photos to the queue, 30 attempts, event TTL 24 h</w:t>
            </w:r>
          </w:p>
        </w:tc>
        <w:tc>
          <w:tcPr>
            <w:tcW w:type="dxa" w:w="2509"/>
            <w:tcMar>
              <w:top w:type="dxa" w:w="60"/>
              <w:left w:type="dxa" w:w="80"/>
              <w:bottom w:type="dxa" w:w="60"/>
              <w:right w:type="dxa" w:w="80"/>
            </w:tcMar>
          </w:tcPr>
          <w:p>
            <w:pPr>
              <w:jc w:val="left"/>
            </w:pPr>
            <w:r>
              <w:rPr>
                <w:sz w:val="16"/>
                <w:szCs w:val="16"/>
              </w:rPr>
              <w:t xml:space="preserve">1</w:t>
            </w:r>
          </w:p>
        </w:tc>
        <w:tc>
          <w:tcPr>
            <w:tcW w:type="dxa" w:w="2933"/>
            <w:tcMar>
              <w:top w:type="dxa" w:w="60"/>
              <w:left w:type="dxa" w:w="80"/>
              <w:bottom w:type="dxa" w:w="60"/>
              <w:right w:type="dxa" w:w="80"/>
            </w:tcMar>
          </w:tcPr>
          <w:p>
            <w:pPr>
              <w:jc w:val="left"/>
            </w:pPr>
            <w:r>
              <w:rPr>
                <w:sz w:val="16"/>
                <w:szCs w:val="16"/>
              </w:rPr>
              <w:t xml:space="preserve">At-least-once delivery with an idempotent consumer; no Service Bus needed</w:t>
            </w:r>
          </w:p>
        </w:tc>
        <w:tc>
          <w:tcPr>
            <w:tcW w:type="dxa" w:w="2933"/>
            <w:tcMar>
              <w:top w:type="dxa" w:w="60"/>
              <w:left w:type="dxa" w:w="80"/>
              <w:bottom w:type="dxa" w:w="60"/>
              <w:right w:type="dxa" w:w="80"/>
            </w:tcMar>
          </w:tcPr>
          <w:p>
            <w:pPr>
              <w:jc w:val="left"/>
            </w:pPr>
            <w:r>
              <w:rPr>
                <w:sz w:val="16"/>
                <w:szCs w:val="16"/>
              </w:rPr>
              <w:t xml:space="preserve">One topic per storage account</w:t>
            </w:r>
          </w:p>
        </w:tc>
        <w:tc>
          <w:tcPr>
            <w:tcW w:type="dxa" w:w="359"/>
            <w:tcMar>
              <w:top w:type="dxa" w:w="60"/>
              <w:left w:type="dxa" w:w="80"/>
              <w:bottom w:type="dxa" w:w="60"/>
              <w:right w:type="dxa" w:w="80"/>
            </w:tcMar>
          </w:tcPr>
          <w:p>
            <w:pPr>
              <w:jc w:val="right"/>
            </w:pPr>
            <w:r>
              <w:rPr>
                <w:sz w:val="16"/>
                <w:szCs w:val="16"/>
              </w:rPr>
              <w:t xml:space="preserve">3</w:t>
            </w:r>
          </w:p>
        </w:tc>
      </w:tr>
      <w:tr>
        <w:tc>
          <w:tcPr>
            <w:tcW w:type="dxa" w:w="196"/>
            <w:tcMar>
              <w:top w:type="dxa" w:w="60"/>
              <w:left w:type="dxa" w:w="80"/>
              <w:bottom w:type="dxa" w:w="60"/>
              <w:right w:type="dxa" w:w="80"/>
            </w:tcMar>
          </w:tcPr>
          <w:p>
            <w:pPr>
              <w:jc w:val="left"/>
            </w:pPr>
            <w:r>
              <w:rPr>
                <w:sz w:val="16"/>
                <w:szCs w:val="16"/>
              </w:rPr>
              <w:t xml:space="preserve">15</w:t>
            </w:r>
          </w:p>
        </w:tc>
        <w:tc>
          <w:tcPr>
            <w:tcW w:type="dxa" w:w="2933"/>
            <w:tcMar>
              <w:top w:type="dxa" w:w="60"/>
              <w:left w:type="dxa" w:w="80"/>
              <w:bottom w:type="dxa" w:w="60"/>
              <w:right w:type="dxa" w:w="80"/>
            </w:tcMar>
          </w:tcPr>
          <w:p>
            <w:pPr>
              <w:jc w:val="left"/>
            </w:pPr>
            <w:r>
              <w:rPr>
                <w:sz w:val="16"/>
                <w:szCs w:val="16"/>
              </w:rPr>
              <w:t xml:space="preserve">VNet `vnet-aron-prod`, 2 NSGs, private DNS zone (+ 3 private endpoints planned)</w:t>
            </w:r>
          </w:p>
        </w:tc>
        <w:tc>
          <w:tcPr>
            <w:tcW w:type="dxa" w:w="2933"/>
            <w:tcMar>
              <w:top w:type="dxa" w:w="60"/>
              <w:left w:type="dxa" w:w="80"/>
              <w:bottom w:type="dxa" w:w="60"/>
              <w:right w:type="dxa" w:w="80"/>
            </w:tcMar>
          </w:tcPr>
          <w:p>
            <w:pPr>
              <w:jc w:val="left"/>
            </w:pPr>
            <w:r>
              <w:rPr>
                <w:sz w:val="16"/>
                <w:szCs w:val="16"/>
              </w:rPr>
              <w:t xml:space="preserve">10.40.0.0/16; snet-aca /23 (Container Apps); snet-pg /28 (PostgreSQL) with NSG allow 5432/6432 from snet-aca and subnet-internal; private DNS for PostgreSQL</w:t>
            </w:r>
          </w:p>
        </w:tc>
        <w:tc>
          <w:tcPr>
            <w:tcW w:type="dxa" w:w="2509"/>
            <w:tcMar>
              <w:top w:type="dxa" w:w="60"/>
              <w:left w:type="dxa" w:w="80"/>
              <w:bottom w:type="dxa" w:w="60"/>
              <w:right w:type="dxa" w:w="80"/>
            </w:tcMar>
          </w:tcPr>
          <w:p>
            <w:pPr>
              <w:jc w:val="left"/>
            </w:pPr>
            <w:r>
              <w:rPr>
                <w:sz w:val="16"/>
                <w:szCs w:val="16"/>
              </w:rPr>
              <w:t xml:space="preserve">1 VNet, 2 subnets (+1 planned), 2 NSGs, 1 DNS zone, 4 managed identities</w:t>
            </w:r>
          </w:p>
        </w:tc>
        <w:tc>
          <w:tcPr>
            <w:tcW w:type="dxa" w:w="2933"/>
            <w:tcMar>
              <w:top w:type="dxa" w:w="60"/>
              <w:left w:type="dxa" w:w="80"/>
              <w:bottom w:type="dxa" w:w="60"/>
              <w:right w:type="dxa" w:w="80"/>
            </w:tcMar>
          </w:tcPr>
          <w:p>
            <w:pPr>
              <w:jc w:val="left"/>
            </w:pPr>
            <w:r>
              <w:rPr>
                <w:sz w:val="16"/>
                <w:szCs w:val="16"/>
              </w:rPr>
              <w:t xml:space="preserve">A /23 holds up to 250 replica addresses during a revision swap; the database subnet is reachable only from the app subnet</w:t>
            </w:r>
          </w:p>
        </w:tc>
        <w:tc>
          <w:tcPr>
            <w:tcW w:type="dxa" w:w="2933"/>
            <w:tcMar>
              <w:top w:type="dxa" w:w="60"/>
              <w:left w:type="dxa" w:w="80"/>
              <w:bottom w:type="dxa" w:w="60"/>
              <w:right w:type="dxa" w:w="80"/>
            </w:tcMar>
          </w:tcPr>
          <w:p>
            <w:pPr>
              <w:jc w:val="left"/>
            </w:pPr>
            <w:r>
              <w:rPr>
                <w:sz w:val="16"/>
                <w:szCs w:val="16"/>
              </w:rPr>
              <w:t xml:space="preserve">One network per environment with non-overlapping ranges so environments can be peered later</w:t>
            </w:r>
          </w:p>
        </w:tc>
        <w:tc>
          <w:tcPr>
            <w:tcW w:type="dxa" w:w="359"/>
            <w:tcMar>
              <w:top w:type="dxa" w:w="60"/>
              <w:left w:type="dxa" w:w="80"/>
              <w:bottom w:type="dxa" w:w="60"/>
              <w:right w:type="dxa" w:w="80"/>
            </w:tcMar>
          </w:tcPr>
          <w:p>
            <w:pPr>
              <w:jc w:val="right"/>
            </w:pPr>
            <w:r>
              <w:rPr>
                <w:sz w:val="16"/>
                <w:szCs w:val="16"/>
              </w:rPr>
              <w:t xml:space="preserve">26</w:t>
            </w:r>
          </w:p>
        </w:tc>
      </w:tr>
      <w:tr>
        <w:tc>
          <w:tcPr>
            <w:tcW w:type="dxa" w:w="196"/>
            <w:tcMar>
              <w:top w:type="dxa" w:w="60"/>
              <w:left w:type="dxa" w:w="80"/>
              <w:bottom w:type="dxa" w:w="60"/>
              <w:right w:type="dxa" w:w="80"/>
            </w:tcMar>
          </w:tcPr>
          <w:p>
            <w:pPr>
              <w:jc w:val="left"/>
            </w:pPr>
            <w:r>
              <w:rPr>
                <w:sz w:val="16"/>
                <w:szCs w:val="16"/>
              </w:rPr>
              <w:t xml:space="preserve">16</w:t>
            </w:r>
          </w:p>
        </w:tc>
        <w:tc>
          <w:tcPr>
            <w:tcW w:type="dxa" w:w="2933"/>
            <w:tcMar>
              <w:top w:type="dxa" w:w="60"/>
              <w:left w:type="dxa" w:w="80"/>
              <w:bottom w:type="dxa" w:w="60"/>
              <w:right w:type="dxa" w:w="80"/>
            </w:tcMar>
          </w:tcPr>
          <w:p>
            <w:pPr>
              <w:jc w:val="left"/>
            </w:pPr>
            <w:r>
              <w:rPr>
                <w:sz w:val="16"/>
                <w:szCs w:val="16"/>
              </w:rPr>
              <w:t xml:space="preserve">Budget `budget-aron-prod`, Cost Management, tags, GitHub OIDC deploy identity</w:t>
            </w:r>
          </w:p>
        </w:tc>
        <w:tc>
          <w:tcPr>
            <w:tcW w:type="dxa" w:w="2933"/>
            <w:tcMar>
              <w:top w:type="dxa" w:w="60"/>
              <w:left w:type="dxa" w:w="80"/>
              <w:bottom w:type="dxa" w:w="60"/>
              <w:right w:type="dxa" w:w="80"/>
            </w:tcMar>
          </w:tcPr>
          <w:p>
            <w:pPr>
              <w:jc w:val="left"/>
            </w:pPr>
            <w:r>
              <w:rPr>
                <w:sz w:val="16"/>
                <w:szCs w:val="16"/>
              </w:rPr>
              <w:t xml:space="preserve">USD 7,000 (raise with DR and buffer) with alerts at 50/90/100 % actual and 100 % forecast; daily cost report</w:t>
            </w:r>
          </w:p>
        </w:tc>
        <w:tc>
          <w:tcPr>
            <w:tcW w:type="dxa" w:w="2509"/>
            <w:tcMar>
              <w:top w:type="dxa" w:w="60"/>
              <w:left w:type="dxa" w:w="80"/>
              <w:bottom w:type="dxa" w:w="60"/>
              <w:right w:type="dxa" w:w="80"/>
            </w:tcMar>
          </w:tcPr>
          <w:p>
            <w:pPr>
              <w:jc w:val="left"/>
            </w:pPr>
            <w:r>
              <w:rPr>
                <w:sz w:val="16"/>
                <w:szCs w:val="16"/>
              </w:rPr>
              <w:t xml:space="preserve">1</w:t>
            </w:r>
          </w:p>
        </w:tc>
        <w:tc>
          <w:tcPr>
            <w:tcW w:type="dxa" w:w="2933"/>
            <w:tcMar>
              <w:top w:type="dxa" w:w="60"/>
              <w:left w:type="dxa" w:w="80"/>
              <w:bottom w:type="dxa" w:w="60"/>
              <w:right w:type="dxa" w:w="80"/>
            </w:tcMar>
          </w:tcPr>
          <w:p>
            <w:pPr>
              <w:jc w:val="left"/>
            </w:pPr>
            <w:r>
              <w:rPr>
                <w:sz w:val="16"/>
                <w:szCs w:val="16"/>
              </w:rPr>
              <w:t xml:space="preserve">An early warning independent of any alert rule</w:t>
            </w:r>
          </w:p>
        </w:tc>
        <w:tc>
          <w:tcPr>
            <w:tcW w:type="dxa" w:w="2933"/>
            <w:tcMar>
              <w:top w:type="dxa" w:w="60"/>
              <w:left w:type="dxa" w:w="80"/>
              <w:bottom w:type="dxa" w:w="60"/>
              <w:right w:type="dxa" w:w="80"/>
            </w:tcMar>
          </w:tcPr>
          <w:p>
            <w:pPr>
              <w:jc w:val="left"/>
            </w:pPr>
            <w:r>
              <w:rPr>
                <w:sz w:val="16"/>
                <w:szCs w:val="16"/>
              </w:rPr>
              <w:t xml:space="preserve">One budget per environment</w:t>
            </w:r>
          </w:p>
        </w:tc>
        <w:tc>
          <w:tcPr>
            <w:tcW w:type="dxa" w:w="359"/>
            <w:tcMar>
              <w:top w:type="dxa" w:w="60"/>
              <w:left w:type="dxa" w:w="80"/>
              <w:bottom w:type="dxa" w:w="60"/>
              <w:right w:type="dxa" w:w="80"/>
            </w:tcMar>
          </w:tcPr>
          <w:p>
            <w:pPr>
              <w:jc w:val="right"/>
            </w:pPr>
            <w:r>
              <w:rPr>
                <w:sz w:val="16"/>
                <w:szCs w:val="16"/>
              </w:rPr>
              <w:t xml:space="preserve">0</w:t>
            </w:r>
          </w:p>
        </w:tc>
      </w:tr>
    </w:tbl>
    <w:p>
      <w:pPr>
        <w:spacing w:after="120"/>
      </w:pPr>
    </w:p>
    <w:p>
      <w:pPr>
        <w:spacing w:after="120"/>
      </w:pPr>
      <w:r>
        <w:rPr>
          <w:b/>
          <w:bCs/>
        </w:rPr>
        <w:t xml:space="preserve">Core total: about USD 5,490 a month</w:t>
      </w:r>
      <w:r>
        <w:t xml:space="preserve"> (list prices, 730-hour month, Southeast Asia). Includes about USD 28 for items designed but not yet in a template (private endpoints, signing vault, export jobs).</w:t>
      </w:r>
    </w:p>
    <w:p>
      <w:pPr>
        <w:pStyle w:val="Heading3"/>
        <w:spacing w:after="120" w:before="200"/>
      </w:pPr>
      <w:r>
        <w:t xml:space="preserve">3.1 Disaster-recovery tier (designed; built before rollout wave 2)</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277"/>
        <w:gridCol w:w="2959"/>
        <w:gridCol w:w="4161"/>
        <w:gridCol w:w="925"/>
        <w:gridCol w:w="3098"/>
        <w:gridCol w:w="2867"/>
        <w:gridCol w:w="509"/>
      </w:tblGrid>
      <w:tr>
        <w:trPr>
          <w:tblHeader/>
        </w:trPr>
        <w:tc>
          <w:tcPr>
            <w:tcW w:type="dxa" w:w="277"/>
            <w:shd w:fill="E8EEF7" w:color="auto" w:val="clear"/>
            <w:tcMar>
              <w:top w:type="dxa" w:w="60"/>
              <w:left w:type="dxa" w:w="80"/>
              <w:bottom w:type="dxa" w:w="60"/>
              <w:right w:type="dxa" w:w="80"/>
            </w:tcMar>
          </w:tcPr>
          <w:p>
            <w:pPr>
              <w:jc w:val="left"/>
            </w:pPr>
            <w:r>
              <w:rPr>
                <w:b/>
                <w:bCs/>
                <w:sz w:val="16"/>
                <w:szCs w:val="16"/>
              </w:rPr>
              <w:t xml:space="preserve">#</w:t>
            </w:r>
          </w:p>
        </w:tc>
        <w:tc>
          <w:tcPr>
            <w:tcW w:type="dxa" w:w="2959"/>
            <w:shd w:fill="E8EEF7" w:color="auto" w:val="clear"/>
            <w:tcMar>
              <w:top w:type="dxa" w:w="60"/>
              <w:left w:type="dxa" w:w="80"/>
              <w:bottom w:type="dxa" w:w="60"/>
              <w:right w:type="dxa" w:w="80"/>
            </w:tcMar>
          </w:tcPr>
          <w:p>
            <w:pPr>
              <w:jc w:val="left"/>
            </w:pPr>
            <w:r>
              <w:rPr>
                <w:b/>
                <w:bCs/>
                <w:sz w:val="16"/>
                <w:szCs w:val="16"/>
              </w:rPr>
              <w:t xml:space="preserve">Resource</w:t>
            </w:r>
          </w:p>
        </w:tc>
        <w:tc>
          <w:tcPr>
            <w:tcW w:type="dxa" w:w="4161"/>
            <w:shd w:fill="E8EEF7" w:color="auto" w:val="clear"/>
            <w:tcMar>
              <w:top w:type="dxa" w:w="60"/>
              <w:left w:type="dxa" w:w="80"/>
              <w:bottom w:type="dxa" w:w="60"/>
              <w:right w:type="dxa" w:w="80"/>
            </w:tcMar>
          </w:tcPr>
          <w:p>
            <w:pPr>
              <w:jc w:val="left"/>
            </w:pPr>
            <w:r>
              <w:rPr>
                <w:b/>
                <w:bCs/>
                <w:sz w:val="16"/>
                <w:szCs w:val="16"/>
              </w:rPr>
              <w:t xml:space="preserve">Specification</w:t>
            </w:r>
          </w:p>
        </w:tc>
        <w:tc>
          <w:tcPr>
            <w:tcW w:type="dxa" w:w="925"/>
            <w:shd w:fill="E8EEF7" w:color="auto" w:val="clear"/>
            <w:tcMar>
              <w:top w:type="dxa" w:w="60"/>
              <w:left w:type="dxa" w:w="80"/>
              <w:bottom w:type="dxa" w:w="60"/>
              <w:right w:type="dxa" w:w="80"/>
            </w:tcMar>
          </w:tcPr>
          <w:p>
            <w:pPr>
              <w:jc w:val="left"/>
            </w:pPr>
            <w:r>
              <w:rPr>
                <w:b/>
                <w:bCs/>
                <w:sz w:val="16"/>
                <w:szCs w:val="16"/>
              </w:rPr>
              <w:t xml:space="preserve">Quantity</w:t>
            </w:r>
          </w:p>
        </w:tc>
        <w:tc>
          <w:tcPr>
            <w:tcW w:type="dxa" w:w="3098"/>
            <w:shd w:fill="E8EEF7" w:color="auto" w:val="clear"/>
            <w:tcMar>
              <w:top w:type="dxa" w:w="60"/>
              <w:left w:type="dxa" w:w="80"/>
              <w:bottom w:type="dxa" w:w="60"/>
              <w:right w:type="dxa" w:w="80"/>
            </w:tcMar>
          </w:tcPr>
          <w:p>
            <w:pPr>
              <w:jc w:val="left"/>
            </w:pPr>
            <w:r>
              <w:rPr>
                <w:b/>
                <w:bCs/>
                <w:sz w:val="16"/>
                <w:szCs w:val="16"/>
              </w:rPr>
              <w:t xml:space="preserve">Why this specification</w:t>
            </w:r>
          </w:p>
        </w:tc>
        <w:tc>
          <w:tcPr>
            <w:tcW w:type="dxa" w:w="2867"/>
            <w:shd w:fill="E8EEF7" w:color="auto" w:val="clear"/>
            <w:tcMar>
              <w:top w:type="dxa" w:w="60"/>
              <w:left w:type="dxa" w:w="80"/>
              <w:bottom w:type="dxa" w:w="60"/>
              <w:right w:type="dxa" w:w="80"/>
            </w:tcMar>
          </w:tcPr>
          <w:p>
            <w:pPr>
              <w:jc w:val="left"/>
            </w:pPr>
            <w:r>
              <w:rPr>
                <w:b/>
                <w:bCs/>
                <w:sz w:val="16"/>
                <w:szCs w:val="16"/>
              </w:rPr>
              <w:t xml:space="preserve">Why this quantity</w:t>
            </w:r>
          </w:p>
        </w:tc>
        <w:tc>
          <w:tcPr>
            <w:tcW w:type="dxa" w:w="509"/>
            <w:shd w:fill="E8EEF7" w:color="auto" w:val="clear"/>
            <w:tcMar>
              <w:top w:type="dxa" w:w="60"/>
              <w:left w:type="dxa" w:w="80"/>
              <w:bottom w:type="dxa" w:w="60"/>
              <w:right w:type="dxa" w:w="80"/>
            </w:tcMar>
          </w:tcPr>
          <w:p>
            <w:pPr>
              <w:jc w:val="right"/>
            </w:pPr>
            <w:r>
              <w:rPr>
                <w:b/>
                <w:bCs/>
                <w:sz w:val="16"/>
                <w:szCs w:val="16"/>
              </w:rPr>
              <w:t xml:space="preserve">USD / month</w:t>
            </w:r>
          </w:p>
        </w:tc>
      </w:tr>
      <w:tr>
        <w:tc>
          <w:tcPr>
            <w:tcW w:type="dxa" w:w="277"/>
            <w:tcMar>
              <w:top w:type="dxa" w:w="60"/>
              <w:left w:type="dxa" w:w="80"/>
              <w:bottom w:type="dxa" w:w="60"/>
              <w:right w:type="dxa" w:w="80"/>
            </w:tcMar>
          </w:tcPr>
          <w:p>
            <w:pPr>
              <w:jc w:val="left"/>
            </w:pPr>
            <w:r>
              <w:rPr>
                <w:sz w:val="16"/>
                <w:szCs w:val="16"/>
              </w:rPr>
              <w:t xml:space="preserve">1</w:t>
            </w:r>
          </w:p>
        </w:tc>
        <w:tc>
          <w:tcPr>
            <w:tcW w:type="dxa" w:w="2959"/>
            <w:tcMar>
              <w:top w:type="dxa" w:w="60"/>
              <w:left w:type="dxa" w:w="80"/>
              <w:bottom w:type="dxa" w:w="60"/>
              <w:right w:type="dxa" w:w="80"/>
            </w:tcMar>
          </w:tcPr>
          <w:p>
            <w:pPr>
              <w:jc w:val="left"/>
            </w:pPr>
            <w:r>
              <w:rPr>
                <w:sz w:val="16"/>
                <w:szCs w:val="16"/>
              </w:rPr>
              <w:t xml:space="preserve">PostgreSQL cross-region replica, East Asia</w:t>
            </w:r>
          </w:p>
        </w:tc>
        <w:tc>
          <w:tcPr>
            <w:tcW w:type="dxa" w:w="4161"/>
            <w:tcMar>
              <w:top w:type="dxa" w:w="60"/>
              <w:left w:type="dxa" w:w="80"/>
              <w:bottom w:type="dxa" w:w="60"/>
              <w:right w:type="dxa" w:w="80"/>
            </w:tcMar>
          </w:tcPr>
          <w:p>
            <w:pPr>
              <w:jc w:val="left"/>
            </w:pPr>
            <w:r>
              <w:rPr>
                <w:sz w:val="16"/>
                <w:szCs w:val="16"/>
              </w:rPr>
              <w:t xml:space="preserve">D8ds_v5, SSD v2 1,024 GiB (12,000 IOPS included), asynchronous; promoted only in a region outage</w:t>
            </w:r>
          </w:p>
        </w:tc>
        <w:tc>
          <w:tcPr>
            <w:tcW w:type="dxa" w:w="925"/>
            <w:tcMar>
              <w:top w:type="dxa" w:w="60"/>
              <w:left w:type="dxa" w:w="80"/>
              <w:bottom w:type="dxa" w:w="60"/>
              <w:right w:type="dxa" w:w="80"/>
            </w:tcMar>
          </w:tcPr>
          <w:p>
            <w:pPr>
              <w:jc w:val="left"/>
            </w:pPr>
            <w:r>
              <w:rPr>
                <w:sz w:val="16"/>
                <w:szCs w:val="16"/>
              </w:rPr>
              <w:t xml:space="preserve">1</w:t>
            </w:r>
          </w:p>
        </w:tc>
        <w:tc>
          <w:tcPr>
            <w:tcW w:type="dxa" w:w="3098"/>
            <w:tcMar>
              <w:top w:type="dxa" w:w="60"/>
              <w:left w:type="dxa" w:w="80"/>
              <w:bottom w:type="dxa" w:w="60"/>
              <w:right w:type="dxa" w:w="80"/>
            </w:tcMar>
          </w:tcPr>
          <w:p>
            <w:pPr>
              <w:jc w:val="left"/>
            </w:pPr>
            <w:r>
              <w:rPr>
                <w:sz w:val="16"/>
                <w:szCs w:val="16"/>
              </w:rPr>
              <w:t xml:space="preserve">Same SKU as the primary so replay keeps up with the 17:00 WAL burst</w:t>
            </w:r>
          </w:p>
        </w:tc>
        <w:tc>
          <w:tcPr>
            <w:tcW w:type="dxa" w:w="2867"/>
            <w:tcMar>
              <w:top w:type="dxa" w:w="60"/>
              <w:left w:type="dxa" w:w="80"/>
              <w:bottom w:type="dxa" w:w="60"/>
              <w:right w:type="dxa" w:w="80"/>
            </w:tcMar>
          </w:tcPr>
          <w:p>
            <w:pPr>
              <w:jc w:val="left"/>
            </w:pPr>
            <w:r>
              <w:rPr>
                <w:sz w:val="16"/>
                <w:szCs w:val="16"/>
              </w:rPr>
              <w:t xml:space="preserve">One replica gives RPO 15 min / RTO 4 h without a second writer</w:t>
            </w:r>
          </w:p>
        </w:tc>
        <w:tc>
          <w:tcPr>
            <w:tcW w:type="dxa" w:w="509"/>
            <w:tcMar>
              <w:top w:type="dxa" w:w="60"/>
              <w:left w:type="dxa" w:w="80"/>
              <w:bottom w:type="dxa" w:w="60"/>
              <w:right w:type="dxa" w:w="80"/>
            </w:tcMar>
          </w:tcPr>
          <w:p>
            <w:pPr>
              <w:jc w:val="right"/>
            </w:pPr>
            <w:r>
              <w:rPr>
                <w:sz w:val="16"/>
                <w:szCs w:val="16"/>
              </w:rPr>
              <w:t xml:space="preserve">939</w:t>
            </w:r>
          </w:p>
        </w:tc>
      </w:tr>
      <w:tr>
        <w:tc>
          <w:tcPr>
            <w:tcW w:type="dxa" w:w="277"/>
            <w:tcMar>
              <w:top w:type="dxa" w:w="60"/>
              <w:left w:type="dxa" w:w="80"/>
              <w:bottom w:type="dxa" w:w="60"/>
              <w:right w:type="dxa" w:w="80"/>
            </w:tcMar>
          </w:tcPr>
          <w:p>
            <w:pPr>
              <w:jc w:val="left"/>
            </w:pPr>
            <w:r>
              <w:rPr>
                <w:sz w:val="16"/>
                <w:szCs w:val="16"/>
              </w:rPr>
              <w:t xml:space="preserve">2</w:t>
            </w:r>
          </w:p>
        </w:tc>
        <w:tc>
          <w:tcPr>
            <w:tcW w:type="dxa" w:w="2959"/>
            <w:tcMar>
              <w:top w:type="dxa" w:w="60"/>
              <w:left w:type="dxa" w:w="80"/>
              <w:bottom w:type="dxa" w:w="60"/>
              <w:right w:type="dxa" w:w="80"/>
            </w:tcMar>
          </w:tcPr>
          <w:p>
            <w:pPr>
              <w:jc w:val="left"/>
            </w:pPr>
            <w:r>
              <w:rPr>
                <w:sz w:val="16"/>
                <w:szCs w:val="16"/>
              </w:rPr>
              <w:t xml:space="preserve">Inter-region replication traffic</w:t>
            </w:r>
          </w:p>
        </w:tc>
        <w:tc>
          <w:tcPr>
            <w:tcW w:type="dxa" w:w="4161"/>
            <w:tcMar>
              <w:top w:type="dxa" w:w="60"/>
              <w:left w:type="dxa" w:w="80"/>
              <w:bottom w:type="dxa" w:w="60"/>
              <w:right w:type="dxa" w:w="80"/>
            </w:tcMar>
          </w:tcPr>
          <w:p>
            <w:pPr>
              <w:jc w:val="left"/>
            </w:pPr>
            <w:r>
              <w:rPr>
                <w:sz w:val="16"/>
                <w:szCs w:val="16"/>
              </w:rPr>
              <w:t xml:space="preserve">WAL stream Southeast Asia to East Asia</w:t>
            </w:r>
          </w:p>
        </w:tc>
        <w:tc>
          <w:tcPr>
            <w:tcW w:type="dxa" w:w="925"/>
            <w:tcMar>
              <w:top w:type="dxa" w:w="60"/>
              <w:left w:type="dxa" w:w="80"/>
              <w:bottom w:type="dxa" w:w="60"/>
              <w:right w:type="dxa" w:w="80"/>
            </w:tcMar>
          </w:tcPr>
          <w:p>
            <w:pPr>
              <w:jc w:val="left"/>
            </w:pPr>
            <w:r>
              <w:rPr>
                <w:sz w:val="16"/>
                <w:szCs w:val="16"/>
              </w:rPr>
              <w:t xml:space="preserve">about 190 GB a month</w:t>
            </w:r>
          </w:p>
        </w:tc>
        <w:tc>
          <w:tcPr>
            <w:tcW w:type="dxa" w:w="3098"/>
            <w:tcMar>
              <w:top w:type="dxa" w:w="60"/>
              <w:left w:type="dxa" w:w="80"/>
              <w:bottom w:type="dxa" w:w="60"/>
              <w:right w:type="dxa" w:w="80"/>
            </w:tcMar>
          </w:tcPr>
          <w:p>
            <w:pPr>
              <w:jc w:val="left"/>
            </w:pPr>
          </w:p>
        </w:tc>
        <w:tc>
          <w:tcPr>
            <w:tcW w:type="dxa" w:w="2867"/>
            <w:tcMar>
              <w:top w:type="dxa" w:w="60"/>
              <w:left w:type="dxa" w:w="80"/>
              <w:bottom w:type="dxa" w:w="60"/>
              <w:right w:type="dxa" w:w="80"/>
            </w:tcMar>
          </w:tcPr>
          <w:p>
            <w:pPr>
              <w:jc w:val="left"/>
            </w:pPr>
          </w:p>
        </w:tc>
        <w:tc>
          <w:tcPr>
            <w:tcW w:type="dxa" w:w="509"/>
            <w:tcMar>
              <w:top w:type="dxa" w:w="60"/>
              <w:left w:type="dxa" w:w="80"/>
              <w:bottom w:type="dxa" w:w="60"/>
              <w:right w:type="dxa" w:w="80"/>
            </w:tcMar>
          </w:tcPr>
          <w:p>
            <w:pPr>
              <w:jc w:val="right"/>
            </w:pPr>
            <w:r>
              <w:rPr>
                <w:sz w:val="16"/>
                <w:szCs w:val="16"/>
              </w:rPr>
              <w:t xml:space="preserve">15</w:t>
            </w:r>
          </w:p>
        </w:tc>
      </w:tr>
      <w:tr>
        <w:tc>
          <w:tcPr>
            <w:tcW w:type="dxa" w:w="277"/>
            <w:tcMar>
              <w:top w:type="dxa" w:w="60"/>
              <w:left w:type="dxa" w:w="80"/>
              <w:bottom w:type="dxa" w:w="60"/>
              <w:right w:type="dxa" w:w="80"/>
            </w:tcMar>
          </w:tcPr>
          <w:p>
            <w:pPr>
              <w:jc w:val="left"/>
            </w:pPr>
            <w:r>
              <w:rPr>
                <w:sz w:val="16"/>
                <w:szCs w:val="16"/>
              </w:rPr>
              <w:t xml:space="preserve">3</w:t>
            </w:r>
          </w:p>
        </w:tc>
        <w:tc>
          <w:tcPr>
            <w:tcW w:type="dxa" w:w="2959"/>
            <w:tcMar>
              <w:top w:type="dxa" w:w="60"/>
              <w:left w:type="dxa" w:w="80"/>
              <w:bottom w:type="dxa" w:w="60"/>
              <w:right w:type="dxa" w:w="80"/>
            </w:tcMar>
          </w:tcPr>
          <w:p>
            <w:pPr>
              <w:jc w:val="left"/>
            </w:pPr>
            <w:r>
              <w:rPr>
                <w:sz w:val="16"/>
                <w:szCs w:val="16"/>
              </w:rPr>
              <w:t xml:space="preserve">Container Apps environment East Asia (warm, apps at 0)</w:t>
            </w:r>
          </w:p>
        </w:tc>
        <w:tc>
          <w:tcPr>
            <w:tcW w:type="dxa" w:w="4161"/>
            <w:tcMar>
              <w:top w:type="dxa" w:w="60"/>
              <w:left w:type="dxa" w:w="80"/>
              <w:bottom w:type="dxa" w:w="60"/>
              <w:right w:type="dxa" w:w="80"/>
            </w:tcMar>
          </w:tcPr>
          <w:p>
            <w:pPr>
              <w:jc w:val="left"/>
            </w:pPr>
            <w:r>
              <w:rPr>
                <w:sz w:val="16"/>
                <w:szCs w:val="16"/>
              </w:rPr>
              <w:t xml:space="preserve">zone-redundant, VNet 10.42.0.0/16, Private Link, api/worker/web at 0 replicas until promotion; weekly smoke</w:t>
            </w:r>
          </w:p>
        </w:tc>
        <w:tc>
          <w:tcPr>
            <w:tcW w:type="dxa" w:w="925"/>
            <w:tcMar>
              <w:top w:type="dxa" w:w="60"/>
              <w:left w:type="dxa" w:w="80"/>
              <w:bottom w:type="dxa" w:w="60"/>
              <w:right w:type="dxa" w:w="80"/>
            </w:tcMar>
          </w:tcPr>
          <w:p>
            <w:pPr>
              <w:jc w:val="left"/>
            </w:pPr>
            <w:r>
              <w:rPr>
                <w:sz w:val="16"/>
                <w:szCs w:val="16"/>
              </w:rPr>
              <w:t xml:space="preserve">1</w:t>
            </w:r>
          </w:p>
        </w:tc>
        <w:tc>
          <w:tcPr>
            <w:tcW w:type="dxa" w:w="3098"/>
            <w:tcMar>
              <w:top w:type="dxa" w:w="60"/>
              <w:left w:type="dxa" w:w="80"/>
              <w:bottom w:type="dxa" w:w="60"/>
              <w:right w:type="dxa" w:w="80"/>
            </w:tcMar>
          </w:tcPr>
          <w:p>
            <w:pPr>
              <w:jc w:val="left"/>
            </w:pPr>
            <w:r>
              <w:rPr>
                <w:sz w:val="16"/>
                <w:szCs w:val="16"/>
              </w:rPr>
              <w:t xml:space="preserve">Promotion inside 4 h needs the environment to exist already</w:t>
            </w:r>
          </w:p>
        </w:tc>
        <w:tc>
          <w:tcPr>
            <w:tcW w:type="dxa" w:w="2867"/>
            <w:tcMar>
              <w:top w:type="dxa" w:w="60"/>
              <w:left w:type="dxa" w:w="80"/>
              <w:bottom w:type="dxa" w:w="60"/>
              <w:right w:type="dxa" w:w="80"/>
            </w:tcMar>
          </w:tcPr>
          <w:p>
            <w:pPr>
              <w:jc w:val="left"/>
            </w:pPr>
            <w:r>
              <w:rPr>
                <w:sz w:val="16"/>
                <w:szCs w:val="16"/>
              </w:rPr>
              <w:t xml:space="preserve">One warm environment</w:t>
            </w:r>
          </w:p>
        </w:tc>
        <w:tc>
          <w:tcPr>
            <w:tcW w:type="dxa" w:w="509"/>
            <w:tcMar>
              <w:top w:type="dxa" w:w="60"/>
              <w:left w:type="dxa" w:w="80"/>
              <w:bottom w:type="dxa" w:w="60"/>
              <w:right w:type="dxa" w:w="80"/>
            </w:tcMar>
          </w:tcPr>
          <w:p>
            <w:pPr>
              <w:jc w:val="right"/>
            </w:pPr>
            <w:r>
              <w:rPr>
                <w:sz w:val="16"/>
                <w:szCs w:val="16"/>
              </w:rPr>
              <w:t xml:space="preserve">206</w:t>
            </w:r>
          </w:p>
        </w:tc>
      </w:tr>
      <w:tr>
        <w:tc>
          <w:tcPr>
            <w:tcW w:type="dxa" w:w="277"/>
            <w:tcMar>
              <w:top w:type="dxa" w:w="60"/>
              <w:left w:type="dxa" w:w="80"/>
              <w:bottom w:type="dxa" w:w="60"/>
              <w:right w:type="dxa" w:w="80"/>
            </w:tcMar>
          </w:tcPr>
          <w:p>
            <w:pPr>
              <w:jc w:val="left"/>
            </w:pPr>
            <w:r>
              <w:rPr>
                <w:sz w:val="16"/>
                <w:szCs w:val="16"/>
              </w:rPr>
              <w:t xml:space="preserve">4</w:t>
            </w:r>
          </w:p>
        </w:tc>
        <w:tc>
          <w:tcPr>
            <w:tcW w:type="dxa" w:w="2959"/>
            <w:tcMar>
              <w:top w:type="dxa" w:w="60"/>
              <w:left w:type="dxa" w:w="80"/>
              <w:bottom w:type="dxa" w:w="60"/>
              <w:right w:type="dxa" w:w="80"/>
            </w:tcMar>
          </w:tcPr>
          <w:p>
            <w:pPr>
              <w:jc w:val="left"/>
            </w:pPr>
            <w:r>
              <w:rPr>
                <w:sz w:val="16"/>
                <w:szCs w:val="16"/>
              </w:rPr>
              <w:t xml:space="preserve">ACR geo-replica, DR Key Vault, disabled DR Front Door origin</w:t>
            </w:r>
          </w:p>
        </w:tc>
        <w:tc>
          <w:tcPr>
            <w:tcW w:type="dxa" w:w="4161"/>
            <w:tcMar>
              <w:top w:type="dxa" w:w="60"/>
              <w:left w:type="dxa" w:w="80"/>
              <w:bottom w:type="dxa" w:w="60"/>
              <w:right w:type="dxa" w:w="80"/>
            </w:tcMar>
          </w:tcPr>
          <w:p>
            <w:pPr>
              <w:jc w:val="left"/>
            </w:pPr>
            <w:r>
              <w:rPr>
                <w:sz w:val="16"/>
                <w:szCs w:val="16"/>
              </w:rPr>
              <w:t xml:space="preserve">image pulls and secrets survive a Southeast Asia outage</w:t>
            </w:r>
          </w:p>
        </w:tc>
        <w:tc>
          <w:tcPr>
            <w:tcW w:type="dxa" w:w="925"/>
            <w:tcMar>
              <w:top w:type="dxa" w:w="60"/>
              <w:left w:type="dxa" w:w="80"/>
              <w:bottom w:type="dxa" w:w="60"/>
              <w:right w:type="dxa" w:w="80"/>
            </w:tcMar>
          </w:tcPr>
          <w:p>
            <w:pPr>
              <w:jc w:val="left"/>
            </w:pPr>
            <w:r>
              <w:rPr>
                <w:sz w:val="16"/>
                <w:szCs w:val="16"/>
              </w:rPr>
              <w:t xml:space="preserve">1 each</w:t>
            </w:r>
          </w:p>
        </w:tc>
        <w:tc>
          <w:tcPr>
            <w:tcW w:type="dxa" w:w="3098"/>
            <w:tcMar>
              <w:top w:type="dxa" w:w="60"/>
              <w:left w:type="dxa" w:w="80"/>
              <w:bottom w:type="dxa" w:w="60"/>
              <w:right w:type="dxa" w:w="80"/>
            </w:tcMar>
          </w:tcPr>
          <w:p>
            <w:pPr>
              <w:jc w:val="left"/>
            </w:pPr>
          </w:p>
        </w:tc>
        <w:tc>
          <w:tcPr>
            <w:tcW w:type="dxa" w:w="2867"/>
            <w:tcMar>
              <w:top w:type="dxa" w:w="60"/>
              <w:left w:type="dxa" w:w="80"/>
              <w:bottom w:type="dxa" w:w="60"/>
              <w:right w:type="dxa" w:w="80"/>
            </w:tcMar>
          </w:tcPr>
          <w:p>
            <w:pPr>
              <w:jc w:val="left"/>
            </w:pPr>
          </w:p>
        </w:tc>
        <w:tc>
          <w:tcPr>
            <w:tcW w:type="dxa" w:w="509"/>
            <w:tcMar>
              <w:top w:type="dxa" w:w="60"/>
              <w:left w:type="dxa" w:w="80"/>
              <w:bottom w:type="dxa" w:w="60"/>
              <w:right w:type="dxa" w:w="80"/>
            </w:tcMar>
          </w:tcPr>
          <w:p>
            <w:pPr>
              <w:jc w:val="right"/>
            </w:pPr>
            <w:r>
              <w:rPr>
                <w:sz w:val="16"/>
                <w:szCs w:val="16"/>
              </w:rPr>
              <w:t xml:space="preserve">52</w:t>
            </w:r>
          </w:p>
        </w:tc>
      </w:tr>
    </w:tbl>
    <w:p>
      <w:pPr>
        <w:spacing w:after="120"/>
      </w:pPr>
    </w:p>
    <w:p>
      <w:pPr>
        <w:spacing w:after="120"/>
      </w:pPr>
      <w:r>
        <w:rPr>
          <w:b/>
          <w:bCs/>
        </w:rPr>
        <w:t xml:space="preserve">DR total: about USD 1,212 a month. Core + DR: about USD 6,702.</w:t>
      </w:r>
    </w:p>
    <w:p>
      <w:pPr>
        <w:pStyle w:val="Heading3"/>
        <w:spacing w:after="120" w:before="200"/>
      </w:pPr>
      <w:r>
        <w:t xml:space="preserve">3.2 Contingency buffer</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3644"/>
        <w:gridCol w:w="1215"/>
        <w:gridCol w:w="9937"/>
      </w:tblGrid>
      <w:tr>
        <w:trPr>
          <w:tblHeader/>
        </w:trPr>
        <w:tc>
          <w:tcPr>
            <w:tcW w:type="dxa" w:w="3644"/>
            <w:shd w:fill="E8EEF7" w:color="auto" w:val="clear"/>
            <w:tcMar>
              <w:top w:type="dxa" w:w="60"/>
              <w:left w:type="dxa" w:w="80"/>
              <w:bottom w:type="dxa" w:w="60"/>
              <w:right w:type="dxa" w:w="80"/>
            </w:tcMar>
          </w:tcPr>
          <w:p>
            <w:pPr>
              <w:jc w:val="left"/>
            </w:pPr>
            <w:r>
              <w:rPr>
                <w:b/>
                <w:bCs/>
                <w:sz w:val="20"/>
                <w:szCs w:val="20"/>
              </w:rPr>
              <w:t xml:space="preserve">Line</w:t>
            </w:r>
          </w:p>
        </w:tc>
        <w:tc>
          <w:tcPr>
            <w:tcW w:type="dxa" w:w="1215"/>
            <w:shd w:fill="E8EEF7" w:color="auto" w:val="clear"/>
            <w:tcMar>
              <w:top w:type="dxa" w:w="60"/>
              <w:left w:type="dxa" w:w="80"/>
              <w:bottom w:type="dxa" w:w="60"/>
              <w:right w:type="dxa" w:w="80"/>
            </w:tcMar>
          </w:tcPr>
          <w:p>
            <w:pPr>
              <w:jc w:val="right"/>
            </w:pPr>
            <w:r>
              <w:rPr>
                <w:b/>
                <w:bCs/>
                <w:sz w:val="20"/>
                <w:szCs w:val="20"/>
              </w:rPr>
              <w:t xml:space="preserve">USD / month</w:t>
            </w:r>
          </w:p>
        </w:tc>
        <w:tc>
          <w:tcPr>
            <w:tcW w:type="dxa" w:w="9937"/>
            <w:shd w:fill="E8EEF7" w:color="auto" w:val="clear"/>
            <w:tcMar>
              <w:top w:type="dxa" w:w="60"/>
              <w:left w:type="dxa" w:w="80"/>
              <w:bottom w:type="dxa" w:w="60"/>
              <w:right w:type="dxa" w:w="80"/>
            </w:tcMar>
          </w:tcPr>
          <w:p>
            <w:pPr>
              <w:jc w:val="left"/>
            </w:pPr>
            <w:r>
              <w:rPr>
                <w:b/>
                <w:bCs/>
                <w:sz w:val="20"/>
                <w:szCs w:val="20"/>
              </w:rPr>
              <w:t xml:space="preserve">What it covers</w:t>
            </w:r>
          </w:p>
        </w:tc>
      </w:tr>
      <w:tr>
        <w:tc>
          <w:tcPr>
            <w:tcW w:type="dxa" w:w="3644"/>
            <w:tcMar>
              <w:top w:type="dxa" w:w="60"/>
              <w:left w:type="dxa" w:w="80"/>
              <w:bottom w:type="dxa" w:w="60"/>
              <w:right w:type="dxa" w:w="80"/>
            </w:tcMar>
          </w:tcPr>
          <w:p>
            <w:pPr>
              <w:jc w:val="left"/>
            </w:pPr>
            <w:r>
              <w:rPr>
                <w:sz w:val="20"/>
                <w:szCs w:val="20"/>
              </w:rPr>
              <w:t xml:space="preserve">Buffer (owner's 1,000-3,000 band)</w:t>
            </w:r>
          </w:p>
        </w:tc>
        <w:tc>
          <w:tcPr>
            <w:tcW w:type="dxa" w:w="1215"/>
            <w:tcMar>
              <w:top w:type="dxa" w:w="60"/>
              <w:left w:type="dxa" w:w="80"/>
              <w:bottom w:type="dxa" w:w="60"/>
              <w:right w:type="dxa" w:w="80"/>
            </w:tcMar>
          </w:tcPr>
          <w:p>
            <w:pPr>
              <w:jc w:val="right"/>
            </w:pPr>
            <w:r>
              <w:rPr>
                <w:sz w:val="20"/>
                <w:szCs w:val="20"/>
              </w:rPr>
              <w:t xml:space="preserve">2,000</w:t>
            </w:r>
          </w:p>
        </w:tc>
        <w:tc>
          <w:tcPr>
            <w:tcW w:type="dxa" w:w="9937"/>
            <w:tcMar>
              <w:top w:type="dxa" w:w="60"/>
              <w:left w:type="dxa" w:w="80"/>
              <w:bottom w:type="dxa" w:w="60"/>
              <w:right w:type="dxa" w:w="80"/>
            </w:tcMar>
          </w:tcPr>
          <w:p>
            <w:pPr>
              <w:jc w:val="left"/>
            </w:pPr>
            <w:r>
              <w:rPr>
                <w:sz w:val="20"/>
                <w:szCs w:val="20"/>
              </w:rPr>
              <w:t xml:space="preserve">a D16ds_v5 step-up for a quarter (+1,425 compute with HA), log overage above 5.5 GB/day, extra replicas in a storm, prices the API does not publish, a billing-zone difference</w:t>
            </w:r>
          </w:p>
        </w:tc>
      </w:tr>
    </w:tbl>
    <w:p>
      <w:pPr>
        <w:spacing w:after="120"/>
      </w:pPr>
    </w:p>
    <w:p>
      <w:pPr>
        <w:spacing w:after="120"/>
      </w:pPr>
      <w:r>
        <w:rPr>
          <w:b/>
          <w:bCs/>
        </w:rPr>
        <w:t xml:space="preserve">Core + DR + buffer: about USD 8,702 a month. Recommended budget: USD 9,000.</w:t>
      </w:r>
    </w:p>
    <w:p>
      <w:pPr>
        <w:pStyle w:val="Heading3"/>
        <w:spacing w:after="120" w:before="200"/>
      </w:pPr>
      <w:r>
        <w:t xml:space="preserve">3.3 Optional and non-production lines</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273"/>
        <w:gridCol w:w="3414"/>
        <w:gridCol w:w="4097"/>
        <w:gridCol w:w="911"/>
        <w:gridCol w:w="3688"/>
        <w:gridCol w:w="1912"/>
        <w:gridCol w:w="501"/>
      </w:tblGrid>
      <w:tr>
        <w:trPr>
          <w:tblHeader/>
        </w:trPr>
        <w:tc>
          <w:tcPr>
            <w:tcW w:type="dxa" w:w="273"/>
            <w:shd w:fill="E8EEF7" w:color="auto" w:val="clear"/>
            <w:tcMar>
              <w:top w:type="dxa" w:w="60"/>
              <w:left w:type="dxa" w:w="80"/>
              <w:bottom w:type="dxa" w:w="60"/>
              <w:right w:type="dxa" w:w="80"/>
            </w:tcMar>
          </w:tcPr>
          <w:p>
            <w:pPr>
              <w:jc w:val="left"/>
            </w:pPr>
            <w:r>
              <w:rPr>
                <w:b/>
                <w:bCs/>
                <w:sz w:val="16"/>
                <w:szCs w:val="16"/>
              </w:rPr>
              <w:t xml:space="preserve">#</w:t>
            </w:r>
          </w:p>
        </w:tc>
        <w:tc>
          <w:tcPr>
            <w:tcW w:type="dxa" w:w="3414"/>
            <w:shd w:fill="E8EEF7" w:color="auto" w:val="clear"/>
            <w:tcMar>
              <w:top w:type="dxa" w:w="60"/>
              <w:left w:type="dxa" w:w="80"/>
              <w:bottom w:type="dxa" w:w="60"/>
              <w:right w:type="dxa" w:w="80"/>
            </w:tcMar>
          </w:tcPr>
          <w:p>
            <w:pPr>
              <w:jc w:val="left"/>
            </w:pPr>
            <w:r>
              <w:rPr>
                <w:b/>
                <w:bCs/>
                <w:sz w:val="16"/>
                <w:szCs w:val="16"/>
              </w:rPr>
              <w:t xml:space="preserve">Resource</w:t>
            </w:r>
          </w:p>
        </w:tc>
        <w:tc>
          <w:tcPr>
            <w:tcW w:type="dxa" w:w="4097"/>
            <w:shd w:fill="E8EEF7" w:color="auto" w:val="clear"/>
            <w:tcMar>
              <w:top w:type="dxa" w:w="60"/>
              <w:left w:type="dxa" w:w="80"/>
              <w:bottom w:type="dxa" w:w="60"/>
              <w:right w:type="dxa" w:w="80"/>
            </w:tcMar>
          </w:tcPr>
          <w:p>
            <w:pPr>
              <w:jc w:val="left"/>
            </w:pPr>
            <w:r>
              <w:rPr>
                <w:b/>
                <w:bCs/>
                <w:sz w:val="16"/>
                <w:szCs w:val="16"/>
              </w:rPr>
              <w:t xml:space="preserve">Specification</w:t>
            </w:r>
          </w:p>
        </w:tc>
        <w:tc>
          <w:tcPr>
            <w:tcW w:type="dxa" w:w="911"/>
            <w:shd w:fill="E8EEF7" w:color="auto" w:val="clear"/>
            <w:tcMar>
              <w:top w:type="dxa" w:w="60"/>
              <w:left w:type="dxa" w:w="80"/>
              <w:bottom w:type="dxa" w:w="60"/>
              <w:right w:type="dxa" w:w="80"/>
            </w:tcMar>
          </w:tcPr>
          <w:p>
            <w:pPr>
              <w:jc w:val="left"/>
            </w:pPr>
            <w:r>
              <w:rPr>
                <w:b/>
                <w:bCs/>
                <w:sz w:val="16"/>
                <w:szCs w:val="16"/>
              </w:rPr>
              <w:t xml:space="preserve">Quantity</w:t>
            </w:r>
          </w:p>
        </w:tc>
        <w:tc>
          <w:tcPr>
            <w:tcW w:type="dxa" w:w="3688"/>
            <w:shd w:fill="E8EEF7" w:color="auto" w:val="clear"/>
            <w:tcMar>
              <w:top w:type="dxa" w:w="60"/>
              <w:left w:type="dxa" w:w="80"/>
              <w:bottom w:type="dxa" w:w="60"/>
              <w:right w:type="dxa" w:w="80"/>
            </w:tcMar>
          </w:tcPr>
          <w:p>
            <w:pPr>
              <w:jc w:val="left"/>
            </w:pPr>
            <w:r>
              <w:rPr>
                <w:b/>
                <w:bCs/>
                <w:sz w:val="16"/>
                <w:szCs w:val="16"/>
              </w:rPr>
              <w:t xml:space="preserve">Why this specification</w:t>
            </w:r>
          </w:p>
        </w:tc>
        <w:tc>
          <w:tcPr>
            <w:tcW w:type="dxa" w:w="1912"/>
            <w:shd w:fill="E8EEF7" w:color="auto" w:val="clear"/>
            <w:tcMar>
              <w:top w:type="dxa" w:w="60"/>
              <w:left w:type="dxa" w:w="80"/>
              <w:bottom w:type="dxa" w:w="60"/>
              <w:right w:type="dxa" w:w="80"/>
            </w:tcMar>
          </w:tcPr>
          <w:p>
            <w:pPr>
              <w:jc w:val="left"/>
            </w:pPr>
            <w:r>
              <w:rPr>
                <w:b/>
                <w:bCs/>
                <w:sz w:val="16"/>
                <w:szCs w:val="16"/>
              </w:rPr>
              <w:t xml:space="preserve">Why this quantity</w:t>
            </w:r>
          </w:p>
        </w:tc>
        <w:tc>
          <w:tcPr>
            <w:tcW w:type="dxa" w:w="501"/>
            <w:shd w:fill="E8EEF7" w:color="auto" w:val="clear"/>
            <w:tcMar>
              <w:top w:type="dxa" w:w="60"/>
              <w:left w:type="dxa" w:w="80"/>
              <w:bottom w:type="dxa" w:w="60"/>
              <w:right w:type="dxa" w:w="80"/>
            </w:tcMar>
          </w:tcPr>
          <w:p>
            <w:pPr>
              <w:jc w:val="right"/>
            </w:pPr>
            <w:r>
              <w:rPr>
                <w:b/>
                <w:bCs/>
                <w:sz w:val="16"/>
                <w:szCs w:val="16"/>
              </w:rPr>
              <w:t xml:space="preserve">USD / month</w:t>
            </w:r>
          </w:p>
        </w:tc>
      </w:tr>
      <w:tr>
        <w:tc>
          <w:tcPr>
            <w:tcW w:type="dxa" w:w="273"/>
            <w:tcMar>
              <w:top w:type="dxa" w:w="60"/>
              <w:left w:type="dxa" w:w="80"/>
              <w:bottom w:type="dxa" w:w="60"/>
              <w:right w:type="dxa" w:w="80"/>
            </w:tcMar>
          </w:tcPr>
          <w:p>
            <w:pPr>
              <w:jc w:val="left"/>
            </w:pPr>
            <w:r>
              <w:rPr>
                <w:sz w:val="16"/>
                <w:szCs w:val="16"/>
              </w:rPr>
              <w:t xml:space="preserve">1</w:t>
            </w:r>
          </w:p>
        </w:tc>
        <w:tc>
          <w:tcPr>
            <w:tcW w:type="dxa" w:w="3414"/>
            <w:tcMar>
              <w:top w:type="dxa" w:w="60"/>
              <w:left w:type="dxa" w:w="80"/>
              <w:bottom w:type="dxa" w:w="60"/>
              <w:right w:type="dxa" w:w="80"/>
            </w:tcMar>
          </w:tcPr>
          <w:p>
            <w:pPr>
              <w:jc w:val="left"/>
            </w:pPr>
            <w:r>
              <w:rPr>
                <w:sz w:val="16"/>
                <w:szCs w:val="16"/>
              </w:rPr>
              <w:t xml:space="preserve">Staging-lite in the final account</w:t>
            </w:r>
          </w:p>
        </w:tc>
        <w:tc>
          <w:tcPr>
            <w:tcW w:type="dxa" w:w="4097"/>
            <w:tcMar>
              <w:top w:type="dxa" w:w="60"/>
              <w:left w:type="dxa" w:w="80"/>
              <w:bottom w:type="dxa" w:w="60"/>
              <w:right w:type="dxa" w:w="80"/>
            </w:tcMar>
          </w:tcPr>
          <w:p>
            <w:pPr>
              <w:jc w:val="left"/>
            </w:pPr>
            <w:r>
              <w:rPr>
                <w:sz w:val="16"/>
                <w:szCs w:val="16"/>
              </w:rPr>
              <w:t xml:space="preserve">D2ds_v5 zone-redundant HA on 128 GiB, three small Container Apps, Front Door Standard, 1 GB/day logs, ACR Standard; scaled to the prod shape only inside a test window (about 75 per 8-hour window); Premium Front Door + Private Link for the edge proof adds 295</w:t>
            </w:r>
          </w:p>
        </w:tc>
        <w:tc>
          <w:tcPr>
            <w:tcW w:type="dxa" w:w="911"/>
            <w:tcMar>
              <w:top w:type="dxa" w:w="60"/>
              <w:left w:type="dxa" w:w="80"/>
              <w:bottom w:type="dxa" w:w="60"/>
              <w:right w:type="dxa" w:w="80"/>
            </w:tcMar>
          </w:tcPr>
          <w:p>
            <w:pPr>
              <w:jc w:val="left"/>
            </w:pPr>
            <w:r>
              <w:rPr>
                <w:sz w:val="16"/>
                <w:szCs w:val="16"/>
              </w:rPr>
              <w:t xml:space="preserve">1 environment</w:t>
            </w:r>
          </w:p>
        </w:tc>
        <w:tc>
          <w:tcPr>
            <w:tcW w:type="dxa" w:w="3688"/>
            <w:tcMar>
              <w:top w:type="dxa" w:w="60"/>
              <w:left w:type="dxa" w:w="80"/>
              <w:bottom w:type="dxa" w:w="60"/>
              <w:right w:type="dxa" w:w="80"/>
            </w:tcMar>
          </w:tcPr>
          <w:p>
            <w:pPr>
              <w:jc w:val="left"/>
            </w:pPr>
            <w:r>
              <w:rPr>
                <w:sz w:val="16"/>
                <w:szCs w:val="16"/>
              </w:rPr>
              <w:t xml:space="preserve">Release gates and drills need a prod-like twin; D2 keeps it cheap between windows</w:t>
            </w:r>
          </w:p>
        </w:tc>
        <w:tc>
          <w:tcPr>
            <w:tcW w:type="dxa" w:w="1912"/>
            <w:tcMar>
              <w:top w:type="dxa" w:w="60"/>
              <w:left w:type="dxa" w:w="80"/>
              <w:bottom w:type="dxa" w:w="60"/>
              <w:right w:type="dxa" w:w="80"/>
            </w:tcMar>
          </w:tcPr>
          <w:p>
            <w:pPr>
              <w:jc w:val="left"/>
            </w:pPr>
            <w:r>
              <w:rPr>
                <w:sz w:val="16"/>
                <w:szCs w:val="16"/>
              </w:rPr>
              <w:t xml:space="preserve">One staging; dev stays in the test account</w:t>
            </w:r>
          </w:p>
        </w:tc>
        <w:tc>
          <w:tcPr>
            <w:tcW w:type="dxa" w:w="501"/>
            <w:tcMar>
              <w:top w:type="dxa" w:w="60"/>
              <w:left w:type="dxa" w:w="80"/>
              <w:bottom w:type="dxa" w:w="60"/>
              <w:right w:type="dxa" w:w="80"/>
            </w:tcMar>
          </w:tcPr>
          <w:p>
            <w:pPr>
              <w:jc w:val="right"/>
            </w:pPr>
            <w:r>
              <w:rPr>
                <w:sz w:val="16"/>
                <w:szCs w:val="16"/>
              </w:rPr>
              <w:t xml:space="preserve">708</w:t>
            </w:r>
          </w:p>
        </w:tc>
      </w:tr>
      <w:tr>
        <w:tc>
          <w:tcPr>
            <w:tcW w:type="dxa" w:w="273"/>
            <w:tcMar>
              <w:top w:type="dxa" w:w="60"/>
              <w:left w:type="dxa" w:w="80"/>
              <w:bottom w:type="dxa" w:w="60"/>
              <w:right w:type="dxa" w:w="80"/>
            </w:tcMar>
          </w:tcPr>
          <w:p>
            <w:pPr>
              <w:jc w:val="left"/>
            </w:pPr>
            <w:r>
              <w:rPr>
                <w:sz w:val="16"/>
                <w:szCs w:val="16"/>
              </w:rPr>
              <w:t xml:space="preserve">2</w:t>
            </w:r>
          </w:p>
        </w:tc>
        <w:tc>
          <w:tcPr>
            <w:tcW w:type="dxa" w:w="3414"/>
            <w:tcMar>
              <w:top w:type="dxa" w:w="60"/>
              <w:left w:type="dxa" w:w="80"/>
              <w:bottom w:type="dxa" w:w="60"/>
              <w:right w:type="dxa" w:w="80"/>
            </w:tcMar>
          </w:tcPr>
          <w:p>
            <w:pPr>
              <w:jc w:val="left"/>
            </w:pPr>
            <w:r>
              <w:rPr>
                <w:sz w:val="16"/>
                <w:szCs w:val="16"/>
              </w:rPr>
              <w:t xml:space="preserve">BI path: Microsoft Fabric F2 + 10 Power BI Pro licences (D-560)</w:t>
            </w:r>
          </w:p>
        </w:tc>
        <w:tc>
          <w:tcPr>
            <w:tcW w:type="dxa" w:w="4097"/>
            <w:tcMar>
              <w:top w:type="dxa" w:w="60"/>
              <w:left w:type="dxa" w:w="80"/>
              <w:bottom w:type="dxa" w:w="60"/>
              <w:right w:type="dxa" w:w="80"/>
            </w:tcMar>
          </w:tcPr>
          <w:p>
            <w:pPr>
              <w:jc w:val="left"/>
            </w:pPr>
            <w:r>
              <w:rPr>
                <w:sz w:val="16"/>
                <w:szCs w:val="16"/>
              </w:rPr>
              <w:t xml:space="preserve">F2 = 2 CU pay-as-you-go; VNet data gateway; archived partitions in the lakehouse</w:t>
            </w:r>
          </w:p>
        </w:tc>
        <w:tc>
          <w:tcPr>
            <w:tcW w:type="dxa" w:w="911"/>
            <w:tcMar>
              <w:top w:type="dxa" w:w="60"/>
              <w:left w:type="dxa" w:w="80"/>
              <w:bottom w:type="dxa" w:w="60"/>
              <w:right w:type="dxa" w:w="80"/>
            </w:tcMar>
          </w:tcPr>
          <w:p>
            <w:pPr>
              <w:jc w:val="left"/>
            </w:pPr>
            <w:r>
              <w:rPr>
                <w:sz w:val="16"/>
                <w:szCs w:val="16"/>
              </w:rPr>
              <w:t xml:space="preserve">1 capacity, 10 users</w:t>
            </w:r>
          </w:p>
        </w:tc>
        <w:tc>
          <w:tcPr>
            <w:tcW w:type="dxa" w:w="3688"/>
            <w:tcMar>
              <w:top w:type="dxa" w:w="60"/>
              <w:left w:type="dxa" w:w="80"/>
              <w:bottom w:type="dxa" w:w="60"/>
              <w:right w:type="dxa" w:w="80"/>
            </w:tcMar>
          </w:tcPr>
          <w:p>
            <w:pPr>
              <w:jc w:val="left"/>
            </w:pPr>
          </w:p>
        </w:tc>
        <w:tc>
          <w:tcPr>
            <w:tcW w:type="dxa" w:w="1912"/>
            <w:tcMar>
              <w:top w:type="dxa" w:w="60"/>
              <w:left w:type="dxa" w:w="80"/>
              <w:bottom w:type="dxa" w:w="60"/>
              <w:right w:type="dxa" w:w="80"/>
            </w:tcMar>
          </w:tcPr>
          <w:p>
            <w:pPr>
              <w:jc w:val="left"/>
            </w:pPr>
          </w:p>
        </w:tc>
        <w:tc>
          <w:tcPr>
            <w:tcW w:type="dxa" w:w="501"/>
            <w:tcMar>
              <w:top w:type="dxa" w:w="60"/>
              <w:left w:type="dxa" w:w="80"/>
              <w:bottom w:type="dxa" w:w="60"/>
              <w:right w:type="dxa" w:w="80"/>
            </w:tcMar>
          </w:tcPr>
          <w:p>
            <w:pPr>
              <w:jc w:val="right"/>
            </w:pPr>
            <w:r>
              <w:rPr>
                <w:sz w:val="16"/>
                <w:szCs w:val="16"/>
              </w:rPr>
              <w:t xml:space="preserve">461</w:t>
            </w:r>
          </w:p>
        </w:tc>
      </w:tr>
      <w:tr>
        <w:tc>
          <w:tcPr>
            <w:tcW w:type="dxa" w:w="273"/>
            <w:tcMar>
              <w:top w:type="dxa" w:w="60"/>
              <w:left w:type="dxa" w:w="80"/>
              <w:bottom w:type="dxa" w:w="60"/>
              <w:right w:type="dxa" w:w="80"/>
            </w:tcMar>
          </w:tcPr>
          <w:p>
            <w:pPr>
              <w:jc w:val="left"/>
            </w:pPr>
            <w:r>
              <w:rPr>
                <w:sz w:val="16"/>
                <w:szCs w:val="16"/>
              </w:rPr>
              <w:t xml:space="preserve">3</w:t>
            </w:r>
          </w:p>
        </w:tc>
        <w:tc>
          <w:tcPr>
            <w:tcW w:type="dxa" w:w="3414"/>
            <w:tcMar>
              <w:top w:type="dxa" w:w="60"/>
              <w:left w:type="dxa" w:w="80"/>
              <w:bottom w:type="dxa" w:w="60"/>
              <w:right w:type="dxa" w:w="80"/>
            </w:tcMar>
          </w:tcPr>
          <w:p>
            <w:pPr>
              <w:jc w:val="left"/>
            </w:pPr>
            <w:r>
              <w:rPr>
                <w:sz w:val="16"/>
                <w:szCs w:val="16"/>
              </w:rPr>
              <w:t xml:space="preserve">Azure Managed Redis Balanced B3</w:t>
            </w:r>
          </w:p>
        </w:tc>
        <w:tc>
          <w:tcPr>
            <w:tcW w:type="dxa" w:w="4097"/>
            <w:tcMar>
              <w:top w:type="dxa" w:w="60"/>
              <w:left w:type="dxa" w:w="80"/>
              <w:bottom w:type="dxa" w:w="60"/>
              <w:right w:type="dxa" w:w="80"/>
            </w:tcMar>
          </w:tcPr>
          <w:p>
            <w:pPr>
              <w:jc w:val="left"/>
            </w:pPr>
            <w:r>
              <w:rPr>
                <w:sz w:val="16"/>
                <w:szCs w:val="16"/>
              </w:rPr>
              <w:t xml:space="preserve">replay cache, per-device rate limits, config fan-out</w:t>
            </w:r>
          </w:p>
        </w:tc>
        <w:tc>
          <w:tcPr>
            <w:tcW w:type="dxa" w:w="911"/>
            <w:tcMar>
              <w:top w:type="dxa" w:w="60"/>
              <w:left w:type="dxa" w:w="80"/>
              <w:bottom w:type="dxa" w:w="60"/>
              <w:right w:type="dxa" w:w="80"/>
            </w:tcMar>
          </w:tcPr>
          <w:p>
            <w:pPr>
              <w:jc w:val="left"/>
            </w:pPr>
            <w:r>
              <w:rPr>
                <w:sz w:val="16"/>
                <w:szCs w:val="16"/>
              </w:rPr>
              <w:t xml:space="preserve">1</w:t>
            </w:r>
          </w:p>
        </w:tc>
        <w:tc>
          <w:tcPr>
            <w:tcW w:type="dxa" w:w="3688"/>
            <w:tcMar>
              <w:top w:type="dxa" w:w="60"/>
              <w:left w:type="dxa" w:w="80"/>
              <w:bottom w:type="dxa" w:w="60"/>
              <w:right w:type="dxa" w:w="80"/>
            </w:tcMar>
          </w:tcPr>
          <w:p>
            <w:pPr>
              <w:jc w:val="left"/>
            </w:pPr>
          </w:p>
        </w:tc>
        <w:tc>
          <w:tcPr>
            <w:tcW w:type="dxa" w:w="1912"/>
            <w:tcMar>
              <w:top w:type="dxa" w:w="60"/>
              <w:left w:type="dxa" w:w="80"/>
              <w:bottom w:type="dxa" w:w="60"/>
              <w:right w:type="dxa" w:w="80"/>
            </w:tcMar>
          </w:tcPr>
          <w:p>
            <w:pPr>
              <w:jc w:val="left"/>
            </w:pPr>
          </w:p>
        </w:tc>
        <w:tc>
          <w:tcPr>
            <w:tcW w:type="dxa" w:w="501"/>
            <w:tcMar>
              <w:top w:type="dxa" w:w="60"/>
              <w:left w:type="dxa" w:w="80"/>
              <w:bottom w:type="dxa" w:w="60"/>
              <w:right w:type="dxa" w:w="80"/>
            </w:tcMar>
          </w:tcPr>
          <w:p>
            <w:pPr>
              <w:jc w:val="right"/>
            </w:pPr>
            <w:r>
              <w:rPr>
                <w:sz w:val="16"/>
                <w:szCs w:val="16"/>
              </w:rPr>
              <w:t xml:space="preserve">59</w:t>
            </w:r>
          </w:p>
        </w:tc>
      </w:tr>
      <w:tr>
        <w:tc>
          <w:tcPr>
            <w:tcW w:type="dxa" w:w="273"/>
            <w:tcMar>
              <w:top w:type="dxa" w:w="60"/>
              <w:left w:type="dxa" w:w="80"/>
              <w:bottom w:type="dxa" w:w="60"/>
              <w:right w:type="dxa" w:w="80"/>
            </w:tcMar>
          </w:tcPr>
          <w:p>
            <w:pPr>
              <w:jc w:val="left"/>
            </w:pPr>
            <w:r>
              <w:rPr>
                <w:sz w:val="16"/>
                <w:szCs w:val="16"/>
              </w:rPr>
              <w:t xml:space="preserve">4</w:t>
            </w:r>
          </w:p>
        </w:tc>
        <w:tc>
          <w:tcPr>
            <w:tcW w:type="dxa" w:w="3414"/>
            <w:tcMar>
              <w:top w:type="dxa" w:w="60"/>
              <w:left w:type="dxa" w:w="80"/>
              <w:bottom w:type="dxa" w:w="60"/>
              <w:right w:type="dxa" w:w="80"/>
            </w:tcMar>
          </w:tcPr>
          <w:p>
            <w:pPr>
              <w:jc w:val="left"/>
            </w:pPr>
            <w:r>
              <w:rPr>
                <w:sz w:val="16"/>
                <w:szCs w:val="16"/>
              </w:rPr>
              <w:t xml:space="preserve">Microsoft Defender for Cloud (3 PostgreSQL servers, Key Vault, Storage)</w:t>
            </w:r>
          </w:p>
        </w:tc>
        <w:tc>
          <w:tcPr>
            <w:tcW w:type="dxa" w:w="4097"/>
            <w:tcMar>
              <w:top w:type="dxa" w:w="60"/>
              <w:left w:type="dxa" w:w="80"/>
              <w:bottom w:type="dxa" w:w="60"/>
              <w:right w:type="dxa" w:w="80"/>
            </w:tcMar>
          </w:tcPr>
          <w:p>
            <w:pPr>
              <w:jc w:val="left"/>
            </w:pPr>
            <w:r>
              <w:rPr>
                <w:sz w:val="16"/>
                <w:szCs w:val="16"/>
              </w:rPr>
              <w:t xml:space="preserve">threat detection on the data stores</w:t>
            </w:r>
          </w:p>
        </w:tc>
        <w:tc>
          <w:tcPr>
            <w:tcW w:type="dxa" w:w="911"/>
            <w:tcMar>
              <w:top w:type="dxa" w:w="60"/>
              <w:left w:type="dxa" w:w="80"/>
              <w:bottom w:type="dxa" w:w="60"/>
              <w:right w:type="dxa" w:w="80"/>
            </w:tcMar>
          </w:tcPr>
          <w:p>
            <w:pPr>
              <w:jc w:val="left"/>
            </w:pPr>
          </w:p>
        </w:tc>
        <w:tc>
          <w:tcPr>
            <w:tcW w:type="dxa" w:w="3688"/>
            <w:tcMar>
              <w:top w:type="dxa" w:w="60"/>
              <w:left w:type="dxa" w:w="80"/>
              <w:bottom w:type="dxa" w:w="60"/>
              <w:right w:type="dxa" w:w="80"/>
            </w:tcMar>
          </w:tcPr>
          <w:p>
            <w:pPr>
              <w:jc w:val="left"/>
            </w:pPr>
          </w:p>
        </w:tc>
        <w:tc>
          <w:tcPr>
            <w:tcW w:type="dxa" w:w="1912"/>
            <w:tcMar>
              <w:top w:type="dxa" w:w="60"/>
              <w:left w:type="dxa" w:w="80"/>
              <w:bottom w:type="dxa" w:w="60"/>
              <w:right w:type="dxa" w:w="80"/>
            </w:tcMar>
          </w:tcPr>
          <w:p>
            <w:pPr>
              <w:jc w:val="left"/>
            </w:pPr>
          </w:p>
        </w:tc>
        <w:tc>
          <w:tcPr>
            <w:tcW w:type="dxa" w:w="501"/>
            <w:tcMar>
              <w:top w:type="dxa" w:w="60"/>
              <w:left w:type="dxa" w:w="80"/>
              <w:bottom w:type="dxa" w:w="60"/>
              <w:right w:type="dxa" w:w="80"/>
            </w:tcMar>
          </w:tcPr>
          <w:p>
            <w:pPr>
              <w:jc w:val="right"/>
            </w:pPr>
            <w:r>
              <w:rPr>
                <w:sz w:val="16"/>
                <w:szCs w:val="16"/>
              </w:rPr>
              <w:t xml:space="preserve">60</w:t>
            </w:r>
          </w:p>
        </w:tc>
      </w:tr>
    </w:tbl>
    <w:p>
      <w:pPr>
        <w:spacing w:after="120"/>
      </w:pPr>
    </w:p>
    <w:p>
      <w:pPr>
        <w:spacing w:after="120"/>
      </w:pPr>
      <w:r>
        <w:rPr>
          <w:b/>
          <w:bCs/>
        </w:rPr>
        <w:t xml:space="preserve">Optional total if all are taken: about USD 1,289 a month.</w:t>
      </w:r>
    </w:p>
    <w:p>
      <w:pPr>
        <w:pStyle w:val="Heading3"/>
        <w:spacing w:after="120" w:before="200"/>
      </w:pPr>
      <w:r>
        <w:t xml:space="preserve">3.4 One-off costs</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370"/>
        <w:gridCol w:w="1541"/>
        <w:gridCol w:w="5549"/>
        <w:gridCol w:w="678"/>
        <w:gridCol w:w="5549"/>
        <w:gridCol w:w="1109"/>
      </w:tblGrid>
      <w:tr>
        <w:trPr>
          <w:tblHeader/>
        </w:trPr>
        <w:tc>
          <w:tcPr>
            <w:tcW w:type="dxa" w:w="370"/>
            <w:shd w:fill="E8EEF7" w:color="auto" w:val="clear"/>
            <w:tcMar>
              <w:top w:type="dxa" w:w="60"/>
              <w:left w:type="dxa" w:w="80"/>
              <w:bottom w:type="dxa" w:w="60"/>
              <w:right w:type="dxa" w:w="80"/>
            </w:tcMar>
          </w:tcPr>
          <w:p>
            <w:pPr>
              <w:jc w:val="left"/>
            </w:pPr>
            <w:r>
              <w:rPr>
                <w:b/>
                <w:bCs/>
                <w:sz w:val="16"/>
                <w:szCs w:val="16"/>
              </w:rPr>
              <w:t xml:space="preserve">#</w:t>
            </w:r>
          </w:p>
        </w:tc>
        <w:tc>
          <w:tcPr>
            <w:tcW w:type="dxa" w:w="1541"/>
            <w:shd w:fill="E8EEF7" w:color="auto" w:val="clear"/>
            <w:tcMar>
              <w:top w:type="dxa" w:w="60"/>
              <w:left w:type="dxa" w:w="80"/>
              <w:bottom w:type="dxa" w:w="60"/>
              <w:right w:type="dxa" w:w="80"/>
            </w:tcMar>
          </w:tcPr>
          <w:p>
            <w:pPr>
              <w:jc w:val="left"/>
            </w:pPr>
            <w:r>
              <w:rPr>
                <w:b/>
                <w:bCs/>
                <w:sz w:val="16"/>
                <w:szCs w:val="16"/>
              </w:rPr>
              <w:t xml:space="preserve">Item</w:t>
            </w:r>
          </w:p>
        </w:tc>
        <w:tc>
          <w:tcPr>
            <w:tcW w:type="dxa" w:w="5549"/>
            <w:shd w:fill="E8EEF7" w:color="auto" w:val="clear"/>
            <w:tcMar>
              <w:top w:type="dxa" w:w="60"/>
              <w:left w:type="dxa" w:w="80"/>
              <w:bottom w:type="dxa" w:w="60"/>
              <w:right w:type="dxa" w:w="80"/>
            </w:tcMar>
          </w:tcPr>
          <w:p>
            <w:pPr>
              <w:jc w:val="left"/>
            </w:pPr>
            <w:r>
              <w:rPr>
                <w:b/>
                <w:bCs/>
                <w:sz w:val="16"/>
                <w:szCs w:val="16"/>
              </w:rPr>
              <w:t xml:space="preserve">Specification</w:t>
            </w:r>
          </w:p>
        </w:tc>
        <w:tc>
          <w:tcPr>
            <w:tcW w:type="dxa" w:w="678"/>
            <w:shd w:fill="E8EEF7" w:color="auto" w:val="clear"/>
            <w:tcMar>
              <w:top w:type="dxa" w:w="60"/>
              <w:left w:type="dxa" w:w="80"/>
              <w:bottom w:type="dxa" w:w="60"/>
              <w:right w:type="dxa" w:w="80"/>
            </w:tcMar>
          </w:tcPr>
          <w:p>
            <w:pPr>
              <w:jc w:val="right"/>
            </w:pPr>
            <w:r>
              <w:rPr>
                <w:b/>
                <w:bCs/>
                <w:sz w:val="16"/>
                <w:szCs w:val="16"/>
              </w:rPr>
              <w:t xml:space="preserve">USD per run</w:t>
            </w:r>
          </w:p>
        </w:tc>
        <w:tc>
          <w:tcPr>
            <w:tcW w:type="dxa" w:w="5549"/>
            <w:shd w:fill="E8EEF7" w:color="auto" w:val="clear"/>
            <w:tcMar>
              <w:top w:type="dxa" w:w="60"/>
              <w:left w:type="dxa" w:w="80"/>
              <w:bottom w:type="dxa" w:w="60"/>
              <w:right w:type="dxa" w:w="80"/>
            </w:tcMar>
          </w:tcPr>
          <w:p>
            <w:pPr>
              <w:jc w:val="left"/>
            </w:pPr>
            <w:r>
              <w:rPr>
                <w:b/>
                <w:bCs/>
                <w:sz w:val="16"/>
                <w:szCs w:val="16"/>
              </w:rPr>
              <w:t xml:space="preserve">How it is computed</w:t>
            </w:r>
          </w:p>
        </w:tc>
        <w:tc>
          <w:tcPr>
            <w:tcW w:type="dxa" w:w="1109"/>
            <w:shd w:fill="E8EEF7" w:color="auto" w:val="clear"/>
            <w:tcMar>
              <w:top w:type="dxa" w:w="60"/>
              <w:left w:type="dxa" w:w="80"/>
              <w:bottom w:type="dxa" w:w="60"/>
              <w:right w:type="dxa" w:w="80"/>
            </w:tcMar>
          </w:tcPr>
          <w:p>
            <w:pPr>
              <w:jc w:val="left"/>
            </w:pPr>
            <w:r>
              <w:rPr>
                <w:b/>
                <w:bCs/>
                <w:sz w:val="16"/>
                <w:szCs w:val="16"/>
              </w:rPr>
              <w:t xml:space="preserve">Status</w:t>
            </w:r>
          </w:p>
        </w:tc>
      </w:tr>
      <w:tr>
        <w:tc>
          <w:tcPr>
            <w:tcW w:type="dxa" w:w="370"/>
            <w:tcMar>
              <w:top w:type="dxa" w:w="60"/>
              <w:left w:type="dxa" w:w="80"/>
              <w:bottom w:type="dxa" w:w="60"/>
              <w:right w:type="dxa" w:w="80"/>
            </w:tcMar>
          </w:tcPr>
          <w:p>
            <w:pPr>
              <w:jc w:val="left"/>
            </w:pPr>
            <w:r>
              <w:rPr>
                <w:sz w:val="16"/>
                <w:szCs w:val="16"/>
              </w:rPr>
              <w:t xml:space="preserve">1</w:t>
            </w:r>
          </w:p>
        </w:tc>
        <w:tc>
          <w:tcPr>
            <w:tcW w:type="dxa" w:w="1541"/>
            <w:tcMar>
              <w:top w:type="dxa" w:w="60"/>
              <w:left w:type="dxa" w:w="80"/>
              <w:bottom w:type="dxa" w:w="60"/>
              <w:right w:type="dxa" w:w="80"/>
            </w:tcMar>
          </w:tcPr>
          <w:p>
            <w:pPr>
              <w:jc w:val="left"/>
            </w:pPr>
            <w:r>
              <w:rPr>
                <w:sz w:val="16"/>
                <w:szCs w:val="16"/>
              </w:rPr>
              <w:t xml:space="preserve">Load-test runs S1-S10</w:t>
            </w:r>
          </w:p>
        </w:tc>
        <w:tc>
          <w:tcPr>
            <w:tcW w:type="dxa" w:w="5549"/>
            <w:tcMar>
              <w:top w:type="dxa" w:w="60"/>
              <w:left w:type="dxa" w:w="80"/>
              <w:bottom w:type="dxa" w:w="60"/>
              <w:right w:type="dxa" w:w="80"/>
            </w:tcMar>
          </w:tcPr>
          <w:p>
            <w:pPr>
              <w:jc w:val="left"/>
            </w:pPr>
            <w:r>
              <w:rPr>
                <w:sz w:val="16"/>
                <w:szCs w:val="16"/>
              </w:rPr>
              <w:t xml:space="preserve">one full-size hour = 12,750 virtual users (1.5 x 8,500 SRs) x 1 h = 12,700 billable VUH; 26 engines at 500 users each; 1 certified run with Azure Load Testing + Locust runs on Container Apps Jobs</w:t>
            </w:r>
          </w:p>
        </w:tc>
        <w:tc>
          <w:tcPr>
            <w:tcW w:type="dxa" w:w="678"/>
            <w:tcMar>
              <w:top w:type="dxa" w:w="60"/>
              <w:left w:type="dxa" w:w="80"/>
              <w:bottom w:type="dxa" w:w="60"/>
              <w:right w:type="dxa" w:w="80"/>
            </w:tcMar>
          </w:tcPr>
          <w:p>
            <w:pPr>
              <w:jc w:val="right"/>
            </w:pPr>
            <w:r>
              <w:rPr>
                <w:sz w:val="16"/>
                <w:szCs w:val="16"/>
              </w:rPr>
              <w:t xml:space="preserve">1,905</w:t>
            </w:r>
          </w:p>
        </w:tc>
        <w:tc>
          <w:tcPr>
            <w:tcW w:type="dxa" w:w="5549"/>
            <w:tcMar>
              <w:top w:type="dxa" w:w="60"/>
              <w:left w:type="dxa" w:w="80"/>
              <w:bottom w:type="dxa" w:w="60"/>
              <w:right w:type="dxa" w:w="80"/>
            </w:tcMar>
          </w:tcPr>
          <w:p>
            <w:pPr>
              <w:jc w:val="left"/>
            </w:pPr>
            <w:r>
              <w:rPr>
                <w:sz w:val="16"/>
                <w:szCs w:val="16"/>
              </w:rPr>
              <w:t xml:space="preserve">12,700 x 0.15 = 1,905 per Azure Load Testing run; a Locust run on Container Apps Jobs costs about 20</w:t>
            </w:r>
          </w:p>
        </w:tc>
        <w:tc>
          <w:tcPr>
            <w:tcW w:type="dxa" w:w="1109"/>
            <w:tcMar>
              <w:top w:type="dxa" w:w="60"/>
              <w:left w:type="dxa" w:w="80"/>
              <w:bottom w:type="dxa" w:w="60"/>
              <w:right w:type="dxa" w:w="80"/>
            </w:tcMar>
          </w:tcPr>
          <w:p>
            <w:pPr>
              <w:jc w:val="left"/>
            </w:pPr>
            <w:r>
              <w:rPr>
                <w:sz w:val="16"/>
                <w:szCs w:val="16"/>
              </w:rPr>
              <w:t xml:space="preserve">final account only</w:t>
            </w:r>
          </w:p>
        </w:tc>
      </w:tr>
    </w:tbl>
    <w:p>
      <w:pPr>
        <w:spacing w:after="120"/>
      </w:pPr>
    </w:p>
    <w:p>
      <w:pPr>
        <w:pStyle w:val="Heading2"/>
        <w:spacing w:after="120" w:before="200"/>
      </w:pPr>
      <w:r>
        <w:t xml:space="preserve">4. Spec+: existing web properties migrated into the same account</w:t>
      </w:r>
    </w:p>
    <w:p>
      <w:pPr>
        <w:spacing w:after="60" w:before="120"/>
        <w:jc w:val="center"/>
      </w:pPr>
      <w:r>
        <w:drawing>
          <wp:inline distT="0" distB="0" distL="0" distR="0">
            <wp:extent cx="9391650" cy="3752850"/>
            <wp:effectExtent t="0" r="0" b="0" l="0"/>
            <wp:docPr id="1" name="Spec+ — existing sites" descr="Spec+ — existing sites" title="Spec+ — existing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391650" cy="3752850"/>
                    </a:xfrm>
                    <a:prstGeom prst="rect">
                      <a:avLst/>
                    </a:prstGeom>
                  </pic:spPr>
                </pic:pic>
              </a:graphicData>
            </a:graphic>
          </wp:inline>
        </w:drawing>
      </w:r>
    </w:p>
    <w:p>
      <w:pPr>
        <w:spacing w:after="200"/>
        <w:jc w:val="center"/>
      </w:pPr>
      <w:r>
        <w:rPr>
          <w:i/>
          <w:iCs/>
          <w:color w:val="555555"/>
          <w:sz w:val="19"/>
          <w:szCs w:val="19"/>
        </w:rPr>
        <w:t xml:space="preserve">Spec+ — The existing sites share the edge, DNS and monitoring with Aron and get their own App Service plan and MySQL server.</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235"/>
        <w:gridCol w:w="2544"/>
        <w:gridCol w:w="3523"/>
        <w:gridCol w:w="1331"/>
        <w:gridCol w:w="3523"/>
        <w:gridCol w:w="3210"/>
        <w:gridCol w:w="430"/>
      </w:tblGrid>
      <w:tr>
        <w:trPr>
          <w:tblHeader/>
        </w:trPr>
        <w:tc>
          <w:tcPr>
            <w:tcW w:type="dxa" w:w="235"/>
            <w:shd w:fill="E8EEF7" w:color="auto" w:val="clear"/>
            <w:tcMar>
              <w:top w:type="dxa" w:w="60"/>
              <w:left w:type="dxa" w:w="80"/>
              <w:bottom w:type="dxa" w:w="60"/>
              <w:right w:type="dxa" w:w="80"/>
            </w:tcMar>
          </w:tcPr>
          <w:p>
            <w:pPr>
              <w:jc w:val="left"/>
            </w:pPr>
            <w:r>
              <w:rPr>
                <w:b/>
                <w:bCs/>
                <w:sz w:val="16"/>
                <w:szCs w:val="16"/>
              </w:rPr>
              <w:t xml:space="preserve">#</w:t>
            </w:r>
          </w:p>
        </w:tc>
        <w:tc>
          <w:tcPr>
            <w:tcW w:type="dxa" w:w="2544"/>
            <w:shd w:fill="E8EEF7" w:color="auto" w:val="clear"/>
            <w:tcMar>
              <w:top w:type="dxa" w:w="60"/>
              <w:left w:type="dxa" w:w="80"/>
              <w:bottom w:type="dxa" w:w="60"/>
              <w:right w:type="dxa" w:w="80"/>
            </w:tcMar>
          </w:tcPr>
          <w:p>
            <w:pPr>
              <w:jc w:val="left"/>
            </w:pPr>
            <w:r>
              <w:rPr>
                <w:b/>
                <w:bCs/>
                <w:sz w:val="16"/>
                <w:szCs w:val="16"/>
              </w:rPr>
              <w:t xml:space="preserve">Resource</w:t>
            </w:r>
          </w:p>
        </w:tc>
        <w:tc>
          <w:tcPr>
            <w:tcW w:type="dxa" w:w="3523"/>
            <w:shd w:fill="E8EEF7" w:color="auto" w:val="clear"/>
            <w:tcMar>
              <w:top w:type="dxa" w:w="60"/>
              <w:left w:type="dxa" w:w="80"/>
              <w:bottom w:type="dxa" w:w="60"/>
              <w:right w:type="dxa" w:w="80"/>
            </w:tcMar>
          </w:tcPr>
          <w:p>
            <w:pPr>
              <w:jc w:val="left"/>
            </w:pPr>
            <w:r>
              <w:rPr>
                <w:b/>
                <w:bCs/>
                <w:sz w:val="16"/>
                <w:szCs w:val="16"/>
              </w:rPr>
              <w:t xml:space="preserve">Specification</w:t>
            </w:r>
          </w:p>
        </w:tc>
        <w:tc>
          <w:tcPr>
            <w:tcW w:type="dxa" w:w="1331"/>
            <w:shd w:fill="E8EEF7" w:color="auto" w:val="clear"/>
            <w:tcMar>
              <w:top w:type="dxa" w:w="60"/>
              <w:left w:type="dxa" w:w="80"/>
              <w:bottom w:type="dxa" w:w="60"/>
              <w:right w:type="dxa" w:w="80"/>
            </w:tcMar>
          </w:tcPr>
          <w:p>
            <w:pPr>
              <w:jc w:val="left"/>
            </w:pPr>
            <w:r>
              <w:rPr>
                <w:b/>
                <w:bCs/>
                <w:sz w:val="16"/>
                <w:szCs w:val="16"/>
              </w:rPr>
              <w:t xml:space="preserve">Quantity</w:t>
            </w:r>
          </w:p>
        </w:tc>
        <w:tc>
          <w:tcPr>
            <w:tcW w:type="dxa" w:w="3523"/>
            <w:shd w:fill="E8EEF7" w:color="auto" w:val="clear"/>
            <w:tcMar>
              <w:top w:type="dxa" w:w="60"/>
              <w:left w:type="dxa" w:w="80"/>
              <w:bottom w:type="dxa" w:w="60"/>
              <w:right w:type="dxa" w:w="80"/>
            </w:tcMar>
          </w:tcPr>
          <w:p>
            <w:pPr>
              <w:jc w:val="left"/>
            </w:pPr>
            <w:r>
              <w:rPr>
                <w:b/>
                <w:bCs/>
                <w:sz w:val="16"/>
                <w:szCs w:val="16"/>
              </w:rPr>
              <w:t xml:space="preserve">Why this specification</w:t>
            </w:r>
          </w:p>
        </w:tc>
        <w:tc>
          <w:tcPr>
            <w:tcW w:type="dxa" w:w="3210"/>
            <w:shd w:fill="E8EEF7" w:color="auto" w:val="clear"/>
            <w:tcMar>
              <w:top w:type="dxa" w:w="60"/>
              <w:left w:type="dxa" w:w="80"/>
              <w:bottom w:type="dxa" w:w="60"/>
              <w:right w:type="dxa" w:w="80"/>
            </w:tcMar>
          </w:tcPr>
          <w:p>
            <w:pPr>
              <w:jc w:val="left"/>
            </w:pPr>
            <w:r>
              <w:rPr>
                <w:b/>
                <w:bCs/>
                <w:sz w:val="16"/>
                <w:szCs w:val="16"/>
              </w:rPr>
              <w:t xml:space="preserve">Why this quantity</w:t>
            </w:r>
          </w:p>
        </w:tc>
        <w:tc>
          <w:tcPr>
            <w:tcW w:type="dxa" w:w="430"/>
            <w:shd w:fill="E8EEF7" w:color="auto" w:val="clear"/>
            <w:tcMar>
              <w:top w:type="dxa" w:w="60"/>
              <w:left w:type="dxa" w:w="80"/>
              <w:bottom w:type="dxa" w:w="60"/>
              <w:right w:type="dxa" w:w="80"/>
            </w:tcMar>
          </w:tcPr>
          <w:p>
            <w:pPr>
              <w:jc w:val="right"/>
            </w:pPr>
            <w:r>
              <w:rPr>
                <w:b/>
                <w:bCs/>
                <w:sz w:val="16"/>
                <w:szCs w:val="16"/>
              </w:rPr>
              <w:t xml:space="preserve">USD / month</w:t>
            </w:r>
          </w:p>
        </w:tc>
      </w:tr>
      <w:tr>
        <w:tc>
          <w:tcPr>
            <w:tcW w:type="dxa" w:w="235"/>
            <w:tcMar>
              <w:top w:type="dxa" w:w="60"/>
              <w:left w:type="dxa" w:w="80"/>
              <w:bottom w:type="dxa" w:w="60"/>
              <w:right w:type="dxa" w:w="80"/>
            </w:tcMar>
          </w:tcPr>
          <w:p>
            <w:pPr>
              <w:jc w:val="left"/>
            </w:pPr>
            <w:r>
              <w:rPr>
                <w:sz w:val="16"/>
                <w:szCs w:val="16"/>
              </w:rPr>
              <w:t xml:space="preserve">1</w:t>
            </w:r>
          </w:p>
        </w:tc>
        <w:tc>
          <w:tcPr>
            <w:tcW w:type="dxa" w:w="2544"/>
            <w:tcMar>
              <w:top w:type="dxa" w:w="60"/>
              <w:left w:type="dxa" w:w="80"/>
              <w:bottom w:type="dxa" w:w="60"/>
              <w:right w:type="dxa" w:w="80"/>
            </w:tcMar>
          </w:tcPr>
          <w:p>
            <w:pPr>
              <w:jc w:val="left"/>
            </w:pPr>
            <w:r>
              <w:rPr>
                <w:sz w:val="16"/>
                <w:szCs w:val="16"/>
              </w:rPr>
              <w:t xml:space="preserve">App Service plan `asp-aktcl-web` (Linux Premium v3 P1)</w:t>
            </w:r>
          </w:p>
        </w:tc>
        <w:tc>
          <w:tcPr>
            <w:tcW w:type="dxa" w:w="3523"/>
            <w:tcMar>
              <w:top w:type="dxa" w:w="60"/>
              <w:left w:type="dxa" w:w="80"/>
              <w:bottom w:type="dxa" w:w="60"/>
              <w:right w:type="dxa" w:w="80"/>
            </w:tcMar>
          </w:tcPr>
          <w:p>
            <w:pPr>
              <w:jc w:val="left"/>
            </w:pPr>
            <w:r>
              <w:rPr>
                <w:sz w:val="16"/>
                <w:szCs w:val="16"/>
              </w:rPr>
              <w:t xml:space="preserve">2 vCPU / 8 GiB, Linux, zone-redundant off, autoscale 1 to 2 instances, deployment slots, managed TLS certificates</w:t>
            </w:r>
          </w:p>
        </w:tc>
        <w:tc>
          <w:tcPr>
            <w:tcW w:type="dxa" w:w="1331"/>
            <w:tcMar>
              <w:top w:type="dxa" w:w="60"/>
              <w:left w:type="dxa" w:w="80"/>
              <w:bottom w:type="dxa" w:w="60"/>
              <w:right w:type="dxa" w:w="80"/>
            </w:tcMar>
          </w:tcPr>
          <w:p>
            <w:pPr>
              <w:jc w:val="left"/>
            </w:pPr>
            <w:r>
              <w:rPr>
                <w:sz w:val="16"/>
                <w:szCs w:val="16"/>
              </w:rPr>
              <w:t xml:space="preserve">1 plan hosting 4 sites + 2 reserve</w:t>
            </w:r>
          </w:p>
        </w:tc>
        <w:tc>
          <w:tcPr>
            <w:tcW w:type="dxa" w:w="3523"/>
            <w:tcMar>
              <w:top w:type="dxa" w:w="60"/>
              <w:left w:type="dxa" w:w="80"/>
              <w:bottom w:type="dxa" w:w="60"/>
              <w:right w:type="dxa" w:w="80"/>
            </w:tcMar>
          </w:tcPr>
          <w:p>
            <w:pPr>
              <w:jc w:val="left"/>
            </w:pPr>
            <w:r>
              <w:rPr>
                <w:sz w:val="16"/>
                <w:szCs w:val="16"/>
              </w:rPr>
              <w:t xml:space="preserve">P1v3 runs four to six PHP/WordPress or Node sites with headroom; Basic tiers have no autoscale or slots</w:t>
            </w:r>
          </w:p>
        </w:tc>
        <w:tc>
          <w:tcPr>
            <w:tcW w:type="dxa" w:w="3210"/>
            <w:tcMar>
              <w:top w:type="dxa" w:w="60"/>
              <w:left w:type="dxa" w:w="80"/>
              <w:bottom w:type="dxa" w:w="60"/>
              <w:right w:type="dxa" w:w="80"/>
            </w:tcMar>
          </w:tcPr>
          <w:p>
            <w:pPr>
              <w:jc w:val="left"/>
            </w:pPr>
            <w:r>
              <w:rPr>
                <w:sz w:val="16"/>
                <w:szCs w:val="16"/>
              </w:rPr>
              <w:t xml:space="preserve">One plan shares its vCPU across the sites; a second instance only during campaigns</w:t>
            </w:r>
          </w:p>
        </w:tc>
        <w:tc>
          <w:tcPr>
            <w:tcW w:type="dxa" w:w="430"/>
            <w:tcMar>
              <w:top w:type="dxa" w:w="60"/>
              <w:left w:type="dxa" w:w="80"/>
              <w:bottom w:type="dxa" w:w="60"/>
              <w:right w:type="dxa" w:w="80"/>
            </w:tcMar>
          </w:tcPr>
          <w:p>
            <w:pPr>
              <w:jc w:val="right"/>
            </w:pPr>
            <w:r>
              <w:rPr>
                <w:sz w:val="16"/>
                <w:szCs w:val="16"/>
              </w:rPr>
              <w:t xml:space="preserve">154</w:t>
            </w:r>
          </w:p>
        </w:tc>
      </w:tr>
      <w:tr>
        <w:tc>
          <w:tcPr>
            <w:tcW w:type="dxa" w:w="235"/>
            <w:tcMar>
              <w:top w:type="dxa" w:w="60"/>
              <w:left w:type="dxa" w:w="80"/>
              <w:bottom w:type="dxa" w:w="60"/>
              <w:right w:type="dxa" w:w="80"/>
            </w:tcMar>
          </w:tcPr>
          <w:p>
            <w:pPr>
              <w:jc w:val="left"/>
            </w:pPr>
            <w:r>
              <w:rPr>
                <w:sz w:val="16"/>
                <w:szCs w:val="16"/>
              </w:rPr>
              <w:t xml:space="preserve">2</w:t>
            </w:r>
          </w:p>
        </w:tc>
        <w:tc>
          <w:tcPr>
            <w:tcW w:type="dxa" w:w="2544"/>
            <w:tcMar>
              <w:top w:type="dxa" w:w="60"/>
              <w:left w:type="dxa" w:w="80"/>
              <w:bottom w:type="dxa" w:w="60"/>
              <w:right w:type="dxa" w:w="80"/>
            </w:tcMar>
          </w:tcPr>
          <w:p>
            <w:pPr>
              <w:jc w:val="left"/>
            </w:pPr>
            <w:r>
              <w:rPr>
                <w:sz w:val="16"/>
                <w:szCs w:val="16"/>
              </w:rPr>
              <w:t xml:space="preserve">Azure Database for MySQL Flexible Server `mysql-aktcl-web`</w:t>
            </w:r>
          </w:p>
        </w:tc>
        <w:tc>
          <w:tcPr>
            <w:tcW w:type="dxa" w:w="3523"/>
            <w:tcMar>
              <w:top w:type="dxa" w:w="60"/>
              <w:left w:type="dxa" w:w="80"/>
              <w:bottom w:type="dxa" w:w="60"/>
              <w:right w:type="dxa" w:w="80"/>
            </w:tcMar>
          </w:tcPr>
          <w:p>
            <w:pPr>
              <w:jc w:val="left"/>
            </w:pPr>
            <w:r>
              <w:rPr>
                <w:sz w:val="16"/>
                <w:szCs w:val="16"/>
              </w:rPr>
              <w:t xml:space="preserve">Burstable B2s (2 vCore, 4 GiB), 64 GiB storage, 7-day backup, private access</w:t>
            </w:r>
          </w:p>
        </w:tc>
        <w:tc>
          <w:tcPr>
            <w:tcW w:type="dxa" w:w="1331"/>
            <w:tcMar>
              <w:top w:type="dxa" w:w="60"/>
              <w:left w:type="dxa" w:w="80"/>
              <w:bottom w:type="dxa" w:w="60"/>
              <w:right w:type="dxa" w:w="80"/>
            </w:tcMar>
          </w:tcPr>
          <w:p>
            <w:pPr>
              <w:jc w:val="left"/>
            </w:pPr>
            <w:r>
              <w:rPr>
                <w:sz w:val="16"/>
                <w:szCs w:val="16"/>
              </w:rPr>
              <w:t xml:space="preserve">1 server, one database per site</w:t>
            </w:r>
          </w:p>
        </w:tc>
        <w:tc>
          <w:tcPr>
            <w:tcW w:type="dxa" w:w="3523"/>
            <w:tcMar>
              <w:top w:type="dxa" w:w="60"/>
              <w:left w:type="dxa" w:w="80"/>
              <w:bottom w:type="dxa" w:w="60"/>
              <w:right w:type="dxa" w:w="80"/>
            </w:tcMar>
          </w:tcPr>
          <w:p>
            <w:pPr>
              <w:jc w:val="left"/>
            </w:pPr>
            <w:r>
              <w:rPr>
                <w:sz w:val="16"/>
                <w:szCs w:val="16"/>
              </w:rPr>
              <w:t xml:space="preserve">A burstable server fits brochure sites whose database load is small and spiky</w:t>
            </w:r>
          </w:p>
        </w:tc>
        <w:tc>
          <w:tcPr>
            <w:tcW w:type="dxa" w:w="3210"/>
            <w:tcMar>
              <w:top w:type="dxa" w:w="60"/>
              <w:left w:type="dxa" w:w="80"/>
              <w:bottom w:type="dxa" w:w="60"/>
              <w:right w:type="dxa" w:w="80"/>
            </w:tcMar>
          </w:tcPr>
          <w:p>
            <w:pPr>
              <w:jc w:val="left"/>
            </w:pPr>
            <w:r>
              <w:rPr>
                <w:sz w:val="16"/>
                <w:szCs w:val="16"/>
              </w:rPr>
              <w:t xml:space="preserve">One server for all sites; the free backup covers the storage size</w:t>
            </w:r>
          </w:p>
        </w:tc>
        <w:tc>
          <w:tcPr>
            <w:tcW w:type="dxa" w:w="430"/>
            <w:tcMar>
              <w:top w:type="dxa" w:w="60"/>
              <w:left w:type="dxa" w:w="80"/>
              <w:bottom w:type="dxa" w:w="60"/>
              <w:right w:type="dxa" w:w="80"/>
            </w:tcMar>
          </w:tcPr>
          <w:p>
            <w:pPr>
              <w:jc w:val="right"/>
            </w:pPr>
            <w:r>
              <w:rPr>
                <w:sz w:val="16"/>
                <w:szCs w:val="16"/>
              </w:rPr>
              <w:t xml:space="preserve">85</w:t>
            </w:r>
          </w:p>
        </w:tc>
      </w:tr>
      <w:tr>
        <w:tc>
          <w:tcPr>
            <w:tcW w:type="dxa" w:w="235"/>
            <w:tcMar>
              <w:top w:type="dxa" w:w="60"/>
              <w:left w:type="dxa" w:w="80"/>
              <w:bottom w:type="dxa" w:w="60"/>
              <w:right w:type="dxa" w:w="80"/>
            </w:tcMar>
          </w:tcPr>
          <w:p>
            <w:pPr>
              <w:jc w:val="left"/>
            </w:pPr>
            <w:r>
              <w:rPr>
                <w:sz w:val="16"/>
                <w:szCs w:val="16"/>
              </w:rPr>
              <w:t xml:space="preserve">3</w:t>
            </w:r>
          </w:p>
        </w:tc>
        <w:tc>
          <w:tcPr>
            <w:tcW w:type="dxa" w:w="2544"/>
            <w:tcMar>
              <w:top w:type="dxa" w:w="60"/>
              <w:left w:type="dxa" w:w="80"/>
              <w:bottom w:type="dxa" w:w="60"/>
              <w:right w:type="dxa" w:w="80"/>
            </w:tcMar>
          </w:tcPr>
          <w:p>
            <w:pPr>
              <w:jc w:val="left"/>
            </w:pPr>
            <w:r>
              <w:rPr>
                <w:sz w:val="16"/>
                <w:szCs w:val="16"/>
              </w:rPr>
              <w:t xml:space="preserve">Storage account `staktclweb` (LRS)</w:t>
            </w:r>
          </w:p>
        </w:tc>
        <w:tc>
          <w:tcPr>
            <w:tcW w:type="dxa" w:w="3523"/>
            <w:tcMar>
              <w:top w:type="dxa" w:w="60"/>
              <w:left w:type="dxa" w:w="80"/>
              <w:bottom w:type="dxa" w:w="60"/>
              <w:right w:type="dxa" w:w="80"/>
            </w:tcMar>
          </w:tcPr>
          <w:p>
            <w:pPr>
              <w:jc w:val="left"/>
            </w:pPr>
            <w:r>
              <w:rPr>
                <w:sz w:val="16"/>
                <w:szCs w:val="16"/>
              </w:rPr>
              <w:t xml:space="preserve">media uploads and App Service backups</w:t>
            </w:r>
          </w:p>
        </w:tc>
        <w:tc>
          <w:tcPr>
            <w:tcW w:type="dxa" w:w="1331"/>
            <w:tcMar>
              <w:top w:type="dxa" w:w="60"/>
              <w:left w:type="dxa" w:w="80"/>
              <w:bottom w:type="dxa" w:w="60"/>
              <w:right w:type="dxa" w:w="80"/>
            </w:tcMar>
          </w:tcPr>
          <w:p>
            <w:pPr>
              <w:jc w:val="left"/>
            </w:pPr>
            <w:r>
              <w:rPr>
                <w:sz w:val="16"/>
                <w:szCs w:val="16"/>
              </w:rPr>
              <w:t xml:space="preserve">1</w:t>
            </w:r>
          </w:p>
        </w:tc>
        <w:tc>
          <w:tcPr>
            <w:tcW w:type="dxa" w:w="3523"/>
            <w:tcMar>
              <w:top w:type="dxa" w:w="60"/>
              <w:left w:type="dxa" w:w="80"/>
              <w:bottom w:type="dxa" w:w="60"/>
              <w:right w:type="dxa" w:w="80"/>
            </w:tcMar>
          </w:tcPr>
          <w:p>
            <w:pPr>
              <w:jc w:val="left"/>
            </w:pPr>
            <w:r>
              <w:rPr>
                <w:sz w:val="16"/>
                <w:szCs w:val="16"/>
              </w:rPr>
              <w:t xml:space="preserve">Static media and nightly backups off the web server</w:t>
            </w:r>
          </w:p>
        </w:tc>
        <w:tc>
          <w:tcPr>
            <w:tcW w:type="dxa" w:w="3210"/>
            <w:tcMar>
              <w:top w:type="dxa" w:w="60"/>
              <w:left w:type="dxa" w:w="80"/>
              <w:bottom w:type="dxa" w:w="60"/>
              <w:right w:type="dxa" w:w="80"/>
            </w:tcMar>
          </w:tcPr>
          <w:p>
            <w:pPr>
              <w:jc w:val="left"/>
            </w:pPr>
          </w:p>
        </w:tc>
        <w:tc>
          <w:tcPr>
            <w:tcW w:type="dxa" w:w="430"/>
            <w:tcMar>
              <w:top w:type="dxa" w:w="60"/>
              <w:left w:type="dxa" w:w="80"/>
              <w:bottom w:type="dxa" w:w="60"/>
              <w:right w:type="dxa" w:w="80"/>
            </w:tcMar>
          </w:tcPr>
          <w:p>
            <w:pPr>
              <w:jc w:val="right"/>
            </w:pPr>
            <w:r>
              <w:rPr>
                <w:sz w:val="16"/>
                <w:szCs w:val="16"/>
              </w:rPr>
              <w:t xml:space="preserve">3</w:t>
            </w:r>
          </w:p>
        </w:tc>
      </w:tr>
      <w:tr>
        <w:tc>
          <w:tcPr>
            <w:tcW w:type="dxa" w:w="235"/>
            <w:tcMar>
              <w:top w:type="dxa" w:w="60"/>
              <w:left w:type="dxa" w:w="80"/>
              <w:bottom w:type="dxa" w:w="60"/>
              <w:right w:type="dxa" w:w="80"/>
            </w:tcMar>
          </w:tcPr>
          <w:p>
            <w:pPr>
              <w:jc w:val="left"/>
            </w:pPr>
            <w:r>
              <w:rPr>
                <w:sz w:val="16"/>
                <w:szCs w:val="16"/>
              </w:rPr>
              <w:t xml:space="preserve">4</w:t>
            </w:r>
          </w:p>
        </w:tc>
        <w:tc>
          <w:tcPr>
            <w:tcW w:type="dxa" w:w="2544"/>
            <w:tcMar>
              <w:top w:type="dxa" w:w="60"/>
              <w:left w:type="dxa" w:w="80"/>
              <w:bottom w:type="dxa" w:w="60"/>
              <w:right w:type="dxa" w:w="80"/>
            </w:tcMar>
          </w:tcPr>
          <w:p>
            <w:pPr>
              <w:jc w:val="left"/>
            </w:pPr>
            <w:r>
              <w:rPr>
                <w:sz w:val="16"/>
                <w:szCs w:val="16"/>
              </w:rPr>
              <w:t xml:space="preserve">Azure DNS public zones</w:t>
            </w:r>
          </w:p>
        </w:tc>
        <w:tc>
          <w:tcPr>
            <w:tcW w:type="dxa" w:w="3523"/>
            <w:tcMar>
              <w:top w:type="dxa" w:w="60"/>
              <w:left w:type="dxa" w:w="80"/>
              <w:bottom w:type="dxa" w:w="60"/>
              <w:right w:type="dxa" w:w="80"/>
            </w:tcMar>
          </w:tcPr>
          <w:p>
            <w:pPr>
              <w:jc w:val="left"/>
            </w:pPr>
            <w:r>
              <w:rPr>
                <w:sz w:val="16"/>
                <w:szCs w:val="16"/>
              </w:rPr>
              <w:t xml:space="preserve">aktcl.com, aksilage.com, shahagro.com, arondeepstate.com and two more</w:t>
            </w:r>
          </w:p>
        </w:tc>
        <w:tc>
          <w:tcPr>
            <w:tcW w:type="dxa" w:w="1331"/>
            <w:tcMar>
              <w:top w:type="dxa" w:w="60"/>
              <w:left w:type="dxa" w:w="80"/>
              <w:bottom w:type="dxa" w:w="60"/>
              <w:right w:type="dxa" w:w="80"/>
            </w:tcMar>
          </w:tcPr>
          <w:p>
            <w:pPr>
              <w:jc w:val="left"/>
            </w:pPr>
            <w:r>
              <w:rPr>
                <w:sz w:val="16"/>
                <w:szCs w:val="16"/>
              </w:rPr>
              <w:t xml:space="preserve">6 zones</w:t>
            </w:r>
          </w:p>
        </w:tc>
        <w:tc>
          <w:tcPr>
            <w:tcW w:type="dxa" w:w="3523"/>
            <w:tcMar>
              <w:top w:type="dxa" w:w="60"/>
              <w:left w:type="dxa" w:w="80"/>
              <w:bottom w:type="dxa" w:w="60"/>
              <w:right w:type="dxa" w:w="80"/>
            </w:tcMar>
          </w:tcPr>
          <w:p>
            <w:pPr>
              <w:jc w:val="left"/>
            </w:pPr>
            <w:r>
              <w:rPr>
                <w:sz w:val="16"/>
                <w:szCs w:val="16"/>
              </w:rPr>
              <w:t xml:space="preserve">Zones move with the sites so the cut-over is a name-server change</w:t>
            </w:r>
          </w:p>
        </w:tc>
        <w:tc>
          <w:tcPr>
            <w:tcW w:type="dxa" w:w="3210"/>
            <w:tcMar>
              <w:top w:type="dxa" w:w="60"/>
              <w:left w:type="dxa" w:w="80"/>
              <w:bottom w:type="dxa" w:w="60"/>
              <w:right w:type="dxa" w:w="80"/>
            </w:tcMar>
          </w:tcPr>
          <w:p>
            <w:pPr>
              <w:jc w:val="left"/>
            </w:pPr>
          </w:p>
        </w:tc>
        <w:tc>
          <w:tcPr>
            <w:tcW w:type="dxa" w:w="430"/>
            <w:tcMar>
              <w:top w:type="dxa" w:w="60"/>
              <w:left w:type="dxa" w:w="80"/>
              <w:bottom w:type="dxa" w:w="60"/>
              <w:right w:type="dxa" w:w="80"/>
            </w:tcMar>
          </w:tcPr>
          <w:p>
            <w:pPr>
              <w:jc w:val="right"/>
            </w:pPr>
            <w:r>
              <w:rPr>
                <w:sz w:val="16"/>
                <w:szCs w:val="16"/>
              </w:rPr>
              <w:t xml:space="preserve">4</w:t>
            </w:r>
          </w:p>
        </w:tc>
      </w:tr>
      <w:tr>
        <w:tc>
          <w:tcPr>
            <w:tcW w:type="dxa" w:w="235"/>
            <w:tcMar>
              <w:top w:type="dxa" w:w="60"/>
              <w:left w:type="dxa" w:w="80"/>
              <w:bottom w:type="dxa" w:w="60"/>
              <w:right w:type="dxa" w:w="80"/>
            </w:tcMar>
          </w:tcPr>
          <w:p>
            <w:pPr>
              <w:jc w:val="left"/>
            </w:pPr>
            <w:r>
              <w:rPr>
                <w:sz w:val="16"/>
                <w:szCs w:val="16"/>
              </w:rPr>
              <w:t xml:space="preserve">5</w:t>
            </w:r>
          </w:p>
        </w:tc>
        <w:tc>
          <w:tcPr>
            <w:tcW w:type="dxa" w:w="2544"/>
            <w:tcMar>
              <w:top w:type="dxa" w:w="60"/>
              <w:left w:type="dxa" w:w="80"/>
              <w:bottom w:type="dxa" w:w="60"/>
              <w:right w:type="dxa" w:w="80"/>
            </w:tcMar>
          </w:tcPr>
          <w:p>
            <w:pPr>
              <w:jc w:val="left"/>
            </w:pPr>
            <w:r>
              <w:rPr>
                <w:sz w:val="16"/>
                <w:szCs w:val="16"/>
              </w:rPr>
              <w:t xml:space="preserve">Front Door routes and custom domains (shared Premium profile)</w:t>
            </w:r>
          </w:p>
        </w:tc>
        <w:tc>
          <w:tcPr>
            <w:tcW w:type="dxa" w:w="3523"/>
            <w:tcMar>
              <w:top w:type="dxa" w:w="60"/>
              <w:left w:type="dxa" w:w="80"/>
              <w:bottom w:type="dxa" w:w="60"/>
              <w:right w:type="dxa" w:w="80"/>
            </w:tcMar>
          </w:tcPr>
          <w:p>
            <w:pPr>
              <w:jc w:val="left"/>
            </w:pPr>
            <w:r>
              <w:rPr>
                <w:sz w:val="16"/>
                <w:szCs w:val="16"/>
              </w:rPr>
              <w:t xml:space="preserve">one route per domain on </w:t>
            </w:r>
            <w:r>
              <w:rPr>
                <w:rFonts w:ascii="Consolas" w:cs="Consolas" w:eastAsia="Consolas" w:hAnsi="Consolas"/>
                <w:sz w:val="16"/>
                <w:szCs w:val="16"/>
              </w:rPr>
              <w:t xml:space="preserve">afd-aron-prod</w:t>
            </w:r>
            <w:r>
              <w:rPr>
                <w:sz w:val="16"/>
                <w:szCs w:val="16"/>
              </w:rPr>
              <w:t xml:space="preserve">, WAF, managed certificates</w:t>
            </w:r>
          </w:p>
        </w:tc>
        <w:tc>
          <w:tcPr>
            <w:tcW w:type="dxa" w:w="1331"/>
            <w:tcMar>
              <w:top w:type="dxa" w:w="60"/>
              <w:left w:type="dxa" w:w="80"/>
              <w:bottom w:type="dxa" w:w="60"/>
              <w:right w:type="dxa" w:w="80"/>
            </w:tcMar>
          </w:tcPr>
          <w:p>
            <w:pPr>
              <w:jc w:val="left"/>
            </w:pPr>
            <w:r>
              <w:rPr>
                <w:sz w:val="16"/>
                <w:szCs w:val="16"/>
              </w:rPr>
              <w:t xml:space="preserve">6 domains</w:t>
            </w:r>
          </w:p>
        </w:tc>
        <w:tc>
          <w:tcPr>
            <w:tcW w:type="dxa" w:w="3523"/>
            <w:tcMar>
              <w:top w:type="dxa" w:w="60"/>
              <w:left w:type="dxa" w:w="80"/>
              <w:bottom w:type="dxa" w:w="60"/>
              <w:right w:type="dxa" w:w="80"/>
            </w:tcMar>
          </w:tcPr>
          <w:p>
            <w:pPr>
              <w:jc w:val="left"/>
            </w:pPr>
            <w:r>
              <w:rPr>
                <w:sz w:val="16"/>
                <w:szCs w:val="16"/>
              </w:rPr>
              <w:t xml:space="preserve">No second edge profile: the Aron profile already pays the base fee</w:t>
            </w:r>
          </w:p>
        </w:tc>
        <w:tc>
          <w:tcPr>
            <w:tcW w:type="dxa" w:w="3210"/>
            <w:tcMar>
              <w:top w:type="dxa" w:w="60"/>
              <w:left w:type="dxa" w:w="80"/>
              <w:bottom w:type="dxa" w:w="60"/>
              <w:right w:type="dxa" w:w="80"/>
            </w:tcMar>
          </w:tcPr>
          <w:p>
            <w:pPr>
              <w:jc w:val="left"/>
            </w:pPr>
          </w:p>
        </w:tc>
        <w:tc>
          <w:tcPr>
            <w:tcW w:type="dxa" w:w="430"/>
            <w:tcMar>
              <w:top w:type="dxa" w:w="60"/>
              <w:left w:type="dxa" w:w="80"/>
              <w:bottom w:type="dxa" w:w="60"/>
              <w:right w:type="dxa" w:w="80"/>
            </w:tcMar>
          </w:tcPr>
          <w:p>
            <w:pPr>
              <w:jc w:val="right"/>
            </w:pPr>
            <w:r>
              <w:rPr>
                <w:sz w:val="16"/>
                <w:szCs w:val="16"/>
              </w:rPr>
              <w:t xml:space="preserve">51</w:t>
            </w:r>
          </w:p>
        </w:tc>
      </w:tr>
      <w:tr>
        <w:tc>
          <w:tcPr>
            <w:tcW w:type="dxa" w:w="235"/>
            <w:tcMar>
              <w:top w:type="dxa" w:w="60"/>
              <w:left w:type="dxa" w:w="80"/>
              <w:bottom w:type="dxa" w:w="60"/>
              <w:right w:type="dxa" w:w="80"/>
            </w:tcMar>
          </w:tcPr>
          <w:p>
            <w:pPr>
              <w:jc w:val="left"/>
            </w:pPr>
            <w:r>
              <w:rPr>
                <w:sz w:val="16"/>
                <w:szCs w:val="16"/>
              </w:rPr>
              <w:t xml:space="preserve">6</w:t>
            </w:r>
          </w:p>
        </w:tc>
        <w:tc>
          <w:tcPr>
            <w:tcW w:type="dxa" w:w="2544"/>
            <w:tcMar>
              <w:top w:type="dxa" w:w="60"/>
              <w:left w:type="dxa" w:w="80"/>
              <w:bottom w:type="dxa" w:w="60"/>
              <w:right w:type="dxa" w:w="80"/>
            </w:tcMar>
          </w:tcPr>
          <w:p>
            <w:pPr>
              <w:jc w:val="left"/>
            </w:pPr>
            <w:r>
              <w:rPr>
                <w:sz w:val="16"/>
                <w:szCs w:val="16"/>
              </w:rPr>
              <w:t xml:space="preserve">Diagnostics into the shared Log Analytics workspace</w:t>
            </w:r>
          </w:p>
        </w:tc>
        <w:tc>
          <w:tcPr>
            <w:tcW w:type="dxa" w:w="3523"/>
            <w:tcMar>
              <w:top w:type="dxa" w:w="60"/>
              <w:left w:type="dxa" w:w="80"/>
              <w:bottom w:type="dxa" w:w="60"/>
              <w:right w:type="dxa" w:w="80"/>
            </w:tcMar>
          </w:tcPr>
          <w:p>
            <w:pPr>
              <w:jc w:val="left"/>
            </w:pPr>
            <w:r>
              <w:rPr>
                <w:sz w:val="16"/>
                <w:szCs w:val="16"/>
              </w:rPr>
              <w:t xml:space="preserve">0.5 GB a day</w:t>
            </w:r>
          </w:p>
        </w:tc>
        <w:tc>
          <w:tcPr>
            <w:tcW w:type="dxa" w:w="1331"/>
            <w:tcMar>
              <w:top w:type="dxa" w:w="60"/>
              <w:left w:type="dxa" w:w="80"/>
              <w:bottom w:type="dxa" w:w="60"/>
              <w:right w:type="dxa" w:w="80"/>
            </w:tcMar>
          </w:tcPr>
          <w:p>
            <w:pPr>
              <w:jc w:val="left"/>
            </w:pPr>
          </w:p>
        </w:tc>
        <w:tc>
          <w:tcPr>
            <w:tcW w:type="dxa" w:w="3523"/>
            <w:tcMar>
              <w:top w:type="dxa" w:w="60"/>
              <w:left w:type="dxa" w:w="80"/>
              <w:bottom w:type="dxa" w:w="60"/>
              <w:right w:type="dxa" w:w="80"/>
            </w:tcMar>
          </w:tcPr>
          <w:p>
            <w:pPr>
              <w:jc w:val="left"/>
            </w:pPr>
          </w:p>
        </w:tc>
        <w:tc>
          <w:tcPr>
            <w:tcW w:type="dxa" w:w="3210"/>
            <w:tcMar>
              <w:top w:type="dxa" w:w="60"/>
              <w:left w:type="dxa" w:w="80"/>
              <w:bottom w:type="dxa" w:w="60"/>
              <w:right w:type="dxa" w:w="80"/>
            </w:tcMar>
          </w:tcPr>
          <w:p>
            <w:pPr>
              <w:jc w:val="left"/>
            </w:pPr>
          </w:p>
        </w:tc>
        <w:tc>
          <w:tcPr>
            <w:tcW w:type="dxa" w:w="430"/>
            <w:tcMar>
              <w:top w:type="dxa" w:w="60"/>
              <w:left w:type="dxa" w:w="80"/>
              <w:bottom w:type="dxa" w:w="60"/>
              <w:right w:type="dxa" w:w="80"/>
            </w:tcMar>
          </w:tcPr>
          <w:p>
            <w:pPr>
              <w:jc w:val="right"/>
            </w:pPr>
            <w:r>
              <w:rPr>
                <w:sz w:val="16"/>
                <w:szCs w:val="16"/>
              </w:rPr>
              <w:t xml:space="preserve">45</w:t>
            </w:r>
          </w:p>
        </w:tc>
      </w:tr>
    </w:tbl>
    <w:p>
      <w:pPr>
        <w:spacing w:after="120"/>
      </w:pPr>
    </w:p>
    <w:p>
      <w:pPr>
        <w:spacing w:after="120"/>
      </w:pPr>
      <w:r>
        <w:rPr>
          <w:b/>
          <w:bCs/>
        </w:rPr>
        <w:t xml:space="preserve">Existing sites: about USD 342 a month, plus their own buffer of 500 = about USD 842.</w:t>
      </w:r>
      <w:r>
        <w:t xml:space="preserve"> These are assumptions until the current subscription is inventoried (one </w:t>
      </w:r>
      <w:r>
        <w:rPr>
          <w:rFonts w:ascii="Consolas" w:cs="Consolas" w:eastAsia="Consolas" w:hAnsi="Consolas"/>
          <w:sz w:val="19"/>
          <w:szCs w:val="19"/>
        </w:rPr>
        <w:t xml:space="preserve">az resource list</w:t>
      </w:r>
      <w:r>
        <w:t xml:space="preserve"> per subscription).</w:t>
      </w:r>
    </w:p>
    <w:p>
      <w:pPr>
        <w:spacing w:after="120"/>
      </w:pPr>
      <w:r>
        <w:t xml:space="preserve">These rows are assumptions (brochure or WordPress sites on one Linux plan, one MySQL server, about 300 GB a month of traffic) until the current subscription is inventoried; a site that runs on a virtual machine adds about USD 95 a month (B2s v2 and a 128 GiB disk). The migration itself is a one-off (App Service Migration Assistant or a redeploy, DNS name-server change at the cut-over) with no Azure charge beyond the running resources.</w:t>
      </w:r>
    </w:p>
    <w:p>
      <w:pPr>
        <w:pStyle w:val="Heading2"/>
        <w:spacing w:after="120" w:before="200"/>
      </w:pPr>
      <w:r>
        <w:t xml:space="preserve">5. Totals, buffer and budget</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12736"/>
        <w:gridCol w:w="2060"/>
      </w:tblGrid>
      <w:tr>
        <w:trPr>
          <w:tblHeader/>
        </w:trPr>
        <w:tc>
          <w:tcPr>
            <w:tcW w:type="dxa" w:w="12736"/>
            <w:shd w:fill="E8EEF7" w:color="auto" w:val="clear"/>
            <w:tcMar>
              <w:top w:type="dxa" w:w="60"/>
              <w:left w:type="dxa" w:w="80"/>
              <w:bottom w:type="dxa" w:w="60"/>
              <w:right w:type="dxa" w:w="80"/>
            </w:tcMar>
          </w:tcPr>
          <w:p>
            <w:pPr>
              <w:jc w:val="left"/>
            </w:pPr>
            <w:r>
              <w:rPr>
                <w:b/>
                <w:bCs/>
                <w:sz w:val="20"/>
                <w:szCs w:val="20"/>
              </w:rPr>
              <w:t xml:space="preserve">Scope</w:t>
            </w:r>
          </w:p>
        </w:tc>
        <w:tc>
          <w:tcPr>
            <w:tcW w:type="dxa" w:w="2060"/>
            <w:shd w:fill="E8EEF7" w:color="auto" w:val="clear"/>
            <w:tcMar>
              <w:top w:type="dxa" w:w="60"/>
              <w:left w:type="dxa" w:w="80"/>
              <w:bottom w:type="dxa" w:w="60"/>
              <w:right w:type="dxa" w:w="80"/>
            </w:tcMar>
          </w:tcPr>
          <w:p>
            <w:pPr>
              <w:jc w:val="right"/>
            </w:pPr>
            <w:r>
              <w:rPr>
                <w:b/>
                <w:bCs/>
                <w:sz w:val="20"/>
                <w:szCs w:val="20"/>
              </w:rPr>
              <w:t xml:space="preserve">USD / month</w:t>
            </w:r>
          </w:p>
        </w:tc>
      </w:tr>
      <w:tr>
        <w:tc>
          <w:tcPr>
            <w:tcW w:type="dxa" w:w="12736"/>
            <w:tcMar>
              <w:top w:type="dxa" w:w="60"/>
              <w:left w:type="dxa" w:w="80"/>
              <w:bottom w:type="dxa" w:w="60"/>
              <w:right w:type="dxa" w:w="80"/>
            </w:tcMar>
          </w:tcPr>
          <w:p>
            <w:pPr>
              <w:jc w:val="left"/>
            </w:pPr>
            <w:r>
              <w:rPr>
                <w:sz w:val="20"/>
                <w:szCs w:val="20"/>
              </w:rPr>
              <w:t xml:space="preserve">Aron core production</w:t>
            </w:r>
          </w:p>
        </w:tc>
        <w:tc>
          <w:tcPr>
            <w:tcW w:type="dxa" w:w="2060"/>
            <w:tcMar>
              <w:top w:type="dxa" w:w="60"/>
              <w:left w:type="dxa" w:w="80"/>
              <w:bottom w:type="dxa" w:w="60"/>
              <w:right w:type="dxa" w:w="80"/>
            </w:tcMar>
          </w:tcPr>
          <w:p>
            <w:pPr>
              <w:jc w:val="right"/>
            </w:pPr>
            <w:r>
              <w:rPr>
                <w:sz w:val="20"/>
                <w:szCs w:val="20"/>
              </w:rPr>
              <w:t xml:space="preserve">5,490</w:t>
            </w:r>
          </w:p>
        </w:tc>
      </w:tr>
      <w:tr>
        <w:tc>
          <w:tcPr>
            <w:tcW w:type="dxa" w:w="12736"/>
            <w:tcMar>
              <w:top w:type="dxa" w:w="60"/>
              <w:left w:type="dxa" w:w="80"/>
              <w:bottom w:type="dxa" w:w="60"/>
              <w:right w:type="dxa" w:w="80"/>
            </w:tcMar>
          </w:tcPr>
          <w:p>
            <w:pPr>
              <w:jc w:val="left"/>
            </w:pPr>
            <w:r>
              <w:rPr>
                <w:sz w:val="20"/>
                <w:szCs w:val="20"/>
              </w:rPr>
              <w:t xml:space="preserve">Aron core + DR tier</w:t>
            </w:r>
          </w:p>
        </w:tc>
        <w:tc>
          <w:tcPr>
            <w:tcW w:type="dxa" w:w="2060"/>
            <w:tcMar>
              <w:top w:type="dxa" w:w="60"/>
              <w:left w:type="dxa" w:w="80"/>
              <w:bottom w:type="dxa" w:w="60"/>
              <w:right w:type="dxa" w:w="80"/>
            </w:tcMar>
          </w:tcPr>
          <w:p>
            <w:pPr>
              <w:jc w:val="right"/>
            </w:pPr>
            <w:r>
              <w:rPr>
                <w:sz w:val="20"/>
                <w:szCs w:val="20"/>
              </w:rPr>
              <w:t xml:space="preserve">6,702</w:t>
            </w:r>
          </w:p>
        </w:tc>
      </w:tr>
      <w:tr>
        <w:tc>
          <w:tcPr>
            <w:tcW w:type="dxa" w:w="12736"/>
            <w:tcMar>
              <w:top w:type="dxa" w:w="60"/>
              <w:left w:type="dxa" w:w="80"/>
              <w:bottom w:type="dxa" w:w="60"/>
              <w:right w:type="dxa" w:w="80"/>
            </w:tcMar>
          </w:tcPr>
          <w:p>
            <w:pPr>
              <w:jc w:val="left"/>
            </w:pPr>
            <w:r>
              <w:rPr>
                <w:sz w:val="20"/>
                <w:szCs w:val="20"/>
              </w:rPr>
              <w:t xml:space="preserve">Aron core + DR + buffer (Spec)</w:t>
            </w:r>
          </w:p>
        </w:tc>
        <w:tc>
          <w:tcPr>
            <w:tcW w:type="dxa" w:w="2060"/>
            <w:tcMar>
              <w:top w:type="dxa" w:w="60"/>
              <w:left w:type="dxa" w:w="80"/>
              <w:bottom w:type="dxa" w:w="60"/>
              <w:right w:type="dxa" w:w="80"/>
            </w:tcMar>
          </w:tcPr>
          <w:p>
            <w:pPr>
              <w:jc w:val="right"/>
            </w:pPr>
            <w:r>
              <w:rPr>
                <w:sz w:val="20"/>
                <w:szCs w:val="20"/>
              </w:rPr>
              <w:t xml:space="preserve">8,702</w:t>
            </w:r>
          </w:p>
        </w:tc>
      </w:tr>
      <w:tr>
        <w:tc>
          <w:tcPr>
            <w:tcW w:type="dxa" w:w="12736"/>
            <w:tcMar>
              <w:top w:type="dxa" w:w="60"/>
              <w:left w:type="dxa" w:w="80"/>
              <w:bottom w:type="dxa" w:w="60"/>
              <w:right w:type="dxa" w:w="80"/>
            </w:tcMar>
          </w:tcPr>
          <w:p>
            <w:pPr>
              <w:jc w:val="left"/>
            </w:pPr>
            <w:r>
              <w:rPr>
                <w:sz w:val="20"/>
                <w:szCs w:val="20"/>
              </w:rPr>
              <w:t xml:space="preserve">Existing sites + their buffer</w:t>
            </w:r>
          </w:p>
        </w:tc>
        <w:tc>
          <w:tcPr>
            <w:tcW w:type="dxa" w:w="2060"/>
            <w:tcMar>
              <w:top w:type="dxa" w:w="60"/>
              <w:left w:type="dxa" w:w="80"/>
              <w:bottom w:type="dxa" w:w="60"/>
              <w:right w:type="dxa" w:w="80"/>
            </w:tcMar>
          </w:tcPr>
          <w:p>
            <w:pPr>
              <w:jc w:val="right"/>
            </w:pPr>
            <w:r>
              <w:rPr>
                <w:sz w:val="20"/>
                <w:szCs w:val="20"/>
              </w:rPr>
              <w:t xml:space="preserve">842</w:t>
            </w:r>
          </w:p>
        </w:tc>
      </w:tr>
      <w:tr>
        <w:tc>
          <w:tcPr>
            <w:tcW w:type="dxa" w:w="12736"/>
            <w:tcMar>
              <w:top w:type="dxa" w:w="60"/>
              <w:left w:type="dxa" w:w="80"/>
              <w:bottom w:type="dxa" w:w="60"/>
              <w:right w:type="dxa" w:w="80"/>
            </w:tcMar>
          </w:tcPr>
          <w:p>
            <w:pPr>
              <w:jc w:val="left"/>
            </w:pPr>
            <w:r>
              <w:rPr>
                <w:sz w:val="20"/>
                <w:szCs w:val="20"/>
              </w:rPr>
              <w:t xml:space="preserve">Everything (Spec+)</w:t>
            </w:r>
          </w:p>
        </w:tc>
        <w:tc>
          <w:tcPr>
            <w:tcW w:type="dxa" w:w="2060"/>
            <w:tcMar>
              <w:top w:type="dxa" w:w="60"/>
              <w:left w:type="dxa" w:w="80"/>
              <w:bottom w:type="dxa" w:w="60"/>
              <w:right w:type="dxa" w:w="80"/>
            </w:tcMar>
          </w:tcPr>
          <w:p>
            <w:pPr>
              <w:jc w:val="right"/>
            </w:pPr>
            <w:r>
              <w:rPr>
                <w:sz w:val="20"/>
                <w:szCs w:val="20"/>
              </w:rPr>
              <w:t xml:space="preserve">9,544</w:t>
            </w:r>
          </w:p>
        </w:tc>
      </w:tr>
      <w:tr>
        <w:tc>
          <w:tcPr>
            <w:tcW w:type="dxa" w:w="12736"/>
            <w:tcMar>
              <w:top w:type="dxa" w:w="60"/>
              <w:left w:type="dxa" w:w="80"/>
              <w:bottom w:type="dxa" w:w="60"/>
              <w:right w:type="dxa" w:w="80"/>
            </w:tcMar>
          </w:tcPr>
          <w:p>
            <w:pPr>
              <w:jc w:val="left"/>
            </w:pPr>
            <w:r>
              <w:rPr>
                <w:sz w:val="20"/>
                <w:szCs w:val="20"/>
              </w:rPr>
              <w:t xml:space="preserve">Everything with 1-year PostgreSQL reservations (SEA 24 vCores, EA 8)</w:t>
            </w:r>
          </w:p>
        </w:tc>
        <w:tc>
          <w:tcPr>
            <w:tcW w:type="dxa" w:w="2060"/>
            <w:tcMar>
              <w:top w:type="dxa" w:w="60"/>
              <w:left w:type="dxa" w:w="80"/>
              <w:bottom w:type="dxa" w:w="60"/>
              <w:right w:type="dxa" w:w="80"/>
            </w:tcMar>
          </w:tcPr>
          <w:p>
            <w:pPr>
              <w:jc w:val="right"/>
            </w:pPr>
            <w:r>
              <w:rPr>
                <w:sz w:val="20"/>
                <w:szCs w:val="20"/>
              </w:rPr>
              <w:t xml:space="preserve">8,374</w:t>
            </w:r>
          </w:p>
        </w:tc>
      </w:tr>
      <w:tr>
        <w:tc>
          <w:tcPr>
            <w:tcW w:type="dxa" w:w="12736"/>
            <w:tcMar>
              <w:top w:type="dxa" w:w="60"/>
              <w:left w:type="dxa" w:w="80"/>
              <w:bottom w:type="dxa" w:w="60"/>
              <w:right w:type="dxa" w:w="80"/>
            </w:tcMar>
          </w:tcPr>
          <w:p>
            <w:pPr>
              <w:jc w:val="left"/>
            </w:pPr>
            <w:r>
              <w:rPr>
                <w:sz w:val="20"/>
                <w:szCs w:val="20"/>
              </w:rPr>
              <w:t xml:space="preserve">Staging-lite (optional)</w:t>
            </w:r>
          </w:p>
        </w:tc>
        <w:tc>
          <w:tcPr>
            <w:tcW w:type="dxa" w:w="2060"/>
            <w:tcMar>
              <w:top w:type="dxa" w:w="60"/>
              <w:left w:type="dxa" w:w="80"/>
              <w:bottom w:type="dxa" w:w="60"/>
              <w:right w:type="dxa" w:w="80"/>
            </w:tcMar>
          </w:tcPr>
          <w:p>
            <w:pPr>
              <w:jc w:val="right"/>
            </w:pPr>
            <w:r>
              <w:rPr>
                <w:sz w:val="20"/>
                <w:szCs w:val="20"/>
              </w:rPr>
              <w:t xml:space="preserve">708</w:t>
            </w:r>
          </w:p>
        </w:tc>
      </w:tr>
    </w:tbl>
    <w:p>
      <w:pPr>
        <w:spacing w:after="120"/>
      </w:pPr>
    </w:p>
    <w:p>
      <w:pPr>
        <w:spacing w:after="120"/>
      </w:pPr>
      <w:r>
        <w:t xml:space="preserve">The buffer of USD 2,000 a month sits inside the owner's 1,000 to 3,000 band and covers a D16ds_v5 step-up for a quarter (+1,425 a month of HA compute), log overage, extra replicas in a storm, the handful of prices the API does not publish and a billing-zone difference at the edge. Recommended budgets: USD 9,000 for Aron (Spec), USD 10,000 for everything (Spec+), each with alerts at 50, 90 and 100 percent.</w:t>
      </w:r>
    </w:p>
    <w:p>
      <w:pPr>
        <w:pStyle w:val="Heading3"/>
        <w:spacing w:after="120" w:before="200"/>
      </w:pPr>
      <w:r>
        <w:t xml:space="preserve">5.1 Reservation lever (PostgreSQL compute)</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6286"/>
        <w:gridCol w:w="1064"/>
        <w:gridCol w:w="1354"/>
        <w:gridCol w:w="6092"/>
      </w:tblGrid>
      <w:tr>
        <w:trPr>
          <w:tblHeader/>
        </w:trPr>
        <w:tc>
          <w:tcPr>
            <w:tcW w:type="dxa" w:w="6286"/>
            <w:shd w:fill="E8EEF7" w:color="auto" w:val="clear"/>
            <w:tcMar>
              <w:top w:type="dxa" w:w="60"/>
              <w:left w:type="dxa" w:w="80"/>
              <w:bottom w:type="dxa" w:w="60"/>
              <w:right w:type="dxa" w:w="80"/>
            </w:tcMar>
          </w:tcPr>
          <w:p>
            <w:pPr>
              <w:jc w:val="left"/>
            </w:pPr>
            <w:r>
              <w:rPr>
                <w:b/>
                <w:bCs/>
                <w:sz w:val="18"/>
                <w:szCs w:val="18"/>
              </w:rPr>
              <w:t xml:space="preserve">Term</w:t>
            </w:r>
          </w:p>
        </w:tc>
        <w:tc>
          <w:tcPr>
            <w:tcW w:type="dxa" w:w="1064"/>
            <w:shd w:fill="E8EEF7" w:color="auto" w:val="clear"/>
            <w:tcMar>
              <w:top w:type="dxa" w:w="60"/>
              <w:left w:type="dxa" w:w="80"/>
              <w:bottom w:type="dxa" w:w="60"/>
              <w:right w:type="dxa" w:w="80"/>
            </w:tcMar>
          </w:tcPr>
          <w:p>
            <w:pPr>
              <w:jc w:val="right"/>
            </w:pPr>
            <w:r>
              <w:rPr>
                <w:b/>
                <w:bCs/>
                <w:sz w:val="18"/>
                <w:szCs w:val="18"/>
              </w:rPr>
              <w:t xml:space="preserve">USD / month</w:t>
            </w:r>
          </w:p>
        </w:tc>
        <w:tc>
          <w:tcPr>
            <w:tcW w:type="dxa" w:w="1354"/>
            <w:shd w:fill="E8EEF7" w:color="auto" w:val="clear"/>
            <w:tcMar>
              <w:top w:type="dxa" w:w="60"/>
              <w:left w:type="dxa" w:w="80"/>
              <w:bottom w:type="dxa" w:w="60"/>
              <w:right w:type="dxa" w:w="80"/>
            </w:tcMar>
          </w:tcPr>
          <w:p>
            <w:pPr>
              <w:jc w:val="right"/>
            </w:pPr>
            <w:r>
              <w:rPr>
                <w:b/>
                <w:bCs/>
                <w:sz w:val="18"/>
                <w:szCs w:val="18"/>
              </w:rPr>
              <w:t xml:space="preserve">Saving a month</w:t>
            </w:r>
          </w:p>
        </w:tc>
        <w:tc>
          <w:tcPr>
            <w:tcW w:type="dxa" w:w="6092"/>
            <w:shd w:fill="E8EEF7" w:color="auto" w:val="clear"/>
            <w:tcMar>
              <w:top w:type="dxa" w:w="60"/>
              <w:left w:type="dxa" w:w="80"/>
              <w:bottom w:type="dxa" w:w="60"/>
              <w:right w:type="dxa" w:w="80"/>
            </w:tcMar>
          </w:tcPr>
          <w:p>
            <w:pPr>
              <w:jc w:val="left"/>
            </w:pPr>
            <w:r>
              <w:rPr>
                <w:b/>
                <w:bCs/>
                <w:sz w:val="18"/>
                <w:szCs w:val="18"/>
              </w:rPr>
              <w:t xml:space="preserve">Rule</w:t>
            </w:r>
          </w:p>
        </w:tc>
      </w:tr>
      <w:tr>
        <w:tc>
          <w:tcPr>
            <w:tcW w:type="dxa" w:w="6286"/>
            <w:tcMar>
              <w:top w:type="dxa" w:w="60"/>
              <w:left w:type="dxa" w:w="80"/>
              <w:bottom w:type="dxa" w:w="60"/>
              <w:right w:type="dxa" w:w="80"/>
            </w:tcMar>
          </w:tcPr>
          <w:p>
            <w:pPr>
              <w:jc w:val="left"/>
            </w:pPr>
            <w:r>
              <w:rPr>
                <w:sz w:val="18"/>
                <w:szCs w:val="18"/>
              </w:rPr>
              <w:t xml:space="preserve">Southeast Asia 24 vCores pay as you go</w:t>
            </w:r>
          </w:p>
        </w:tc>
        <w:tc>
          <w:tcPr>
            <w:tcW w:type="dxa" w:w="1064"/>
            <w:tcMar>
              <w:top w:type="dxa" w:w="60"/>
              <w:left w:type="dxa" w:w="80"/>
              <w:bottom w:type="dxa" w:w="60"/>
              <w:right w:type="dxa" w:w="80"/>
            </w:tcMar>
          </w:tcPr>
          <w:p>
            <w:pPr>
              <w:jc w:val="right"/>
            </w:pPr>
            <w:r>
              <w:rPr>
                <w:sz w:val="18"/>
                <w:szCs w:val="18"/>
              </w:rPr>
              <w:t xml:space="preserve">2,137</w:t>
            </w:r>
          </w:p>
        </w:tc>
        <w:tc>
          <w:tcPr>
            <w:tcW w:type="dxa" w:w="1354"/>
            <w:tcMar>
              <w:top w:type="dxa" w:w="60"/>
              <w:left w:type="dxa" w:w="80"/>
              <w:bottom w:type="dxa" w:w="60"/>
              <w:right w:type="dxa" w:w="80"/>
            </w:tcMar>
          </w:tcPr>
          <w:p>
            <w:pPr>
              <w:jc w:val="right"/>
            </w:pPr>
            <w:r>
              <w:rPr>
                <w:sz w:val="18"/>
                <w:szCs w:val="18"/>
              </w:rPr>
              <w:t xml:space="preserve">-</w:t>
            </w:r>
          </w:p>
        </w:tc>
        <w:tc>
          <w:tcPr>
            <w:tcW w:type="dxa" w:w="6092"/>
            <w:tcMar>
              <w:top w:type="dxa" w:w="60"/>
              <w:left w:type="dxa" w:w="80"/>
              <w:bottom w:type="dxa" w:w="60"/>
              <w:right w:type="dxa" w:w="80"/>
            </w:tcMar>
          </w:tcPr>
          <w:p>
            <w:pPr>
              <w:jc w:val="left"/>
            </w:pPr>
            <w:r>
              <w:rPr>
                <w:sz w:val="18"/>
                <w:szCs w:val="18"/>
              </w:rPr>
              <w:t xml:space="preserve">primary 8 + standby 8 + replica 8</w:t>
            </w:r>
          </w:p>
        </w:tc>
      </w:tr>
      <w:tr>
        <w:tc>
          <w:tcPr>
            <w:tcW w:type="dxa" w:w="6286"/>
            <w:tcMar>
              <w:top w:type="dxa" w:w="60"/>
              <w:left w:type="dxa" w:w="80"/>
              <w:bottom w:type="dxa" w:w="60"/>
              <w:right w:type="dxa" w:w="80"/>
            </w:tcMar>
          </w:tcPr>
          <w:p>
            <w:pPr>
              <w:jc w:val="left"/>
            </w:pPr>
            <w:r>
              <w:rPr>
                <w:sz w:val="18"/>
                <w:szCs w:val="18"/>
              </w:rPr>
              <w:t xml:space="preserve">1-year reserved (641 per vCore)</w:t>
            </w:r>
          </w:p>
        </w:tc>
        <w:tc>
          <w:tcPr>
            <w:tcW w:type="dxa" w:w="1064"/>
            <w:tcMar>
              <w:top w:type="dxa" w:w="60"/>
              <w:left w:type="dxa" w:w="80"/>
              <w:bottom w:type="dxa" w:w="60"/>
              <w:right w:type="dxa" w:w="80"/>
            </w:tcMar>
          </w:tcPr>
          <w:p>
            <w:pPr>
              <w:jc w:val="right"/>
            </w:pPr>
            <w:r>
              <w:rPr>
                <w:sz w:val="18"/>
                <w:szCs w:val="18"/>
              </w:rPr>
              <w:t xml:space="preserve">1,282</w:t>
            </w:r>
          </w:p>
        </w:tc>
        <w:tc>
          <w:tcPr>
            <w:tcW w:type="dxa" w:w="1354"/>
            <w:tcMar>
              <w:top w:type="dxa" w:w="60"/>
              <w:left w:type="dxa" w:w="80"/>
              <w:bottom w:type="dxa" w:w="60"/>
              <w:right w:type="dxa" w:w="80"/>
            </w:tcMar>
          </w:tcPr>
          <w:p>
            <w:pPr>
              <w:jc w:val="right"/>
            </w:pPr>
            <w:r>
              <w:rPr>
                <w:sz w:val="18"/>
                <w:szCs w:val="18"/>
              </w:rPr>
              <w:t xml:space="preserve">855 (40 %)</w:t>
            </w:r>
          </w:p>
        </w:tc>
        <w:tc>
          <w:tcPr>
            <w:tcW w:type="dxa" w:w="6092"/>
            <w:tcMar>
              <w:top w:type="dxa" w:w="60"/>
              <w:left w:type="dxa" w:w="80"/>
              <w:bottom w:type="dxa" w:w="60"/>
              <w:right w:type="dxa" w:w="80"/>
            </w:tcMar>
          </w:tcPr>
          <w:p>
            <w:pPr>
              <w:jc w:val="left"/>
            </w:pPr>
            <w:r>
              <w:rPr>
                <w:sz w:val="18"/>
                <w:szCs w:val="18"/>
              </w:rPr>
              <w:t xml:space="preserve">buy after 30 stable days at D8 (D-426)</w:t>
            </w:r>
          </w:p>
        </w:tc>
      </w:tr>
      <w:tr>
        <w:tc>
          <w:tcPr>
            <w:tcW w:type="dxa" w:w="6286"/>
            <w:tcMar>
              <w:top w:type="dxa" w:w="60"/>
              <w:left w:type="dxa" w:w="80"/>
              <w:bottom w:type="dxa" w:w="60"/>
              <w:right w:type="dxa" w:w="80"/>
            </w:tcMar>
          </w:tcPr>
          <w:p>
            <w:pPr>
              <w:jc w:val="left"/>
            </w:pPr>
            <w:r>
              <w:rPr>
                <w:sz w:val="18"/>
                <w:szCs w:val="18"/>
              </w:rPr>
              <w:t xml:space="preserve">3-year reserved (1,282 per vCore)</w:t>
            </w:r>
          </w:p>
        </w:tc>
        <w:tc>
          <w:tcPr>
            <w:tcW w:type="dxa" w:w="1064"/>
            <w:tcMar>
              <w:top w:type="dxa" w:w="60"/>
              <w:left w:type="dxa" w:w="80"/>
              <w:bottom w:type="dxa" w:w="60"/>
              <w:right w:type="dxa" w:w="80"/>
            </w:tcMar>
          </w:tcPr>
          <w:p>
            <w:pPr>
              <w:jc w:val="right"/>
            </w:pPr>
            <w:r>
              <w:rPr>
                <w:sz w:val="18"/>
                <w:szCs w:val="18"/>
              </w:rPr>
              <w:t xml:space="preserve">855</w:t>
            </w:r>
          </w:p>
        </w:tc>
        <w:tc>
          <w:tcPr>
            <w:tcW w:type="dxa" w:w="1354"/>
            <w:tcMar>
              <w:top w:type="dxa" w:w="60"/>
              <w:left w:type="dxa" w:w="80"/>
              <w:bottom w:type="dxa" w:w="60"/>
              <w:right w:type="dxa" w:w="80"/>
            </w:tcMar>
          </w:tcPr>
          <w:p>
            <w:pPr>
              <w:jc w:val="right"/>
            </w:pPr>
            <w:r>
              <w:rPr>
                <w:sz w:val="18"/>
                <w:szCs w:val="18"/>
              </w:rPr>
              <w:t xml:space="preserve">1,283 (60 %)</w:t>
            </w:r>
          </w:p>
        </w:tc>
        <w:tc>
          <w:tcPr>
            <w:tcW w:type="dxa" w:w="6092"/>
            <w:tcMar>
              <w:top w:type="dxa" w:w="60"/>
              <w:left w:type="dxa" w:w="80"/>
              <w:bottom w:type="dxa" w:w="60"/>
              <w:right w:type="dxa" w:w="80"/>
            </w:tcMar>
          </w:tcPr>
          <w:p>
            <w:pPr>
              <w:jc w:val="left"/>
            </w:pPr>
            <w:r>
              <w:rPr>
                <w:sz w:val="18"/>
                <w:szCs w:val="18"/>
              </w:rPr>
              <w:t xml:space="preserve">only after the load test and a year of running</w:t>
            </w:r>
          </w:p>
        </w:tc>
      </w:tr>
      <w:tr>
        <w:tc>
          <w:tcPr>
            <w:tcW w:type="dxa" w:w="6286"/>
            <w:tcMar>
              <w:top w:type="dxa" w:w="60"/>
              <w:left w:type="dxa" w:w="80"/>
              <w:bottom w:type="dxa" w:w="60"/>
              <w:right w:type="dxa" w:w="80"/>
            </w:tcMar>
          </w:tcPr>
          <w:p>
            <w:pPr>
              <w:jc w:val="left"/>
            </w:pPr>
            <w:r>
              <w:rPr>
                <w:sz w:val="18"/>
                <w:szCs w:val="18"/>
              </w:rPr>
              <w:t xml:space="preserve">East Asia DR replica 8 vCores, 1-year reserved (706 per vCore)</w:t>
            </w:r>
          </w:p>
        </w:tc>
        <w:tc>
          <w:tcPr>
            <w:tcW w:type="dxa" w:w="1064"/>
            <w:tcMar>
              <w:top w:type="dxa" w:w="60"/>
              <w:left w:type="dxa" w:w="80"/>
              <w:bottom w:type="dxa" w:w="60"/>
              <w:right w:type="dxa" w:w="80"/>
            </w:tcMar>
          </w:tcPr>
          <w:p>
            <w:pPr>
              <w:jc w:val="right"/>
            </w:pPr>
            <w:r>
              <w:rPr>
                <w:sz w:val="18"/>
                <w:szCs w:val="18"/>
              </w:rPr>
              <w:t xml:space="preserve">471</w:t>
            </w:r>
          </w:p>
        </w:tc>
        <w:tc>
          <w:tcPr>
            <w:tcW w:type="dxa" w:w="1354"/>
            <w:tcMar>
              <w:top w:type="dxa" w:w="60"/>
              <w:left w:type="dxa" w:w="80"/>
              <w:bottom w:type="dxa" w:w="60"/>
              <w:right w:type="dxa" w:w="80"/>
            </w:tcMar>
          </w:tcPr>
          <w:p>
            <w:pPr>
              <w:jc w:val="right"/>
            </w:pPr>
            <w:r>
              <w:rPr>
                <w:sz w:val="18"/>
                <w:szCs w:val="18"/>
              </w:rPr>
              <w:t xml:space="preserve">315</w:t>
            </w:r>
          </w:p>
        </w:tc>
        <w:tc>
          <w:tcPr>
            <w:tcW w:type="dxa" w:w="6092"/>
            <w:tcMar>
              <w:top w:type="dxa" w:w="60"/>
              <w:left w:type="dxa" w:w="80"/>
              <w:bottom w:type="dxa" w:w="60"/>
              <w:right w:type="dxa" w:w="80"/>
            </w:tcMar>
          </w:tcPr>
          <w:p>
            <w:pPr>
              <w:jc w:val="left"/>
            </w:pPr>
            <w:r>
              <w:rPr>
                <w:sz w:val="18"/>
                <w:szCs w:val="18"/>
              </w:rPr>
              <w:t xml:space="preserve">buy when the DR tier is built</w:t>
            </w:r>
          </w:p>
        </w:tc>
      </w:tr>
      <w:tr>
        <w:tc>
          <w:tcPr>
            <w:tcW w:type="dxa" w:w="6286"/>
            <w:tcMar>
              <w:top w:type="dxa" w:w="60"/>
              <w:left w:type="dxa" w:w="80"/>
              <w:bottom w:type="dxa" w:w="60"/>
              <w:right w:type="dxa" w:w="80"/>
            </w:tcMar>
          </w:tcPr>
          <w:p>
            <w:pPr>
              <w:jc w:val="left"/>
            </w:pPr>
            <w:r>
              <w:rPr>
                <w:sz w:val="18"/>
                <w:szCs w:val="18"/>
              </w:rPr>
              <w:t xml:space="preserve">Sensitivity: D16ds_v5 step-up on the three Southeast Asia servers</w:t>
            </w:r>
          </w:p>
        </w:tc>
        <w:tc>
          <w:tcPr>
            <w:tcW w:type="dxa" w:w="1064"/>
            <w:tcMar>
              <w:top w:type="dxa" w:w="60"/>
              <w:left w:type="dxa" w:w="80"/>
              <w:bottom w:type="dxa" w:w="60"/>
              <w:right w:type="dxa" w:w="80"/>
            </w:tcMar>
          </w:tcPr>
          <w:p>
            <w:pPr>
              <w:jc w:val="right"/>
            </w:pPr>
            <w:r>
              <w:rPr>
                <w:sz w:val="18"/>
                <w:szCs w:val="18"/>
              </w:rPr>
              <w:t xml:space="preserve">+2,137</w:t>
            </w:r>
          </w:p>
        </w:tc>
        <w:tc>
          <w:tcPr>
            <w:tcW w:type="dxa" w:w="1354"/>
            <w:tcMar>
              <w:top w:type="dxa" w:w="60"/>
              <w:left w:type="dxa" w:w="80"/>
              <w:bottom w:type="dxa" w:w="60"/>
              <w:right w:type="dxa" w:w="80"/>
            </w:tcMar>
          </w:tcPr>
          <w:p>
            <w:pPr>
              <w:jc w:val="right"/>
            </w:pPr>
            <w:r>
              <w:rPr>
                <w:sz w:val="18"/>
                <w:szCs w:val="18"/>
              </w:rPr>
              <w:t xml:space="preserve">-</w:t>
            </w:r>
          </w:p>
        </w:tc>
        <w:tc>
          <w:tcPr>
            <w:tcW w:type="dxa" w:w="6092"/>
            <w:tcMar>
              <w:top w:type="dxa" w:w="60"/>
              <w:left w:type="dxa" w:w="80"/>
              <w:bottom w:type="dxa" w:w="60"/>
              <w:right w:type="dxa" w:w="80"/>
            </w:tcMar>
          </w:tcPr>
          <w:p>
            <w:pPr>
              <w:jc w:val="left"/>
            </w:pPr>
            <w:r>
              <w:rPr>
                <w:sz w:val="18"/>
                <w:szCs w:val="18"/>
              </w:rPr>
              <w:t xml:space="preserve">if the load test shows CPU above 80 % or IOPS above about 7,700</w:t>
            </w:r>
          </w:p>
        </w:tc>
      </w:tr>
    </w:tbl>
    <w:p>
      <w:pPr>
        <w:spacing w:after="120"/>
      </w:pPr>
    </w:p>
    <w:p>
      <w:pPr>
        <w:pStyle w:val="Heading3"/>
        <w:spacing w:after="120" w:before="200"/>
      </w:pPr>
      <w:r>
        <w:t xml:space="preserve">5.2 Year one, month by month (ceiling: D8 from month 1, DR from month 4, staging-lite all year, one paid load-test run in month 2 and three Locust runs)</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1724"/>
        <w:gridCol w:w="1293"/>
        <w:gridCol w:w="862"/>
        <w:gridCol w:w="1437"/>
        <w:gridCol w:w="9480"/>
      </w:tblGrid>
      <w:tr>
        <w:trPr>
          <w:tblHeader/>
        </w:trPr>
        <w:tc>
          <w:tcPr>
            <w:tcW w:type="dxa" w:w="1724"/>
            <w:shd w:fill="E8EEF7" w:color="auto" w:val="clear"/>
            <w:tcMar>
              <w:top w:type="dxa" w:w="60"/>
              <w:left w:type="dxa" w:w="80"/>
              <w:bottom w:type="dxa" w:w="60"/>
              <w:right w:type="dxa" w:w="80"/>
            </w:tcMar>
          </w:tcPr>
          <w:p>
            <w:pPr>
              <w:jc w:val="left"/>
            </w:pPr>
            <w:r>
              <w:rPr>
                <w:b/>
                <w:bCs/>
                <w:sz w:val="18"/>
                <w:szCs w:val="18"/>
              </w:rPr>
              <w:t xml:space="preserve">Month</w:t>
            </w:r>
          </w:p>
        </w:tc>
        <w:tc>
          <w:tcPr>
            <w:tcW w:type="dxa" w:w="1293"/>
            <w:shd w:fill="E8EEF7" w:color="auto" w:val="clear"/>
            <w:tcMar>
              <w:top w:type="dxa" w:w="60"/>
              <w:left w:type="dxa" w:w="80"/>
              <w:bottom w:type="dxa" w:w="60"/>
              <w:right w:type="dxa" w:w="80"/>
            </w:tcMar>
          </w:tcPr>
          <w:p>
            <w:pPr>
              <w:jc w:val="right"/>
            </w:pPr>
            <w:r>
              <w:rPr>
                <w:b/>
                <w:bCs/>
                <w:sz w:val="18"/>
                <w:szCs w:val="18"/>
              </w:rPr>
              <w:t xml:space="preserve">Aron core</w:t>
            </w:r>
          </w:p>
        </w:tc>
        <w:tc>
          <w:tcPr>
            <w:tcW w:type="dxa" w:w="862"/>
            <w:shd w:fill="E8EEF7" w:color="auto" w:val="clear"/>
            <w:tcMar>
              <w:top w:type="dxa" w:w="60"/>
              <w:left w:type="dxa" w:w="80"/>
              <w:bottom w:type="dxa" w:w="60"/>
              <w:right w:type="dxa" w:w="80"/>
            </w:tcMar>
          </w:tcPr>
          <w:p>
            <w:pPr>
              <w:jc w:val="right"/>
            </w:pPr>
            <w:r>
              <w:rPr>
                <w:b/>
                <w:bCs/>
                <w:sz w:val="18"/>
                <w:szCs w:val="18"/>
              </w:rPr>
              <w:t xml:space="preserve">DR</w:t>
            </w:r>
          </w:p>
        </w:tc>
        <w:tc>
          <w:tcPr>
            <w:tcW w:type="dxa" w:w="1437"/>
            <w:shd w:fill="E8EEF7" w:color="auto" w:val="clear"/>
            <w:tcMar>
              <w:top w:type="dxa" w:w="60"/>
              <w:left w:type="dxa" w:w="80"/>
              <w:bottom w:type="dxa" w:w="60"/>
              <w:right w:type="dxa" w:w="80"/>
            </w:tcMar>
          </w:tcPr>
          <w:p>
            <w:pPr>
              <w:jc w:val="right"/>
            </w:pPr>
            <w:r>
              <w:rPr>
                <w:b/>
                <w:bCs/>
                <w:sz w:val="18"/>
                <w:szCs w:val="18"/>
              </w:rPr>
              <w:t xml:space="preserve">Total</w:t>
            </w:r>
          </w:p>
        </w:tc>
        <w:tc>
          <w:tcPr>
            <w:tcW w:type="dxa" w:w="9480"/>
            <w:shd w:fill="E8EEF7" w:color="auto" w:val="clear"/>
            <w:tcMar>
              <w:top w:type="dxa" w:w="60"/>
              <w:left w:type="dxa" w:w="80"/>
              <w:bottom w:type="dxa" w:w="60"/>
              <w:right w:type="dxa" w:w="80"/>
            </w:tcMar>
          </w:tcPr>
          <w:p>
            <w:pPr>
              <w:jc w:val="right"/>
            </w:pPr>
            <w:r>
              <w:rPr>
                <w:b/>
                <w:bCs/>
                <w:sz w:val="18"/>
                <w:szCs w:val="18"/>
              </w:rPr>
              <w:t xml:space="preserve">Total with 1-year reservations (SEA from month 2, EA from month 4)</w:t>
            </w:r>
          </w:p>
        </w:tc>
      </w:tr>
      <w:tr>
        <w:tc>
          <w:tcPr>
            <w:tcW w:type="dxa" w:w="1724"/>
            <w:tcMar>
              <w:top w:type="dxa" w:w="60"/>
              <w:left w:type="dxa" w:w="80"/>
              <w:bottom w:type="dxa" w:w="60"/>
              <w:right w:type="dxa" w:w="80"/>
            </w:tcMar>
          </w:tcPr>
          <w:p>
            <w:pPr>
              <w:jc w:val="left"/>
            </w:pPr>
            <w:r>
              <w:rPr>
                <w:sz w:val="18"/>
                <w:szCs w:val="18"/>
              </w:rPr>
              <w:t xml:space="preserve">1</w:t>
            </w:r>
          </w:p>
        </w:tc>
        <w:tc>
          <w:tcPr>
            <w:tcW w:type="dxa" w:w="1293"/>
            <w:tcMar>
              <w:top w:type="dxa" w:w="60"/>
              <w:left w:type="dxa" w:w="80"/>
              <w:bottom w:type="dxa" w:w="60"/>
              <w:right w:type="dxa" w:w="80"/>
            </w:tcMar>
          </w:tcPr>
          <w:p>
            <w:pPr>
              <w:jc w:val="right"/>
            </w:pPr>
            <w:r>
              <w:rPr>
                <w:sz w:val="18"/>
                <w:szCs w:val="18"/>
              </w:rPr>
              <w:t xml:space="preserve">5,113</w:t>
            </w:r>
          </w:p>
        </w:tc>
        <w:tc>
          <w:tcPr>
            <w:tcW w:type="dxa" w:w="862"/>
            <w:tcMar>
              <w:top w:type="dxa" w:w="60"/>
              <w:left w:type="dxa" w:w="80"/>
              <w:bottom w:type="dxa" w:w="60"/>
              <w:right w:type="dxa" w:w="80"/>
            </w:tcMar>
          </w:tcPr>
          <w:p>
            <w:pPr>
              <w:jc w:val="right"/>
            </w:pPr>
            <w:r>
              <w:rPr>
                <w:sz w:val="18"/>
                <w:szCs w:val="18"/>
              </w:rPr>
              <w:t xml:space="preserve">0</w:t>
            </w:r>
          </w:p>
        </w:tc>
        <w:tc>
          <w:tcPr>
            <w:tcW w:type="dxa" w:w="1437"/>
            <w:tcMar>
              <w:top w:type="dxa" w:w="60"/>
              <w:left w:type="dxa" w:w="80"/>
              <w:bottom w:type="dxa" w:w="60"/>
              <w:right w:type="dxa" w:w="80"/>
            </w:tcMar>
          </w:tcPr>
          <w:p>
            <w:pPr>
              <w:jc w:val="right"/>
            </w:pPr>
            <w:r>
              <w:rPr>
                <w:sz w:val="18"/>
                <w:szCs w:val="18"/>
              </w:rPr>
              <w:t xml:space="preserve">5,822</w:t>
            </w:r>
          </w:p>
        </w:tc>
        <w:tc>
          <w:tcPr>
            <w:tcW w:type="dxa" w:w="9480"/>
            <w:tcMar>
              <w:top w:type="dxa" w:w="60"/>
              <w:left w:type="dxa" w:w="80"/>
              <w:bottom w:type="dxa" w:w="60"/>
              <w:right w:type="dxa" w:w="80"/>
            </w:tcMar>
          </w:tcPr>
          <w:p>
            <w:pPr>
              <w:jc w:val="right"/>
            </w:pPr>
            <w:r>
              <w:rPr>
                <w:sz w:val="18"/>
                <w:szCs w:val="18"/>
              </w:rPr>
              <w:t xml:space="preserve">5,822</w:t>
            </w:r>
          </w:p>
        </w:tc>
      </w:tr>
      <w:tr>
        <w:tc>
          <w:tcPr>
            <w:tcW w:type="dxa" w:w="1724"/>
            <w:tcMar>
              <w:top w:type="dxa" w:w="60"/>
              <w:left w:type="dxa" w:w="80"/>
              <w:bottom w:type="dxa" w:w="60"/>
              <w:right w:type="dxa" w:w="80"/>
            </w:tcMar>
          </w:tcPr>
          <w:p>
            <w:pPr>
              <w:jc w:val="left"/>
            </w:pPr>
            <w:r>
              <w:rPr>
                <w:sz w:val="18"/>
                <w:szCs w:val="18"/>
              </w:rPr>
              <w:t xml:space="preserve">2</w:t>
            </w:r>
          </w:p>
        </w:tc>
        <w:tc>
          <w:tcPr>
            <w:tcW w:type="dxa" w:w="1293"/>
            <w:tcMar>
              <w:top w:type="dxa" w:w="60"/>
              <w:left w:type="dxa" w:w="80"/>
              <w:bottom w:type="dxa" w:w="60"/>
              <w:right w:type="dxa" w:w="80"/>
            </w:tcMar>
          </w:tcPr>
          <w:p>
            <w:pPr>
              <w:jc w:val="right"/>
            </w:pPr>
            <w:r>
              <w:rPr>
                <w:sz w:val="18"/>
                <w:szCs w:val="18"/>
              </w:rPr>
              <w:t xml:space="preserve">5,224</w:t>
            </w:r>
          </w:p>
        </w:tc>
        <w:tc>
          <w:tcPr>
            <w:tcW w:type="dxa" w:w="862"/>
            <w:tcMar>
              <w:top w:type="dxa" w:w="60"/>
              <w:left w:type="dxa" w:w="80"/>
              <w:bottom w:type="dxa" w:w="60"/>
              <w:right w:type="dxa" w:w="80"/>
            </w:tcMar>
          </w:tcPr>
          <w:p>
            <w:pPr>
              <w:jc w:val="right"/>
            </w:pPr>
            <w:r>
              <w:rPr>
                <w:sz w:val="18"/>
                <w:szCs w:val="18"/>
              </w:rPr>
              <w:t xml:space="preserve">0</w:t>
            </w:r>
          </w:p>
        </w:tc>
        <w:tc>
          <w:tcPr>
            <w:tcW w:type="dxa" w:w="1437"/>
            <w:tcMar>
              <w:top w:type="dxa" w:w="60"/>
              <w:left w:type="dxa" w:w="80"/>
              <w:bottom w:type="dxa" w:w="60"/>
              <w:right w:type="dxa" w:w="80"/>
            </w:tcMar>
          </w:tcPr>
          <w:p>
            <w:pPr>
              <w:jc w:val="right"/>
            </w:pPr>
            <w:r>
              <w:rPr>
                <w:sz w:val="18"/>
                <w:szCs w:val="18"/>
              </w:rPr>
              <w:t xml:space="preserve">7,838</w:t>
            </w:r>
          </w:p>
        </w:tc>
        <w:tc>
          <w:tcPr>
            <w:tcW w:type="dxa" w:w="9480"/>
            <w:tcMar>
              <w:top w:type="dxa" w:w="60"/>
              <w:left w:type="dxa" w:w="80"/>
              <w:bottom w:type="dxa" w:w="60"/>
              <w:right w:type="dxa" w:w="80"/>
            </w:tcMar>
          </w:tcPr>
          <w:p>
            <w:pPr>
              <w:jc w:val="right"/>
            </w:pPr>
            <w:r>
              <w:rPr>
                <w:sz w:val="18"/>
                <w:szCs w:val="18"/>
              </w:rPr>
              <w:t xml:space="preserve">6,982</w:t>
            </w:r>
          </w:p>
        </w:tc>
      </w:tr>
      <w:tr>
        <w:tc>
          <w:tcPr>
            <w:tcW w:type="dxa" w:w="1724"/>
            <w:tcMar>
              <w:top w:type="dxa" w:w="60"/>
              <w:left w:type="dxa" w:w="80"/>
              <w:bottom w:type="dxa" w:w="60"/>
              <w:right w:type="dxa" w:w="80"/>
            </w:tcMar>
          </w:tcPr>
          <w:p>
            <w:pPr>
              <w:jc w:val="left"/>
            </w:pPr>
            <w:r>
              <w:rPr>
                <w:sz w:val="18"/>
                <w:szCs w:val="18"/>
              </w:rPr>
              <w:t xml:space="preserve">3</w:t>
            </w:r>
          </w:p>
        </w:tc>
        <w:tc>
          <w:tcPr>
            <w:tcW w:type="dxa" w:w="1293"/>
            <w:tcMar>
              <w:top w:type="dxa" w:w="60"/>
              <w:left w:type="dxa" w:w="80"/>
              <w:bottom w:type="dxa" w:w="60"/>
              <w:right w:type="dxa" w:w="80"/>
            </w:tcMar>
          </w:tcPr>
          <w:p>
            <w:pPr>
              <w:jc w:val="right"/>
            </w:pPr>
            <w:r>
              <w:rPr>
                <w:sz w:val="18"/>
                <w:szCs w:val="18"/>
              </w:rPr>
              <w:t xml:space="preserve">5,246</w:t>
            </w:r>
          </w:p>
        </w:tc>
        <w:tc>
          <w:tcPr>
            <w:tcW w:type="dxa" w:w="862"/>
            <w:tcMar>
              <w:top w:type="dxa" w:w="60"/>
              <w:left w:type="dxa" w:w="80"/>
              <w:bottom w:type="dxa" w:w="60"/>
              <w:right w:type="dxa" w:w="80"/>
            </w:tcMar>
          </w:tcPr>
          <w:p>
            <w:pPr>
              <w:jc w:val="right"/>
            </w:pPr>
            <w:r>
              <w:rPr>
                <w:sz w:val="18"/>
                <w:szCs w:val="18"/>
              </w:rPr>
              <w:t xml:space="preserve">0</w:t>
            </w:r>
          </w:p>
        </w:tc>
        <w:tc>
          <w:tcPr>
            <w:tcW w:type="dxa" w:w="1437"/>
            <w:tcMar>
              <w:top w:type="dxa" w:w="60"/>
              <w:left w:type="dxa" w:w="80"/>
              <w:bottom w:type="dxa" w:w="60"/>
              <w:right w:type="dxa" w:w="80"/>
            </w:tcMar>
          </w:tcPr>
          <w:p>
            <w:pPr>
              <w:jc w:val="right"/>
            </w:pPr>
            <w:r>
              <w:rPr>
                <w:sz w:val="18"/>
                <w:szCs w:val="18"/>
              </w:rPr>
              <w:t xml:space="preserve">5,974</w:t>
            </w:r>
          </w:p>
        </w:tc>
        <w:tc>
          <w:tcPr>
            <w:tcW w:type="dxa" w:w="9480"/>
            <w:tcMar>
              <w:top w:type="dxa" w:w="60"/>
              <w:left w:type="dxa" w:w="80"/>
              <w:bottom w:type="dxa" w:w="60"/>
              <w:right w:type="dxa" w:w="80"/>
            </w:tcMar>
          </w:tcPr>
          <w:p>
            <w:pPr>
              <w:jc w:val="right"/>
            </w:pPr>
            <w:r>
              <w:rPr>
                <w:sz w:val="18"/>
                <w:szCs w:val="18"/>
              </w:rPr>
              <w:t xml:space="preserve">5,118</w:t>
            </w:r>
          </w:p>
        </w:tc>
      </w:tr>
      <w:tr>
        <w:tc>
          <w:tcPr>
            <w:tcW w:type="dxa" w:w="1724"/>
            <w:tcMar>
              <w:top w:type="dxa" w:w="60"/>
              <w:left w:type="dxa" w:w="80"/>
              <w:bottom w:type="dxa" w:w="60"/>
              <w:right w:type="dxa" w:w="80"/>
            </w:tcMar>
          </w:tcPr>
          <w:p>
            <w:pPr>
              <w:jc w:val="left"/>
            </w:pPr>
            <w:r>
              <w:rPr>
                <w:sz w:val="18"/>
                <w:szCs w:val="18"/>
              </w:rPr>
              <w:t xml:space="preserve">4</w:t>
            </w:r>
          </w:p>
        </w:tc>
        <w:tc>
          <w:tcPr>
            <w:tcW w:type="dxa" w:w="1293"/>
            <w:tcMar>
              <w:top w:type="dxa" w:w="60"/>
              <w:left w:type="dxa" w:w="80"/>
              <w:bottom w:type="dxa" w:w="60"/>
              <w:right w:type="dxa" w:w="80"/>
            </w:tcMar>
          </w:tcPr>
          <w:p>
            <w:pPr>
              <w:jc w:val="right"/>
            </w:pPr>
            <w:r>
              <w:rPr>
                <w:sz w:val="18"/>
                <w:szCs w:val="18"/>
              </w:rPr>
              <w:t xml:space="preserve">5,425</w:t>
            </w:r>
          </w:p>
        </w:tc>
        <w:tc>
          <w:tcPr>
            <w:tcW w:type="dxa" w:w="862"/>
            <w:tcMar>
              <w:top w:type="dxa" w:w="60"/>
              <w:left w:type="dxa" w:w="80"/>
              <w:bottom w:type="dxa" w:w="60"/>
              <w:right w:type="dxa" w:w="80"/>
            </w:tcMar>
          </w:tcPr>
          <w:p>
            <w:pPr>
              <w:jc w:val="right"/>
            </w:pPr>
            <w:r>
              <w:rPr>
                <w:sz w:val="18"/>
                <w:szCs w:val="18"/>
              </w:rPr>
              <w:t xml:space="preserve">1,212</w:t>
            </w:r>
          </w:p>
        </w:tc>
        <w:tc>
          <w:tcPr>
            <w:tcW w:type="dxa" w:w="1437"/>
            <w:tcMar>
              <w:top w:type="dxa" w:w="60"/>
              <w:left w:type="dxa" w:w="80"/>
              <w:bottom w:type="dxa" w:w="60"/>
              <w:right w:type="dxa" w:w="80"/>
            </w:tcMar>
          </w:tcPr>
          <w:p>
            <w:pPr>
              <w:jc w:val="right"/>
            </w:pPr>
            <w:r>
              <w:rPr>
                <w:sz w:val="18"/>
                <w:szCs w:val="18"/>
              </w:rPr>
              <w:t xml:space="preserve">7,345</w:t>
            </w:r>
          </w:p>
        </w:tc>
        <w:tc>
          <w:tcPr>
            <w:tcW w:type="dxa" w:w="9480"/>
            <w:tcMar>
              <w:top w:type="dxa" w:w="60"/>
              <w:left w:type="dxa" w:w="80"/>
              <w:bottom w:type="dxa" w:w="60"/>
              <w:right w:type="dxa" w:w="80"/>
            </w:tcMar>
          </w:tcPr>
          <w:p>
            <w:pPr>
              <w:jc w:val="right"/>
            </w:pPr>
            <w:r>
              <w:rPr>
                <w:sz w:val="18"/>
                <w:szCs w:val="18"/>
              </w:rPr>
              <w:t xml:space="preserve">6,175</w:t>
            </w:r>
          </w:p>
        </w:tc>
      </w:tr>
      <w:tr>
        <w:tc>
          <w:tcPr>
            <w:tcW w:type="dxa" w:w="1724"/>
            <w:tcMar>
              <w:top w:type="dxa" w:w="60"/>
              <w:left w:type="dxa" w:w="80"/>
              <w:bottom w:type="dxa" w:w="60"/>
              <w:right w:type="dxa" w:w="80"/>
            </w:tcMar>
          </w:tcPr>
          <w:p>
            <w:pPr>
              <w:jc w:val="left"/>
            </w:pPr>
            <w:r>
              <w:rPr>
                <w:sz w:val="18"/>
                <w:szCs w:val="18"/>
              </w:rPr>
              <w:t xml:space="preserve">5</w:t>
            </w:r>
          </w:p>
        </w:tc>
        <w:tc>
          <w:tcPr>
            <w:tcW w:type="dxa" w:w="1293"/>
            <w:tcMar>
              <w:top w:type="dxa" w:w="60"/>
              <w:left w:type="dxa" w:w="80"/>
              <w:bottom w:type="dxa" w:w="60"/>
              <w:right w:type="dxa" w:w="80"/>
            </w:tcMar>
          </w:tcPr>
          <w:p>
            <w:pPr>
              <w:jc w:val="right"/>
            </w:pPr>
            <w:r>
              <w:rPr>
                <w:sz w:val="18"/>
                <w:szCs w:val="18"/>
              </w:rPr>
              <w:t xml:space="preserve">5,433</w:t>
            </w:r>
          </w:p>
        </w:tc>
        <w:tc>
          <w:tcPr>
            <w:tcW w:type="dxa" w:w="862"/>
            <w:tcMar>
              <w:top w:type="dxa" w:w="60"/>
              <w:left w:type="dxa" w:w="80"/>
              <w:bottom w:type="dxa" w:w="60"/>
              <w:right w:type="dxa" w:w="80"/>
            </w:tcMar>
          </w:tcPr>
          <w:p>
            <w:pPr>
              <w:jc w:val="right"/>
            </w:pPr>
            <w:r>
              <w:rPr>
                <w:sz w:val="18"/>
                <w:szCs w:val="18"/>
              </w:rPr>
              <w:t xml:space="preserve">1,212</w:t>
            </w:r>
          </w:p>
        </w:tc>
        <w:tc>
          <w:tcPr>
            <w:tcW w:type="dxa" w:w="1437"/>
            <w:tcMar>
              <w:top w:type="dxa" w:w="60"/>
              <w:left w:type="dxa" w:w="80"/>
              <w:bottom w:type="dxa" w:w="60"/>
              <w:right w:type="dxa" w:w="80"/>
            </w:tcMar>
          </w:tcPr>
          <w:p>
            <w:pPr>
              <w:jc w:val="right"/>
            </w:pPr>
            <w:r>
              <w:rPr>
                <w:sz w:val="18"/>
                <w:szCs w:val="18"/>
              </w:rPr>
              <w:t xml:space="preserve">7,373</w:t>
            </w:r>
          </w:p>
        </w:tc>
        <w:tc>
          <w:tcPr>
            <w:tcW w:type="dxa" w:w="9480"/>
            <w:tcMar>
              <w:top w:type="dxa" w:w="60"/>
              <w:left w:type="dxa" w:w="80"/>
              <w:bottom w:type="dxa" w:w="60"/>
              <w:right w:type="dxa" w:w="80"/>
            </w:tcMar>
          </w:tcPr>
          <w:p>
            <w:pPr>
              <w:jc w:val="right"/>
            </w:pPr>
            <w:r>
              <w:rPr>
                <w:sz w:val="18"/>
                <w:szCs w:val="18"/>
              </w:rPr>
              <w:t xml:space="preserve">6,203</w:t>
            </w:r>
          </w:p>
        </w:tc>
      </w:tr>
      <w:tr>
        <w:tc>
          <w:tcPr>
            <w:tcW w:type="dxa" w:w="1724"/>
            <w:tcMar>
              <w:top w:type="dxa" w:w="60"/>
              <w:left w:type="dxa" w:w="80"/>
              <w:bottom w:type="dxa" w:w="60"/>
              <w:right w:type="dxa" w:w="80"/>
            </w:tcMar>
          </w:tcPr>
          <w:p>
            <w:pPr>
              <w:jc w:val="left"/>
            </w:pPr>
            <w:r>
              <w:rPr>
                <w:sz w:val="18"/>
                <w:szCs w:val="18"/>
              </w:rPr>
              <w:t xml:space="preserve">6</w:t>
            </w:r>
          </w:p>
        </w:tc>
        <w:tc>
          <w:tcPr>
            <w:tcW w:type="dxa" w:w="1293"/>
            <w:tcMar>
              <w:top w:type="dxa" w:w="60"/>
              <w:left w:type="dxa" w:w="80"/>
              <w:bottom w:type="dxa" w:w="60"/>
              <w:right w:type="dxa" w:w="80"/>
            </w:tcMar>
          </w:tcPr>
          <w:p>
            <w:pPr>
              <w:jc w:val="right"/>
            </w:pPr>
            <w:r>
              <w:rPr>
                <w:sz w:val="18"/>
                <w:szCs w:val="18"/>
              </w:rPr>
              <w:t xml:space="preserve">5,441</w:t>
            </w:r>
          </w:p>
        </w:tc>
        <w:tc>
          <w:tcPr>
            <w:tcW w:type="dxa" w:w="862"/>
            <w:tcMar>
              <w:top w:type="dxa" w:w="60"/>
              <w:left w:type="dxa" w:w="80"/>
              <w:bottom w:type="dxa" w:w="60"/>
              <w:right w:type="dxa" w:w="80"/>
            </w:tcMar>
          </w:tcPr>
          <w:p>
            <w:pPr>
              <w:jc w:val="right"/>
            </w:pPr>
            <w:r>
              <w:rPr>
                <w:sz w:val="18"/>
                <w:szCs w:val="18"/>
              </w:rPr>
              <w:t xml:space="preserve">1,212</w:t>
            </w:r>
          </w:p>
        </w:tc>
        <w:tc>
          <w:tcPr>
            <w:tcW w:type="dxa" w:w="1437"/>
            <w:tcMar>
              <w:top w:type="dxa" w:w="60"/>
              <w:left w:type="dxa" w:w="80"/>
              <w:bottom w:type="dxa" w:w="60"/>
              <w:right w:type="dxa" w:w="80"/>
            </w:tcMar>
          </w:tcPr>
          <w:p>
            <w:pPr>
              <w:jc w:val="right"/>
            </w:pPr>
            <w:r>
              <w:rPr>
                <w:sz w:val="18"/>
                <w:szCs w:val="18"/>
              </w:rPr>
              <w:t xml:space="preserve">7,362</w:t>
            </w:r>
          </w:p>
        </w:tc>
        <w:tc>
          <w:tcPr>
            <w:tcW w:type="dxa" w:w="9480"/>
            <w:tcMar>
              <w:top w:type="dxa" w:w="60"/>
              <w:left w:type="dxa" w:w="80"/>
              <w:bottom w:type="dxa" w:w="60"/>
              <w:right w:type="dxa" w:w="80"/>
            </w:tcMar>
          </w:tcPr>
          <w:p>
            <w:pPr>
              <w:jc w:val="right"/>
            </w:pPr>
            <w:r>
              <w:rPr>
                <w:sz w:val="18"/>
                <w:szCs w:val="18"/>
              </w:rPr>
              <w:t xml:space="preserve">6,191</w:t>
            </w:r>
          </w:p>
        </w:tc>
      </w:tr>
      <w:tr>
        <w:tc>
          <w:tcPr>
            <w:tcW w:type="dxa" w:w="1724"/>
            <w:tcMar>
              <w:top w:type="dxa" w:w="60"/>
              <w:left w:type="dxa" w:w="80"/>
              <w:bottom w:type="dxa" w:w="60"/>
              <w:right w:type="dxa" w:w="80"/>
            </w:tcMar>
          </w:tcPr>
          <w:p>
            <w:pPr>
              <w:jc w:val="left"/>
            </w:pPr>
            <w:r>
              <w:rPr>
                <w:sz w:val="18"/>
                <w:szCs w:val="18"/>
              </w:rPr>
              <w:t xml:space="preserve">7</w:t>
            </w:r>
          </w:p>
        </w:tc>
        <w:tc>
          <w:tcPr>
            <w:tcW w:type="dxa" w:w="1293"/>
            <w:tcMar>
              <w:top w:type="dxa" w:w="60"/>
              <w:left w:type="dxa" w:w="80"/>
              <w:bottom w:type="dxa" w:w="60"/>
              <w:right w:type="dxa" w:w="80"/>
            </w:tcMar>
          </w:tcPr>
          <w:p>
            <w:pPr>
              <w:jc w:val="right"/>
            </w:pPr>
            <w:r>
              <w:rPr>
                <w:sz w:val="18"/>
                <w:szCs w:val="18"/>
              </w:rPr>
              <w:t xml:space="preserve">5,873</w:t>
            </w:r>
          </w:p>
        </w:tc>
        <w:tc>
          <w:tcPr>
            <w:tcW w:type="dxa" w:w="862"/>
            <w:tcMar>
              <w:top w:type="dxa" w:w="60"/>
              <w:left w:type="dxa" w:w="80"/>
              <w:bottom w:type="dxa" w:w="60"/>
              <w:right w:type="dxa" w:w="80"/>
            </w:tcMar>
          </w:tcPr>
          <w:p>
            <w:pPr>
              <w:jc w:val="right"/>
            </w:pPr>
            <w:r>
              <w:rPr>
                <w:sz w:val="18"/>
                <w:szCs w:val="18"/>
              </w:rPr>
              <w:t xml:space="preserve">1,366</w:t>
            </w:r>
          </w:p>
        </w:tc>
        <w:tc>
          <w:tcPr>
            <w:tcW w:type="dxa" w:w="1437"/>
            <w:tcMar>
              <w:top w:type="dxa" w:w="60"/>
              <w:left w:type="dxa" w:w="80"/>
              <w:bottom w:type="dxa" w:w="60"/>
              <w:right w:type="dxa" w:w="80"/>
            </w:tcMar>
          </w:tcPr>
          <w:p>
            <w:pPr>
              <w:jc w:val="right"/>
            </w:pPr>
            <w:r>
              <w:rPr>
                <w:sz w:val="18"/>
                <w:szCs w:val="18"/>
              </w:rPr>
              <w:t xml:space="preserve">7,948</w:t>
            </w:r>
          </w:p>
        </w:tc>
        <w:tc>
          <w:tcPr>
            <w:tcW w:type="dxa" w:w="9480"/>
            <w:tcMar>
              <w:top w:type="dxa" w:w="60"/>
              <w:left w:type="dxa" w:w="80"/>
              <w:bottom w:type="dxa" w:w="60"/>
              <w:right w:type="dxa" w:w="80"/>
            </w:tcMar>
          </w:tcPr>
          <w:p>
            <w:pPr>
              <w:jc w:val="right"/>
            </w:pPr>
            <w:r>
              <w:rPr>
                <w:sz w:val="18"/>
                <w:szCs w:val="18"/>
              </w:rPr>
              <w:t xml:space="preserve">6,777</w:t>
            </w:r>
          </w:p>
        </w:tc>
      </w:tr>
      <w:tr>
        <w:tc>
          <w:tcPr>
            <w:tcW w:type="dxa" w:w="1724"/>
            <w:tcMar>
              <w:top w:type="dxa" w:w="60"/>
              <w:left w:type="dxa" w:w="80"/>
              <w:bottom w:type="dxa" w:w="60"/>
              <w:right w:type="dxa" w:w="80"/>
            </w:tcMar>
          </w:tcPr>
          <w:p>
            <w:pPr>
              <w:jc w:val="left"/>
            </w:pPr>
            <w:r>
              <w:rPr>
                <w:sz w:val="18"/>
                <w:szCs w:val="18"/>
              </w:rPr>
              <w:t xml:space="preserve">8</w:t>
            </w:r>
          </w:p>
        </w:tc>
        <w:tc>
          <w:tcPr>
            <w:tcW w:type="dxa" w:w="1293"/>
            <w:tcMar>
              <w:top w:type="dxa" w:w="60"/>
              <w:left w:type="dxa" w:w="80"/>
              <w:bottom w:type="dxa" w:w="60"/>
              <w:right w:type="dxa" w:w="80"/>
            </w:tcMar>
          </w:tcPr>
          <w:p>
            <w:pPr>
              <w:jc w:val="right"/>
            </w:pPr>
            <w:r>
              <w:rPr>
                <w:sz w:val="18"/>
                <w:szCs w:val="18"/>
              </w:rPr>
              <w:t xml:space="preserve">5,881</w:t>
            </w:r>
          </w:p>
        </w:tc>
        <w:tc>
          <w:tcPr>
            <w:tcW w:type="dxa" w:w="862"/>
            <w:tcMar>
              <w:top w:type="dxa" w:w="60"/>
              <w:left w:type="dxa" w:w="80"/>
              <w:bottom w:type="dxa" w:w="60"/>
              <w:right w:type="dxa" w:w="80"/>
            </w:tcMar>
          </w:tcPr>
          <w:p>
            <w:pPr>
              <w:jc w:val="right"/>
            </w:pPr>
            <w:r>
              <w:rPr>
                <w:sz w:val="18"/>
                <w:szCs w:val="18"/>
              </w:rPr>
              <w:t xml:space="preserve">1,366</w:t>
            </w:r>
          </w:p>
        </w:tc>
        <w:tc>
          <w:tcPr>
            <w:tcW w:type="dxa" w:w="1437"/>
            <w:tcMar>
              <w:top w:type="dxa" w:w="60"/>
              <w:left w:type="dxa" w:w="80"/>
              <w:bottom w:type="dxa" w:w="60"/>
              <w:right w:type="dxa" w:w="80"/>
            </w:tcMar>
          </w:tcPr>
          <w:p>
            <w:pPr>
              <w:jc w:val="right"/>
            </w:pPr>
            <w:r>
              <w:rPr>
                <w:sz w:val="18"/>
                <w:szCs w:val="18"/>
              </w:rPr>
              <w:t xml:space="preserve">7,976</w:t>
            </w:r>
          </w:p>
        </w:tc>
        <w:tc>
          <w:tcPr>
            <w:tcW w:type="dxa" w:w="9480"/>
            <w:tcMar>
              <w:top w:type="dxa" w:w="60"/>
              <w:left w:type="dxa" w:w="80"/>
              <w:bottom w:type="dxa" w:w="60"/>
              <w:right w:type="dxa" w:w="80"/>
            </w:tcMar>
          </w:tcPr>
          <w:p>
            <w:pPr>
              <w:jc w:val="right"/>
            </w:pPr>
            <w:r>
              <w:rPr>
                <w:sz w:val="18"/>
                <w:szCs w:val="18"/>
              </w:rPr>
              <w:t xml:space="preserve">6,806</w:t>
            </w:r>
          </w:p>
        </w:tc>
      </w:tr>
      <w:tr>
        <w:tc>
          <w:tcPr>
            <w:tcW w:type="dxa" w:w="1724"/>
            <w:tcMar>
              <w:top w:type="dxa" w:w="60"/>
              <w:left w:type="dxa" w:w="80"/>
              <w:bottom w:type="dxa" w:w="60"/>
              <w:right w:type="dxa" w:w="80"/>
            </w:tcMar>
          </w:tcPr>
          <w:p>
            <w:pPr>
              <w:jc w:val="left"/>
            </w:pPr>
            <w:r>
              <w:rPr>
                <w:sz w:val="18"/>
                <w:szCs w:val="18"/>
              </w:rPr>
              <w:t xml:space="preserve">9</w:t>
            </w:r>
          </w:p>
        </w:tc>
        <w:tc>
          <w:tcPr>
            <w:tcW w:type="dxa" w:w="1293"/>
            <w:tcMar>
              <w:top w:type="dxa" w:w="60"/>
              <w:left w:type="dxa" w:w="80"/>
              <w:bottom w:type="dxa" w:w="60"/>
              <w:right w:type="dxa" w:w="80"/>
            </w:tcMar>
          </w:tcPr>
          <w:p>
            <w:pPr>
              <w:jc w:val="right"/>
            </w:pPr>
            <w:r>
              <w:rPr>
                <w:sz w:val="18"/>
                <w:szCs w:val="18"/>
              </w:rPr>
              <w:t xml:space="preserve">5,889</w:t>
            </w:r>
          </w:p>
        </w:tc>
        <w:tc>
          <w:tcPr>
            <w:tcW w:type="dxa" w:w="862"/>
            <w:tcMar>
              <w:top w:type="dxa" w:w="60"/>
              <w:left w:type="dxa" w:w="80"/>
              <w:bottom w:type="dxa" w:w="60"/>
              <w:right w:type="dxa" w:w="80"/>
            </w:tcMar>
          </w:tcPr>
          <w:p>
            <w:pPr>
              <w:jc w:val="right"/>
            </w:pPr>
            <w:r>
              <w:rPr>
                <w:sz w:val="18"/>
                <w:szCs w:val="18"/>
              </w:rPr>
              <w:t xml:space="preserve">1,366</w:t>
            </w:r>
          </w:p>
        </w:tc>
        <w:tc>
          <w:tcPr>
            <w:tcW w:type="dxa" w:w="1437"/>
            <w:tcMar>
              <w:top w:type="dxa" w:w="60"/>
              <w:left w:type="dxa" w:w="80"/>
              <w:bottom w:type="dxa" w:w="60"/>
              <w:right w:type="dxa" w:w="80"/>
            </w:tcMar>
          </w:tcPr>
          <w:p>
            <w:pPr>
              <w:jc w:val="right"/>
            </w:pPr>
            <w:r>
              <w:rPr>
                <w:sz w:val="18"/>
                <w:szCs w:val="18"/>
              </w:rPr>
              <w:t xml:space="preserve">7,964</w:t>
            </w:r>
          </w:p>
        </w:tc>
        <w:tc>
          <w:tcPr>
            <w:tcW w:type="dxa" w:w="9480"/>
            <w:tcMar>
              <w:top w:type="dxa" w:w="60"/>
              <w:left w:type="dxa" w:w="80"/>
              <w:bottom w:type="dxa" w:w="60"/>
              <w:right w:type="dxa" w:w="80"/>
            </w:tcMar>
          </w:tcPr>
          <w:p>
            <w:pPr>
              <w:jc w:val="right"/>
            </w:pPr>
            <w:r>
              <w:rPr>
                <w:sz w:val="18"/>
                <w:szCs w:val="18"/>
              </w:rPr>
              <w:t xml:space="preserve">6,794</w:t>
            </w:r>
          </w:p>
        </w:tc>
      </w:tr>
      <w:tr>
        <w:tc>
          <w:tcPr>
            <w:tcW w:type="dxa" w:w="1724"/>
            <w:tcMar>
              <w:top w:type="dxa" w:w="60"/>
              <w:left w:type="dxa" w:w="80"/>
              <w:bottom w:type="dxa" w:w="60"/>
              <w:right w:type="dxa" w:w="80"/>
            </w:tcMar>
          </w:tcPr>
          <w:p>
            <w:pPr>
              <w:jc w:val="left"/>
            </w:pPr>
            <w:r>
              <w:rPr>
                <w:sz w:val="18"/>
                <w:szCs w:val="18"/>
              </w:rPr>
              <w:t xml:space="preserve">10</w:t>
            </w:r>
          </w:p>
        </w:tc>
        <w:tc>
          <w:tcPr>
            <w:tcW w:type="dxa" w:w="1293"/>
            <w:tcMar>
              <w:top w:type="dxa" w:w="60"/>
              <w:left w:type="dxa" w:w="80"/>
              <w:bottom w:type="dxa" w:w="60"/>
              <w:right w:type="dxa" w:w="80"/>
            </w:tcMar>
          </w:tcPr>
          <w:p>
            <w:pPr>
              <w:jc w:val="right"/>
            </w:pPr>
            <w:r>
              <w:rPr>
                <w:sz w:val="18"/>
                <w:szCs w:val="18"/>
              </w:rPr>
              <w:t xml:space="preserve">5,898</w:t>
            </w:r>
          </w:p>
        </w:tc>
        <w:tc>
          <w:tcPr>
            <w:tcW w:type="dxa" w:w="862"/>
            <w:tcMar>
              <w:top w:type="dxa" w:w="60"/>
              <w:left w:type="dxa" w:w="80"/>
              <w:bottom w:type="dxa" w:w="60"/>
              <w:right w:type="dxa" w:w="80"/>
            </w:tcMar>
          </w:tcPr>
          <w:p>
            <w:pPr>
              <w:jc w:val="right"/>
            </w:pPr>
            <w:r>
              <w:rPr>
                <w:sz w:val="18"/>
                <w:szCs w:val="18"/>
              </w:rPr>
              <w:t xml:space="preserve">1,366</w:t>
            </w:r>
          </w:p>
        </w:tc>
        <w:tc>
          <w:tcPr>
            <w:tcW w:type="dxa" w:w="1437"/>
            <w:tcMar>
              <w:top w:type="dxa" w:w="60"/>
              <w:left w:type="dxa" w:w="80"/>
              <w:bottom w:type="dxa" w:w="60"/>
              <w:right w:type="dxa" w:w="80"/>
            </w:tcMar>
          </w:tcPr>
          <w:p>
            <w:pPr>
              <w:jc w:val="right"/>
            </w:pPr>
            <w:r>
              <w:rPr>
                <w:sz w:val="18"/>
                <w:szCs w:val="18"/>
              </w:rPr>
              <w:t xml:space="preserve">7,972</w:t>
            </w:r>
          </w:p>
        </w:tc>
        <w:tc>
          <w:tcPr>
            <w:tcW w:type="dxa" w:w="9480"/>
            <w:tcMar>
              <w:top w:type="dxa" w:w="60"/>
              <w:left w:type="dxa" w:w="80"/>
              <w:bottom w:type="dxa" w:w="60"/>
              <w:right w:type="dxa" w:w="80"/>
            </w:tcMar>
          </w:tcPr>
          <w:p>
            <w:pPr>
              <w:jc w:val="right"/>
            </w:pPr>
            <w:r>
              <w:rPr>
                <w:sz w:val="18"/>
                <w:szCs w:val="18"/>
              </w:rPr>
              <w:t xml:space="preserve">6,802</w:t>
            </w:r>
          </w:p>
        </w:tc>
      </w:tr>
      <w:tr>
        <w:tc>
          <w:tcPr>
            <w:tcW w:type="dxa" w:w="1724"/>
            <w:tcMar>
              <w:top w:type="dxa" w:w="60"/>
              <w:left w:type="dxa" w:w="80"/>
              <w:bottom w:type="dxa" w:w="60"/>
              <w:right w:type="dxa" w:w="80"/>
            </w:tcMar>
          </w:tcPr>
          <w:p>
            <w:pPr>
              <w:jc w:val="left"/>
            </w:pPr>
            <w:r>
              <w:rPr>
                <w:sz w:val="18"/>
                <w:szCs w:val="18"/>
              </w:rPr>
              <w:t xml:space="preserve">11</w:t>
            </w:r>
          </w:p>
        </w:tc>
        <w:tc>
          <w:tcPr>
            <w:tcW w:type="dxa" w:w="1293"/>
            <w:tcMar>
              <w:top w:type="dxa" w:w="60"/>
              <w:left w:type="dxa" w:w="80"/>
              <w:bottom w:type="dxa" w:w="60"/>
              <w:right w:type="dxa" w:w="80"/>
            </w:tcMar>
          </w:tcPr>
          <w:p>
            <w:pPr>
              <w:jc w:val="right"/>
            </w:pPr>
            <w:r>
              <w:rPr>
                <w:sz w:val="18"/>
                <w:szCs w:val="18"/>
              </w:rPr>
              <w:t xml:space="preserve">5,906</w:t>
            </w:r>
          </w:p>
        </w:tc>
        <w:tc>
          <w:tcPr>
            <w:tcW w:type="dxa" w:w="862"/>
            <w:tcMar>
              <w:top w:type="dxa" w:w="60"/>
              <w:left w:type="dxa" w:w="80"/>
              <w:bottom w:type="dxa" w:w="60"/>
              <w:right w:type="dxa" w:w="80"/>
            </w:tcMar>
          </w:tcPr>
          <w:p>
            <w:pPr>
              <w:jc w:val="right"/>
            </w:pPr>
            <w:r>
              <w:rPr>
                <w:sz w:val="18"/>
                <w:szCs w:val="18"/>
              </w:rPr>
              <w:t xml:space="preserve">1,366</w:t>
            </w:r>
          </w:p>
        </w:tc>
        <w:tc>
          <w:tcPr>
            <w:tcW w:type="dxa" w:w="1437"/>
            <w:tcMar>
              <w:top w:type="dxa" w:w="60"/>
              <w:left w:type="dxa" w:w="80"/>
              <w:bottom w:type="dxa" w:w="60"/>
              <w:right w:type="dxa" w:w="80"/>
            </w:tcMar>
          </w:tcPr>
          <w:p>
            <w:pPr>
              <w:jc w:val="right"/>
            </w:pPr>
            <w:r>
              <w:rPr>
                <w:sz w:val="18"/>
                <w:szCs w:val="18"/>
              </w:rPr>
              <w:t xml:space="preserve">7,980</w:t>
            </w:r>
          </w:p>
        </w:tc>
        <w:tc>
          <w:tcPr>
            <w:tcW w:type="dxa" w:w="9480"/>
            <w:tcMar>
              <w:top w:type="dxa" w:w="60"/>
              <w:left w:type="dxa" w:w="80"/>
              <w:bottom w:type="dxa" w:w="60"/>
              <w:right w:type="dxa" w:w="80"/>
            </w:tcMar>
          </w:tcPr>
          <w:p>
            <w:pPr>
              <w:jc w:val="right"/>
            </w:pPr>
            <w:r>
              <w:rPr>
                <w:sz w:val="18"/>
                <w:szCs w:val="18"/>
              </w:rPr>
              <w:t xml:space="preserve">6,810</w:t>
            </w:r>
          </w:p>
        </w:tc>
      </w:tr>
      <w:tr>
        <w:tc>
          <w:tcPr>
            <w:tcW w:type="dxa" w:w="1724"/>
            <w:tcMar>
              <w:top w:type="dxa" w:w="60"/>
              <w:left w:type="dxa" w:w="80"/>
              <w:bottom w:type="dxa" w:w="60"/>
              <w:right w:type="dxa" w:w="80"/>
            </w:tcMar>
          </w:tcPr>
          <w:p>
            <w:pPr>
              <w:jc w:val="left"/>
            </w:pPr>
            <w:r>
              <w:rPr>
                <w:sz w:val="18"/>
                <w:szCs w:val="18"/>
              </w:rPr>
              <w:t xml:space="preserve">12</w:t>
            </w:r>
          </w:p>
        </w:tc>
        <w:tc>
          <w:tcPr>
            <w:tcW w:type="dxa" w:w="1293"/>
            <w:tcMar>
              <w:top w:type="dxa" w:w="60"/>
              <w:left w:type="dxa" w:w="80"/>
              <w:bottom w:type="dxa" w:w="60"/>
              <w:right w:type="dxa" w:w="80"/>
            </w:tcMar>
          </w:tcPr>
          <w:p>
            <w:pPr>
              <w:jc w:val="right"/>
            </w:pPr>
            <w:r>
              <w:rPr>
                <w:sz w:val="18"/>
                <w:szCs w:val="18"/>
              </w:rPr>
              <w:t xml:space="preserve">5,914</w:t>
            </w:r>
          </w:p>
        </w:tc>
        <w:tc>
          <w:tcPr>
            <w:tcW w:type="dxa" w:w="862"/>
            <w:tcMar>
              <w:top w:type="dxa" w:w="60"/>
              <w:left w:type="dxa" w:w="80"/>
              <w:bottom w:type="dxa" w:w="60"/>
              <w:right w:type="dxa" w:w="80"/>
            </w:tcMar>
          </w:tcPr>
          <w:p>
            <w:pPr>
              <w:jc w:val="right"/>
            </w:pPr>
            <w:r>
              <w:rPr>
                <w:sz w:val="18"/>
                <w:szCs w:val="18"/>
              </w:rPr>
              <w:t xml:space="preserve">1,366</w:t>
            </w:r>
          </w:p>
        </w:tc>
        <w:tc>
          <w:tcPr>
            <w:tcW w:type="dxa" w:w="1437"/>
            <w:tcMar>
              <w:top w:type="dxa" w:w="60"/>
              <w:left w:type="dxa" w:w="80"/>
              <w:bottom w:type="dxa" w:w="60"/>
              <w:right w:type="dxa" w:w="80"/>
            </w:tcMar>
          </w:tcPr>
          <w:p>
            <w:pPr>
              <w:jc w:val="right"/>
            </w:pPr>
            <w:r>
              <w:rPr>
                <w:sz w:val="18"/>
                <w:szCs w:val="18"/>
              </w:rPr>
              <w:t xml:space="preserve">7,988</w:t>
            </w:r>
          </w:p>
        </w:tc>
        <w:tc>
          <w:tcPr>
            <w:tcW w:type="dxa" w:w="9480"/>
            <w:tcMar>
              <w:top w:type="dxa" w:w="60"/>
              <w:left w:type="dxa" w:w="80"/>
              <w:bottom w:type="dxa" w:w="60"/>
              <w:right w:type="dxa" w:w="80"/>
            </w:tcMar>
          </w:tcPr>
          <w:p>
            <w:pPr>
              <w:jc w:val="right"/>
            </w:pPr>
            <w:r>
              <w:rPr>
                <w:sz w:val="18"/>
                <w:szCs w:val="18"/>
              </w:rPr>
              <w:t xml:space="preserve">6,818</w:t>
            </w:r>
          </w:p>
        </w:tc>
      </w:tr>
      <w:tr>
        <w:tc>
          <w:tcPr>
            <w:tcW w:type="dxa" w:w="1724"/>
            <w:tcMar>
              <w:top w:type="dxa" w:w="60"/>
              <w:left w:type="dxa" w:w="80"/>
              <w:bottom w:type="dxa" w:w="60"/>
              <w:right w:type="dxa" w:w="80"/>
            </w:tcMar>
          </w:tcPr>
          <w:p>
            <w:pPr>
              <w:jc w:val="left"/>
            </w:pPr>
            <w:r>
              <w:rPr>
                <w:sz w:val="18"/>
                <w:szCs w:val="18"/>
              </w:rPr>
              <w:t xml:space="preserve">Year one</w:t>
            </w:r>
          </w:p>
        </w:tc>
        <w:tc>
          <w:tcPr>
            <w:tcW w:type="dxa" w:w="1293"/>
            <w:tcMar>
              <w:top w:type="dxa" w:w="60"/>
              <w:left w:type="dxa" w:w="80"/>
              <w:bottom w:type="dxa" w:w="60"/>
              <w:right w:type="dxa" w:w="80"/>
            </w:tcMar>
          </w:tcPr>
          <w:p>
            <w:pPr>
              <w:jc w:val="right"/>
            </w:pPr>
          </w:p>
        </w:tc>
        <w:tc>
          <w:tcPr>
            <w:tcW w:type="dxa" w:w="862"/>
            <w:tcMar>
              <w:top w:type="dxa" w:w="60"/>
              <w:left w:type="dxa" w:w="80"/>
              <w:bottom w:type="dxa" w:w="60"/>
              <w:right w:type="dxa" w:w="80"/>
            </w:tcMar>
          </w:tcPr>
          <w:p>
            <w:pPr>
              <w:jc w:val="right"/>
            </w:pPr>
          </w:p>
        </w:tc>
        <w:tc>
          <w:tcPr>
            <w:tcW w:type="dxa" w:w="1437"/>
            <w:tcMar>
              <w:top w:type="dxa" w:w="60"/>
              <w:left w:type="dxa" w:w="80"/>
              <w:bottom w:type="dxa" w:w="60"/>
              <w:right w:type="dxa" w:w="80"/>
            </w:tcMar>
          </w:tcPr>
          <w:p>
            <w:pPr>
              <w:jc w:val="right"/>
            </w:pPr>
            <w:r>
              <w:rPr>
                <w:sz w:val="18"/>
                <w:szCs w:val="18"/>
              </w:rPr>
              <w:t xml:space="preserve">89,542</w:t>
            </w:r>
          </w:p>
        </w:tc>
        <w:tc>
          <w:tcPr>
            <w:tcW w:type="dxa" w:w="9480"/>
            <w:tcMar>
              <w:top w:type="dxa" w:w="60"/>
              <w:left w:type="dxa" w:w="80"/>
              <w:bottom w:type="dxa" w:w="60"/>
              <w:right w:type="dxa" w:w="80"/>
            </w:tcMar>
          </w:tcPr>
          <w:p>
            <w:pPr>
              <w:jc w:val="right"/>
            </w:pPr>
            <w:r>
              <w:rPr>
                <w:sz w:val="18"/>
                <w:szCs w:val="18"/>
              </w:rPr>
              <w:t xml:space="preserve">77,299</w:t>
            </w:r>
          </w:p>
        </w:tc>
      </w:tr>
    </w:tbl>
    <w:p>
      <w:pPr>
        <w:spacing w:after="120"/>
      </w:pPr>
    </w:p>
    <w:p>
      <w:pPr>
        <w:pStyle w:val="Heading2"/>
        <w:spacing w:after="120" w:before="200"/>
      </w:pPr>
      <w:r>
        <w:t xml:space="preserve">6. What is designed but not yet in a template</w:t>
      </w:r>
    </w:p>
    <w:p>
      <w:pPr>
        <w:spacing w:after="120"/>
      </w:pPr>
      <w:r>
        <w:t xml:space="preserve">The East Asia DR tier, the private endpoints for Key Vault, registry and Blob, the signing vault with a non-exportable key, the worker scale rules and the photo-queue consumer, the export jobs, the APK channel, the WORM audit export, staging-lite, Azure Policy and locks. The fleet-size proof (load tests S1–S10, the timed failover and restore drills at D8 size, Private Link and the Premium firewall under real traffic) can only run in the final account before rollout wave 1.</w:t>
      </w:r>
    </w:p>
    <w:p>
      <w:pPr>
        <w:pStyle w:val="Heading2"/>
        <w:spacing w:after="120" w:before="200"/>
      </w:pPr>
      <w:r>
        <w:t xml:space="preserve">7. Decisions for the owner</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617"/>
        <w:gridCol w:w="9248"/>
        <w:gridCol w:w="2055"/>
        <w:gridCol w:w="2876"/>
      </w:tblGrid>
      <w:tr>
        <w:trPr>
          <w:tblHeader/>
        </w:trPr>
        <w:tc>
          <w:tcPr>
            <w:tcW w:type="dxa" w:w="617"/>
            <w:shd w:fill="E8EEF7" w:color="auto" w:val="clear"/>
            <w:tcMar>
              <w:top w:type="dxa" w:w="60"/>
              <w:left w:type="dxa" w:w="80"/>
              <w:bottom w:type="dxa" w:w="60"/>
              <w:right w:type="dxa" w:w="80"/>
            </w:tcMar>
          </w:tcPr>
          <w:p>
            <w:pPr>
              <w:jc w:val="left"/>
            </w:pPr>
            <w:r>
              <w:rPr>
                <w:b/>
                <w:bCs/>
                <w:sz w:val="18"/>
                <w:szCs w:val="18"/>
              </w:rPr>
              <w:t xml:space="preserve">#</w:t>
            </w:r>
          </w:p>
        </w:tc>
        <w:tc>
          <w:tcPr>
            <w:tcW w:type="dxa" w:w="9248"/>
            <w:shd w:fill="E8EEF7" w:color="auto" w:val="clear"/>
            <w:tcMar>
              <w:top w:type="dxa" w:w="60"/>
              <w:left w:type="dxa" w:w="80"/>
              <w:bottom w:type="dxa" w:w="60"/>
              <w:right w:type="dxa" w:w="80"/>
            </w:tcMar>
          </w:tcPr>
          <w:p>
            <w:pPr>
              <w:jc w:val="left"/>
            </w:pPr>
            <w:r>
              <w:rPr>
                <w:b/>
                <w:bCs/>
                <w:sz w:val="18"/>
                <w:szCs w:val="18"/>
              </w:rPr>
              <w:t xml:space="preserve">Decision</w:t>
            </w:r>
          </w:p>
        </w:tc>
        <w:tc>
          <w:tcPr>
            <w:tcW w:type="dxa" w:w="2055"/>
            <w:shd w:fill="E8EEF7" w:color="auto" w:val="clear"/>
            <w:tcMar>
              <w:top w:type="dxa" w:w="60"/>
              <w:left w:type="dxa" w:w="80"/>
              <w:bottom w:type="dxa" w:w="60"/>
              <w:right w:type="dxa" w:w="80"/>
            </w:tcMar>
          </w:tcPr>
          <w:p>
            <w:pPr>
              <w:jc w:val="left"/>
            </w:pPr>
            <w:r>
              <w:rPr>
                <w:b/>
                <w:bCs/>
                <w:sz w:val="18"/>
                <w:szCs w:val="18"/>
              </w:rPr>
              <w:t xml:space="preserve">Default in this pack</w:t>
            </w:r>
          </w:p>
        </w:tc>
        <w:tc>
          <w:tcPr>
            <w:tcW w:type="dxa" w:w="2876"/>
            <w:shd w:fill="E8EEF7" w:color="auto" w:val="clear"/>
            <w:tcMar>
              <w:top w:type="dxa" w:w="60"/>
              <w:left w:type="dxa" w:w="80"/>
              <w:bottom w:type="dxa" w:w="60"/>
              <w:right w:type="dxa" w:w="80"/>
            </w:tcMar>
          </w:tcPr>
          <w:p>
            <w:pPr>
              <w:jc w:val="left"/>
            </w:pPr>
            <w:r>
              <w:rPr>
                <w:b/>
                <w:bCs/>
                <w:sz w:val="18"/>
                <w:szCs w:val="18"/>
              </w:rPr>
              <w:t xml:space="preserve">Decide by</w:t>
            </w:r>
          </w:p>
        </w:tc>
      </w:tr>
      <w:tr>
        <w:tc>
          <w:tcPr>
            <w:tcW w:type="dxa" w:w="617"/>
            <w:tcMar>
              <w:top w:type="dxa" w:w="60"/>
              <w:left w:type="dxa" w:w="80"/>
              <w:bottom w:type="dxa" w:w="60"/>
              <w:right w:type="dxa" w:w="80"/>
            </w:tcMar>
          </w:tcPr>
          <w:p>
            <w:pPr>
              <w:jc w:val="left"/>
            </w:pPr>
            <w:r>
              <w:rPr>
                <w:sz w:val="18"/>
                <w:szCs w:val="18"/>
              </w:rPr>
              <w:t xml:space="preserve">1</w:t>
            </w:r>
          </w:p>
        </w:tc>
        <w:tc>
          <w:tcPr>
            <w:tcW w:type="dxa" w:w="9248"/>
            <w:tcMar>
              <w:top w:type="dxa" w:w="60"/>
              <w:left w:type="dxa" w:w="80"/>
              <w:bottom w:type="dxa" w:w="60"/>
              <w:right w:type="dxa" w:w="80"/>
            </w:tcMar>
          </w:tcPr>
          <w:p>
            <w:pPr>
              <w:jc w:val="left"/>
            </w:pPr>
            <w:r>
              <w:rPr>
                <w:sz w:val="18"/>
                <w:szCs w:val="18"/>
              </w:rPr>
              <w:t xml:space="preserve">Build the East Asia DR tier (about USD 1,212 a month)</w:t>
            </w:r>
          </w:p>
        </w:tc>
        <w:tc>
          <w:tcPr>
            <w:tcW w:type="dxa" w:w="2055"/>
            <w:tcMar>
              <w:top w:type="dxa" w:w="60"/>
              <w:left w:type="dxa" w:w="80"/>
              <w:bottom w:type="dxa" w:w="60"/>
              <w:right w:type="dxa" w:w="80"/>
            </w:tcMar>
          </w:tcPr>
          <w:p>
            <w:pPr>
              <w:jc w:val="left"/>
            </w:pPr>
            <w:r>
              <w:rPr>
                <w:sz w:val="18"/>
                <w:szCs w:val="18"/>
              </w:rPr>
              <w:t xml:space="preserve">yes, before wave 2</w:t>
            </w:r>
          </w:p>
        </w:tc>
        <w:tc>
          <w:tcPr>
            <w:tcW w:type="dxa" w:w="2876"/>
            <w:tcMar>
              <w:top w:type="dxa" w:w="60"/>
              <w:left w:type="dxa" w:w="80"/>
              <w:bottom w:type="dxa" w:w="60"/>
              <w:right w:type="dxa" w:w="80"/>
            </w:tcMar>
          </w:tcPr>
          <w:p>
            <w:pPr>
              <w:jc w:val="left"/>
            </w:pPr>
            <w:r>
              <w:rPr>
                <w:sz w:val="18"/>
                <w:szCs w:val="18"/>
              </w:rPr>
              <w:t xml:space="preserve">before wave 2</w:t>
            </w:r>
          </w:p>
        </w:tc>
      </w:tr>
      <w:tr>
        <w:tc>
          <w:tcPr>
            <w:tcW w:type="dxa" w:w="617"/>
            <w:tcMar>
              <w:top w:type="dxa" w:w="60"/>
              <w:left w:type="dxa" w:w="80"/>
              <w:bottom w:type="dxa" w:w="60"/>
              <w:right w:type="dxa" w:w="80"/>
            </w:tcMar>
          </w:tcPr>
          <w:p>
            <w:pPr>
              <w:jc w:val="left"/>
            </w:pPr>
            <w:r>
              <w:rPr>
                <w:sz w:val="18"/>
                <w:szCs w:val="18"/>
              </w:rPr>
              <w:t xml:space="preserve">2</w:t>
            </w:r>
          </w:p>
        </w:tc>
        <w:tc>
          <w:tcPr>
            <w:tcW w:type="dxa" w:w="9248"/>
            <w:tcMar>
              <w:top w:type="dxa" w:w="60"/>
              <w:left w:type="dxa" w:w="80"/>
              <w:bottom w:type="dxa" w:w="60"/>
              <w:right w:type="dxa" w:w="80"/>
            </w:tcMar>
          </w:tcPr>
          <w:p>
            <w:pPr>
              <w:jc w:val="left"/>
            </w:pPr>
            <w:r>
              <w:rPr>
                <w:sz w:val="18"/>
                <w:szCs w:val="18"/>
              </w:rPr>
              <w:t xml:space="preserve">Staging-lite in the final account (about USD 708 a month, stoppable)</w:t>
            </w:r>
          </w:p>
        </w:tc>
        <w:tc>
          <w:tcPr>
            <w:tcW w:type="dxa" w:w="2055"/>
            <w:tcMar>
              <w:top w:type="dxa" w:w="60"/>
              <w:left w:type="dxa" w:w="80"/>
              <w:bottom w:type="dxa" w:w="60"/>
              <w:right w:type="dxa" w:w="80"/>
            </w:tcMar>
          </w:tcPr>
          <w:p>
            <w:pPr>
              <w:jc w:val="left"/>
            </w:pPr>
            <w:r>
              <w:rPr>
                <w:sz w:val="18"/>
                <w:szCs w:val="18"/>
              </w:rPr>
              <w:t xml:space="preserve">yes</w:t>
            </w:r>
          </w:p>
        </w:tc>
        <w:tc>
          <w:tcPr>
            <w:tcW w:type="dxa" w:w="2876"/>
            <w:tcMar>
              <w:top w:type="dxa" w:w="60"/>
              <w:left w:type="dxa" w:w="80"/>
              <w:bottom w:type="dxa" w:w="60"/>
              <w:right w:type="dxa" w:w="80"/>
            </w:tcMar>
          </w:tcPr>
          <w:p>
            <w:pPr>
              <w:jc w:val="left"/>
            </w:pPr>
            <w:r>
              <w:rPr>
                <w:sz w:val="18"/>
                <w:szCs w:val="18"/>
              </w:rPr>
              <w:t xml:space="preserve">before the load-test windows</w:t>
            </w:r>
          </w:p>
        </w:tc>
      </w:tr>
      <w:tr>
        <w:tc>
          <w:tcPr>
            <w:tcW w:type="dxa" w:w="617"/>
            <w:tcMar>
              <w:top w:type="dxa" w:w="60"/>
              <w:left w:type="dxa" w:w="80"/>
              <w:bottom w:type="dxa" w:w="60"/>
              <w:right w:type="dxa" w:w="80"/>
            </w:tcMar>
          </w:tcPr>
          <w:p>
            <w:pPr>
              <w:jc w:val="left"/>
            </w:pPr>
            <w:r>
              <w:rPr>
                <w:sz w:val="18"/>
                <w:szCs w:val="18"/>
              </w:rPr>
              <w:t xml:space="preserve">3</w:t>
            </w:r>
          </w:p>
        </w:tc>
        <w:tc>
          <w:tcPr>
            <w:tcW w:type="dxa" w:w="9248"/>
            <w:tcMar>
              <w:top w:type="dxa" w:w="60"/>
              <w:left w:type="dxa" w:w="80"/>
              <w:bottom w:type="dxa" w:w="60"/>
              <w:right w:type="dxa" w:w="80"/>
            </w:tcMar>
          </w:tcPr>
          <w:p>
            <w:pPr>
              <w:jc w:val="left"/>
            </w:pPr>
            <w:r>
              <w:rPr>
                <w:sz w:val="18"/>
                <w:szCs w:val="18"/>
              </w:rPr>
              <w:t xml:space="preserve">Buffer amount (1,000 to 3,000)</w:t>
            </w:r>
          </w:p>
        </w:tc>
        <w:tc>
          <w:tcPr>
            <w:tcW w:type="dxa" w:w="2055"/>
            <w:tcMar>
              <w:top w:type="dxa" w:w="60"/>
              <w:left w:type="dxa" w:w="80"/>
              <w:bottom w:type="dxa" w:w="60"/>
              <w:right w:type="dxa" w:w="80"/>
            </w:tcMar>
          </w:tcPr>
          <w:p>
            <w:pPr>
              <w:jc w:val="left"/>
            </w:pPr>
            <w:r>
              <w:rPr>
                <w:sz w:val="18"/>
                <w:szCs w:val="18"/>
              </w:rPr>
              <w:t xml:space="preserve">2,000</w:t>
            </w:r>
          </w:p>
        </w:tc>
        <w:tc>
          <w:tcPr>
            <w:tcW w:type="dxa" w:w="2876"/>
            <w:tcMar>
              <w:top w:type="dxa" w:w="60"/>
              <w:left w:type="dxa" w:w="80"/>
              <w:bottom w:type="dxa" w:w="60"/>
              <w:right w:type="dxa" w:w="80"/>
            </w:tcMar>
          </w:tcPr>
          <w:p>
            <w:pPr>
              <w:jc w:val="left"/>
            </w:pPr>
            <w:r>
              <w:rPr>
                <w:sz w:val="18"/>
                <w:szCs w:val="18"/>
              </w:rPr>
              <w:t xml:space="preserve">at the budget creation</w:t>
            </w:r>
          </w:p>
        </w:tc>
      </w:tr>
      <w:tr>
        <w:tc>
          <w:tcPr>
            <w:tcW w:type="dxa" w:w="617"/>
            <w:tcMar>
              <w:top w:type="dxa" w:w="60"/>
              <w:left w:type="dxa" w:w="80"/>
              <w:bottom w:type="dxa" w:w="60"/>
              <w:right w:type="dxa" w:w="80"/>
            </w:tcMar>
          </w:tcPr>
          <w:p>
            <w:pPr>
              <w:jc w:val="left"/>
            </w:pPr>
            <w:r>
              <w:rPr>
                <w:sz w:val="18"/>
                <w:szCs w:val="18"/>
              </w:rPr>
              <w:t xml:space="preserve">4</w:t>
            </w:r>
          </w:p>
        </w:tc>
        <w:tc>
          <w:tcPr>
            <w:tcW w:type="dxa" w:w="9248"/>
            <w:tcMar>
              <w:top w:type="dxa" w:w="60"/>
              <w:left w:type="dxa" w:w="80"/>
              <w:bottom w:type="dxa" w:w="60"/>
              <w:right w:type="dxa" w:w="80"/>
            </w:tcMar>
          </w:tcPr>
          <w:p>
            <w:pPr>
              <w:jc w:val="left"/>
            </w:pPr>
            <w:r>
              <w:rPr>
                <w:sz w:val="18"/>
                <w:szCs w:val="18"/>
              </w:rPr>
              <w:t xml:space="preserve">Existing sites in the same subscription and edge profile</w:t>
            </w:r>
          </w:p>
        </w:tc>
        <w:tc>
          <w:tcPr>
            <w:tcW w:type="dxa" w:w="2055"/>
            <w:tcMar>
              <w:top w:type="dxa" w:w="60"/>
              <w:left w:type="dxa" w:w="80"/>
              <w:bottom w:type="dxa" w:w="60"/>
              <w:right w:type="dxa" w:w="80"/>
            </w:tcMar>
          </w:tcPr>
          <w:p>
            <w:pPr>
              <w:jc w:val="left"/>
            </w:pPr>
            <w:r>
              <w:rPr>
                <w:sz w:val="18"/>
                <w:szCs w:val="18"/>
              </w:rPr>
              <w:t xml:space="preserve">yes (Spec+)</w:t>
            </w:r>
          </w:p>
        </w:tc>
        <w:tc>
          <w:tcPr>
            <w:tcW w:type="dxa" w:w="2876"/>
            <w:tcMar>
              <w:top w:type="dxa" w:w="60"/>
              <w:left w:type="dxa" w:w="80"/>
              <w:bottom w:type="dxa" w:w="60"/>
              <w:right w:type="dxa" w:w="80"/>
            </w:tcMar>
          </w:tcPr>
          <w:p>
            <w:pPr>
              <w:jc w:val="left"/>
            </w:pPr>
            <w:r>
              <w:rPr>
                <w:sz w:val="18"/>
                <w:szCs w:val="18"/>
              </w:rPr>
              <w:t xml:space="preserve">at the move</w:t>
            </w:r>
          </w:p>
        </w:tc>
      </w:tr>
      <w:tr>
        <w:tc>
          <w:tcPr>
            <w:tcW w:type="dxa" w:w="617"/>
            <w:tcMar>
              <w:top w:type="dxa" w:w="60"/>
              <w:left w:type="dxa" w:w="80"/>
              <w:bottom w:type="dxa" w:w="60"/>
              <w:right w:type="dxa" w:w="80"/>
            </w:tcMar>
          </w:tcPr>
          <w:p>
            <w:pPr>
              <w:jc w:val="left"/>
            </w:pPr>
            <w:r>
              <w:rPr>
                <w:sz w:val="18"/>
                <w:szCs w:val="18"/>
              </w:rPr>
              <w:t xml:space="preserve">5</w:t>
            </w:r>
          </w:p>
        </w:tc>
        <w:tc>
          <w:tcPr>
            <w:tcW w:type="dxa" w:w="9248"/>
            <w:tcMar>
              <w:top w:type="dxa" w:w="60"/>
              <w:left w:type="dxa" w:w="80"/>
              <w:bottom w:type="dxa" w:w="60"/>
              <w:right w:type="dxa" w:w="80"/>
            </w:tcMar>
          </w:tcPr>
          <w:p>
            <w:pPr>
              <w:jc w:val="left"/>
            </w:pPr>
            <w:r>
              <w:rPr>
                <w:sz w:val="18"/>
                <w:szCs w:val="18"/>
              </w:rPr>
              <w:t xml:space="preserve">BI path (Fabric F2 + Power BI, about USD 461)</w:t>
            </w:r>
          </w:p>
        </w:tc>
        <w:tc>
          <w:tcPr>
            <w:tcW w:type="dxa" w:w="2055"/>
            <w:tcMar>
              <w:top w:type="dxa" w:w="60"/>
              <w:left w:type="dxa" w:w="80"/>
              <w:bottom w:type="dxa" w:w="60"/>
              <w:right w:type="dxa" w:w="80"/>
            </w:tcMar>
          </w:tcPr>
          <w:p>
            <w:pPr>
              <w:jc w:val="left"/>
            </w:pPr>
            <w:r>
              <w:rPr>
                <w:sz w:val="18"/>
                <w:szCs w:val="18"/>
              </w:rPr>
              <w:t xml:space="preserve">deferred</w:t>
            </w:r>
          </w:p>
        </w:tc>
        <w:tc>
          <w:tcPr>
            <w:tcW w:type="dxa" w:w="2876"/>
            <w:tcMar>
              <w:top w:type="dxa" w:w="60"/>
              <w:left w:type="dxa" w:w="80"/>
              <w:bottom w:type="dxa" w:w="60"/>
              <w:right w:type="dxa" w:w="80"/>
            </w:tcMar>
          </w:tcPr>
          <w:p>
            <w:pPr>
              <w:jc w:val="left"/>
            </w:pPr>
            <w:r>
              <w:rPr>
                <w:sz w:val="18"/>
                <w:szCs w:val="18"/>
              </w:rPr>
              <w:t xml:space="preserve">when reporting needs it</w:t>
            </w:r>
          </w:p>
        </w:tc>
      </w:tr>
      <w:tr>
        <w:tc>
          <w:tcPr>
            <w:tcW w:type="dxa" w:w="617"/>
            <w:tcMar>
              <w:top w:type="dxa" w:w="60"/>
              <w:left w:type="dxa" w:w="80"/>
              <w:bottom w:type="dxa" w:w="60"/>
              <w:right w:type="dxa" w:w="80"/>
            </w:tcMar>
          </w:tcPr>
          <w:p>
            <w:pPr>
              <w:jc w:val="left"/>
            </w:pPr>
            <w:r>
              <w:rPr>
                <w:sz w:val="18"/>
                <w:szCs w:val="18"/>
              </w:rPr>
              <w:t xml:space="preserve">6</w:t>
            </w:r>
          </w:p>
        </w:tc>
        <w:tc>
          <w:tcPr>
            <w:tcW w:type="dxa" w:w="9248"/>
            <w:tcMar>
              <w:top w:type="dxa" w:w="60"/>
              <w:left w:type="dxa" w:w="80"/>
              <w:bottom w:type="dxa" w:w="60"/>
              <w:right w:type="dxa" w:w="80"/>
            </w:tcMar>
          </w:tcPr>
          <w:p>
            <w:pPr>
              <w:jc w:val="left"/>
            </w:pPr>
            <w:r>
              <w:rPr>
                <w:sz w:val="18"/>
                <w:szCs w:val="18"/>
              </w:rPr>
              <w:t xml:space="preserve">Load tests: one certified Azure Load Testing run (about USD 1,905) plus Locust runs</w:t>
            </w:r>
          </w:p>
        </w:tc>
        <w:tc>
          <w:tcPr>
            <w:tcW w:type="dxa" w:w="2055"/>
            <w:tcMar>
              <w:top w:type="dxa" w:w="60"/>
              <w:left w:type="dxa" w:w="80"/>
              <w:bottom w:type="dxa" w:w="60"/>
              <w:right w:type="dxa" w:w="80"/>
            </w:tcMar>
          </w:tcPr>
          <w:p>
            <w:pPr>
              <w:jc w:val="left"/>
            </w:pPr>
            <w:r>
              <w:rPr>
                <w:sz w:val="18"/>
                <w:szCs w:val="18"/>
              </w:rPr>
              <w:t xml:space="preserve">yes</w:t>
            </w:r>
          </w:p>
        </w:tc>
        <w:tc>
          <w:tcPr>
            <w:tcW w:type="dxa" w:w="2876"/>
            <w:tcMar>
              <w:top w:type="dxa" w:w="60"/>
              <w:left w:type="dxa" w:w="80"/>
              <w:bottom w:type="dxa" w:w="60"/>
              <w:right w:type="dxa" w:w="80"/>
            </w:tcMar>
          </w:tcPr>
          <w:p>
            <w:pPr>
              <w:jc w:val="left"/>
            </w:pPr>
            <w:r>
              <w:rPr>
                <w:sz w:val="18"/>
                <w:szCs w:val="18"/>
              </w:rPr>
              <w:t xml:space="preserve">before wave 1</w:t>
            </w:r>
          </w:p>
        </w:tc>
      </w:tr>
      <w:tr>
        <w:tc>
          <w:tcPr>
            <w:tcW w:type="dxa" w:w="617"/>
            <w:tcMar>
              <w:top w:type="dxa" w:w="60"/>
              <w:left w:type="dxa" w:w="80"/>
              <w:bottom w:type="dxa" w:w="60"/>
              <w:right w:type="dxa" w:w="80"/>
            </w:tcMar>
          </w:tcPr>
          <w:p>
            <w:pPr>
              <w:jc w:val="left"/>
            </w:pPr>
            <w:r>
              <w:rPr>
                <w:sz w:val="18"/>
                <w:szCs w:val="18"/>
              </w:rPr>
              <w:t xml:space="preserve">7</w:t>
            </w:r>
          </w:p>
        </w:tc>
        <w:tc>
          <w:tcPr>
            <w:tcW w:type="dxa" w:w="9248"/>
            <w:tcMar>
              <w:top w:type="dxa" w:w="60"/>
              <w:left w:type="dxa" w:w="80"/>
              <w:bottom w:type="dxa" w:w="60"/>
              <w:right w:type="dxa" w:w="80"/>
            </w:tcMar>
          </w:tcPr>
          <w:p>
            <w:pPr>
              <w:jc w:val="left"/>
            </w:pPr>
            <w:r>
              <w:rPr>
                <w:sz w:val="18"/>
                <w:szCs w:val="18"/>
              </w:rPr>
              <w:t xml:space="preserve">Region: Southeast Asia unless the Dhaka latency bake-off favours Central India by 25 % (figures would be re-priced)</w:t>
            </w:r>
          </w:p>
        </w:tc>
        <w:tc>
          <w:tcPr>
            <w:tcW w:type="dxa" w:w="2055"/>
            <w:tcMar>
              <w:top w:type="dxa" w:w="60"/>
              <w:left w:type="dxa" w:w="80"/>
              <w:bottom w:type="dxa" w:w="60"/>
              <w:right w:type="dxa" w:w="80"/>
            </w:tcMar>
          </w:tcPr>
          <w:p>
            <w:pPr>
              <w:jc w:val="left"/>
            </w:pPr>
            <w:r>
              <w:rPr>
                <w:sz w:val="18"/>
                <w:szCs w:val="18"/>
              </w:rPr>
              <w:t xml:space="preserve">Southeast Asia</w:t>
            </w:r>
          </w:p>
        </w:tc>
        <w:tc>
          <w:tcPr>
            <w:tcW w:type="dxa" w:w="2876"/>
            <w:tcMar>
              <w:top w:type="dxa" w:w="60"/>
              <w:left w:type="dxa" w:w="80"/>
              <w:bottom w:type="dxa" w:w="60"/>
              <w:right w:type="dxa" w:w="80"/>
            </w:tcMar>
          </w:tcPr>
          <w:p>
            <w:pPr>
              <w:jc w:val="left"/>
            </w:pPr>
            <w:r>
              <w:rPr>
                <w:sz w:val="18"/>
                <w:szCs w:val="18"/>
              </w:rPr>
              <w:t xml:space="preserve">before the first prod deploy</w:t>
            </w:r>
          </w:p>
        </w:tc>
      </w:tr>
      <w:tr>
        <w:tc>
          <w:tcPr>
            <w:tcW w:type="dxa" w:w="617"/>
            <w:tcMar>
              <w:top w:type="dxa" w:w="60"/>
              <w:left w:type="dxa" w:w="80"/>
              <w:bottom w:type="dxa" w:w="60"/>
              <w:right w:type="dxa" w:w="80"/>
            </w:tcMar>
          </w:tcPr>
          <w:p>
            <w:pPr>
              <w:jc w:val="left"/>
            </w:pPr>
            <w:r>
              <w:rPr>
                <w:sz w:val="18"/>
                <w:szCs w:val="18"/>
              </w:rPr>
              <w:t xml:space="preserve">8</w:t>
            </w:r>
          </w:p>
        </w:tc>
        <w:tc>
          <w:tcPr>
            <w:tcW w:type="dxa" w:w="9248"/>
            <w:tcMar>
              <w:top w:type="dxa" w:w="60"/>
              <w:left w:type="dxa" w:w="80"/>
              <w:bottom w:type="dxa" w:w="60"/>
              <w:right w:type="dxa" w:w="80"/>
            </w:tcMar>
          </w:tcPr>
          <w:p>
            <w:pPr>
              <w:jc w:val="left"/>
            </w:pPr>
            <w:r>
              <w:rPr>
                <w:sz w:val="18"/>
                <w:szCs w:val="18"/>
              </w:rPr>
              <w:t xml:space="preserve">1-year PostgreSQL reservations after 30 stable days (saves about USD 855 a month in Southeast Asia)</w:t>
            </w:r>
          </w:p>
        </w:tc>
        <w:tc>
          <w:tcPr>
            <w:tcW w:type="dxa" w:w="2055"/>
            <w:tcMar>
              <w:top w:type="dxa" w:w="60"/>
              <w:left w:type="dxa" w:w="80"/>
              <w:bottom w:type="dxa" w:w="60"/>
              <w:right w:type="dxa" w:w="80"/>
            </w:tcMar>
          </w:tcPr>
          <w:p>
            <w:pPr>
              <w:jc w:val="left"/>
            </w:pPr>
            <w:r>
              <w:rPr>
                <w:sz w:val="18"/>
                <w:szCs w:val="18"/>
              </w:rPr>
              <w:t xml:space="preserve">recommended</w:t>
            </w:r>
          </w:p>
        </w:tc>
        <w:tc>
          <w:tcPr>
            <w:tcW w:type="dxa" w:w="2876"/>
            <w:tcMar>
              <w:top w:type="dxa" w:w="60"/>
              <w:left w:type="dxa" w:w="80"/>
              <w:bottom w:type="dxa" w:w="60"/>
              <w:right w:type="dxa" w:w="80"/>
            </w:tcMar>
          </w:tcPr>
          <w:p>
            <w:pPr>
              <w:jc w:val="left"/>
            </w:pPr>
            <w:r>
              <w:rPr>
                <w:sz w:val="18"/>
                <w:szCs w:val="18"/>
              </w:rPr>
              <w:t xml:space="preserve">month 2</w:t>
            </w:r>
          </w:p>
        </w:tc>
      </w:tr>
      <w:tr>
        <w:tc>
          <w:tcPr>
            <w:tcW w:type="dxa" w:w="617"/>
            <w:tcMar>
              <w:top w:type="dxa" w:w="60"/>
              <w:left w:type="dxa" w:w="80"/>
              <w:bottom w:type="dxa" w:w="60"/>
              <w:right w:type="dxa" w:w="80"/>
            </w:tcMar>
          </w:tcPr>
          <w:p>
            <w:pPr>
              <w:jc w:val="left"/>
            </w:pPr>
            <w:r>
              <w:rPr>
                <w:sz w:val="18"/>
                <w:szCs w:val="18"/>
              </w:rPr>
              <w:t xml:space="preserve">9</w:t>
            </w:r>
          </w:p>
        </w:tc>
        <w:tc>
          <w:tcPr>
            <w:tcW w:type="dxa" w:w="9248"/>
            <w:tcMar>
              <w:top w:type="dxa" w:w="60"/>
              <w:left w:type="dxa" w:w="80"/>
              <w:bottom w:type="dxa" w:w="60"/>
              <w:right w:type="dxa" w:w="80"/>
            </w:tcMar>
          </w:tcPr>
          <w:p>
            <w:pPr>
              <w:jc w:val="left"/>
            </w:pPr>
            <w:r>
              <w:rPr>
                <w:sz w:val="18"/>
                <w:szCs w:val="18"/>
              </w:rPr>
              <w:t xml:space="preserve">Data-lake account zone redundancy (ZRS needs the sponsor's written yes, </w:t>
            </w:r>
            <w:r>
              <w:rPr>
                <w:rFonts w:ascii="Consolas" w:cs="Consolas" w:eastAsia="Consolas" w:hAnsi="Consolas"/>
                <w:sz w:val="18"/>
                <w:szCs w:val="18"/>
              </w:rPr>
              <w:t xml:space="preserve">docs/28</w:t>
            </w:r>
            <w:r>
              <w:rPr>
                <w:sz w:val="18"/>
                <w:szCs w:val="18"/>
              </w:rPr>
              <w:t xml:space="preserve">)</w:t>
            </w:r>
          </w:p>
        </w:tc>
        <w:tc>
          <w:tcPr>
            <w:tcW w:type="dxa" w:w="2055"/>
            <w:tcMar>
              <w:top w:type="dxa" w:w="60"/>
              <w:left w:type="dxa" w:w="80"/>
              <w:bottom w:type="dxa" w:w="60"/>
              <w:right w:type="dxa" w:w="80"/>
            </w:tcMar>
          </w:tcPr>
          <w:p>
            <w:pPr>
              <w:jc w:val="left"/>
            </w:pPr>
            <w:r>
              <w:rPr>
                <w:sz w:val="18"/>
                <w:szCs w:val="18"/>
              </w:rPr>
              <w:t xml:space="preserve">ZRS</w:t>
            </w:r>
          </w:p>
        </w:tc>
        <w:tc>
          <w:tcPr>
            <w:tcW w:type="dxa" w:w="2876"/>
            <w:tcMar>
              <w:top w:type="dxa" w:w="60"/>
              <w:left w:type="dxa" w:w="80"/>
              <w:bottom w:type="dxa" w:w="60"/>
              <w:right w:type="dxa" w:w="80"/>
            </w:tcMar>
          </w:tcPr>
          <w:p>
            <w:pPr>
              <w:jc w:val="left"/>
            </w:pPr>
            <w:r>
              <w:rPr>
                <w:sz w:val="18"/>
                <w:szCs w:val="18"/>
              </w:rPr>
              <w:t xml:space="preserve">before the first prod deploy</w:t>
            </w:r>
          </w:p>
        </w:tc>
      </w:tr>
    </w:tbl>
    <w:p>
      <w:pPr>
        <w:spacing w:after="120"/>
      </w:pPr>
    </w:p>
    <w:sectPr>
      <w:pgSz w:w="16838" w:h="11906" w:orient="landscape"/>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C1C24"/>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9B1C3C"/>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3B4A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793424875defabb2a73a6fb562b7a0540f4404.png"/><Relationship Id="rId8" Type="http://schemas.openxmlformats.org/officeDocument/2006/relationships/image" Target="media/8a1e6e16c3c6706a3dec1ca987e3264f9b1ec0ad.png"/><Relationship Id="rId9" Type="http://schemas.openxmlformats.org/officeDocument/2006/relationships/image" Target="media/8d4b3953b37487384e9ec754d945be982b3a42f9.png"/><Relationship Id="rId10" Type="http://schemas.openxmlformats.org/officeDocument/2006/relationships/image" Target="media/1bf38c3c590af6e56bd6e7d570bb6ded091437c5.png"/><Relationship Id="rId11" Type="http://schemas.openxmlformats.org/officeDocument/2006/relationships/image" Target="media/c7093c4b708348b60f89940aa49bf4a8ecbd8cc0.png"/><Relationship Id="rId12" Type="http://schemas.openxmlformats.org/officeDocument/2006/relationships/image" Target="media/112dbb16e558410f81d57dccc510d2be73cd381c.png"/><Relationship Id="rId13" Type="http://schemas.openxmlformats.org/officeDocument/2006/relationships/image" Target="media/cc204e7dd33c72c25d3c9f6e1b564bc1829fc44e.png"/><Relationship Id="rId14" Type="http://schemas.openxmlformats.org/officeDocument/2006/relationships/image" Target="media/00e96b89f280b912624c1fc578b4c1d4f7d9a52f.png"/><Relationship Id="rId15" Type="http://schemas.openxmlformats.org/officeDocument/2006/relationships/image" Target="media/178045efa4e209fd7f0ee2f4299f9d2bc2fa06ef.png"/><Relationship Id="rId16" Type="http://schemas.openxmlformats.org/officeDocument/2006/relationships/image" Target="media/2ca992558050917ee6e042e5b986e62a9cde3a67.png"/><Relationship Id="rId17" Type="http://schemas.openxmlformats.org/officeDocument/2006/relationships/image" Target="media/8204ae08c81ddbcf8d18998e78b164a3b3caa88a.png"/><Relationship Id="rId18" Type="http://schemas.openxmlformats.org/officeDocument/2006/relationships/image" Target="media/1f37178f5ef67bbff6c7ba97e768c41bb246c46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Aron on Azure — final account, precise version</dc:title>
  <dc:creator>Aron lead</dc:creator>
  <cp:lastModifiedBy>Un-named</cp:lastModifiedBy>
  <cp:revision>1</cp:revision>
  <dcterms:created xsi:type="dcterms:W3CDTF">2026-10-29T14:41:16.157Z</dcterms:created>
  <dcterms:modified xsi:type="dcterms:W3CDTF">2026-10-29T14:41:16.157Z</dcterms:modified>
</cp:coreProperties>
</file>

<file path=docProps/custom.xml><?xml version="1.0" encoding="utf-8"?>
<Properties xmlns="http://schemas.openxmlformats.org/officeDocument/2006/custom-properties" xmlns:vt="http://schemas.openxmlformats.org/officeDocument/2006/docPropsVTypes"/>
</file>