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Сетевые технологии</w:t>
      </w:r>
    </w:p>
    <w:p>
      <w:pPr>
        <w:pStyle w:val="Subtitle"/>
      </w:pPr>
      <w:r>
        <w:t xml:space="preserve">Лабораторная работа №1</w:t>
      </w:r>
    </w:p>
    <w:p>
      <w:pPr>
        <w:pStyle w:val="Author"/>
      </w:pPr>
      <w:r>
        <w:t xml:space="preserve">Тойчубекова Асель 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Целью данной лабораторной работы является изучение методов кодирования и модуляции сигналов с помощью высокоуровнего языка программирования Octave. Определение спектра и параметров</w:t>
      </w:r>
      <w:r>
        <w:t xml:space="preserve"> </w:t>
      </w:r>
      <w:r>
        <w:t xml:space="preserve">сигнала. Демонстрация принципов модуляции сигнала на примере аналоговой амплитудной модуляции. Исследование свойства самосинхронизации сигнала.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numPr>
          <w:ilvl w:val="0"/>
          <w:numId w:val="1001"/>
        </w:numPr>
      </w:pPr>
      <w:r>
        <w:t xml:space="preserve">Построить график функции 𝑦 = sinx + (1/3)sin3x + (1/5)sin5x на интервале</w:t>
      </w:r>
      <w:r>
        <w:t xml:space="preserve"> </w:t>
      </w:r>
      <w:r>
        <w:t xml:space="preserve">[−10; 10], используя Octave и функцию plot. График экспортировать в файлы формата .eps, .png.</w:t>
      </w:r>
    </w:p>
    <w:p>
      <w:pPr>
        <w:numPr>
          <w:ilvl w:val="0"/>
          <w:numId w:val="1001"/>
        </w:numPr>
      </w:pPr>
      <w:r>
        <w:t xml:space="preserve">Добавить график функции 𝑦 = cosx + (1/3)cos3x + (1/5)cos5xна интервале</w:t>
      </w:r>
      <w:r>
        <w:t xml:space="preserve"> </w:t>
      </w:r>
      <w:r>
        <w:t xml:space="preserve">[−10; 10]. График экспортировать в файлы формата .eps, .png</w:t>
      </w:r>
    </w:p>
    <w:p>
      <w:pPr>
        <w:numPr>
          <w:ilvl w:val="0"/>
          <w:numId w:val="1001"/>
        </w:numPr>
      </w:pPr>
      <w:r>
        <w:t xml:space="preserve">Разработать код m-файла, результатом выполнения которого являются графики меандра, реализованные с различным количеством гармоник.</w:t>
      </w:r>
    </w:p>
    <w:p>
      <w:pPr>
        <w:numPr>
          <w:ilvl w:val="0"/>
          <w:numId w:val="1001"/>
        </w:numPr>
      </w:pPr>
      <w:r>
        <w:t xml:space="preserve">Определить спектр двух отдельных сигналов и их суммы.</w:t>
      </w:r>
    </w:p>
    <w:p>
      <w:pPr>
        <w:numPr>
          <w:ilvl w:val="0"/>
          <w:numId w:val="1001"/>
        </w:numPr>
      </w:pPr>
      <w:r>
        <w:t xml:space="preserve">Выполнить задание с другой частотой дискретизации. Пояснить, что будет,если взять частоту дискретизации меньше 80 Гц?</w:t>
      </w:r>
    </w:p>
    <w:p>
      <w:pPr>
        <w:numPr>
          <w:ilvl w:val="0"/>
          <w:numId w:val="1001"/>
        </w:numPr>
      </w:pPr>
      <w:r>
        <w:t xml:space="preserve">Продемонстрировать принципы модуляции сигнала на примере аналоговой амплитудной модуляции.</w:t>
      </w:r>
    </w:p>
    <w:p>
      <w:pPr>
        <w:numPr>
          <w:ilvl w:val="0"/>
          <w:numId w:val="1001"/>
        </w:numPr>
      </w:pPr>
      <w:r>
        <w:t xml:space="preserve">По заданных битовых последовательностей требуется получить кодированные сигналы для нескольких кодов, проверить свойства самосинхронизуемости кодов, получить спектры.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Сигнал — это физическая величина, изменяющаяся во времени и несущая информацию. Он может быть аналоговым или дискретным. Для перевода в цифровую форму используется дискретизация и квантование, выполняемые аналого-цифровым преобразователем. Согласно теореме Котельникова, частота дискретизации должна быть более чем в два раза выше максимальной частоты сигнала.</w:t>
      </w:r>
    </w:p>
    <w:p>
      <w:pPr>
        <w:pStyle w:val="BodyText"/>
      </w:pPr>
      <w:r>
        <w:t xml:space="preserve">Для анализа применяют спектральное разложение, основанное на ряде и преобразовании Фурье, что позволяет выделить амплитуды и фазы гармонических составляющих. В цифровой обработке используются дискретное и быстрое преобразования Фурье.</w:t>
      </w:r>
    </w:p>
    <w:p>
      <w:pPr>
        <w:pStyle w:val="BodyText"/>
      </w:pPr>
      <w:r>
        <w:t xml:space="preserve">При передаче данных применяется модуляция — изменение амплитуды, частоты или фазы несущего колебания. Для представления двоичной информации используются различные способы кодирования сигналов: NRZ, AMI, RZ, а также коды Манчестер и дифференциальный Манчестер.</w:t>
      </w:r>
    </w:p>
    <w:p>
      <w:pPr>
        <w:pStyle w:val="BodyText"/>
      </w:pPr>
      <w:r>
        <w:t xml:space="preserve">Для моделирования и обработки сигналов в учебных задачах широко используется язык Octave. Он поддерживает работу с матрицами, содержит набор встроенных математических функций и средства визуализации, что делает его удобным инструментом для анализа сигналов.</w:t>
      </w:r>
    </w:p>
    <w:bookmarkEnd w:id="22"/>
    <w:bookmarkStart w:id="171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Запускаю в вашей ОС Octave с оконным интерфейсом. Перехожу в окно редактора. Воспользовавшись меню или комбинацией клавиш ctrl + n создаю новый сценарий. Сохраняю его в рабочий каталог с именем, plot_sin.m. В окне редактора повторяю листинг по построению графика функции y = sinx + (1/3)sin3x + (1/5)sin5x на интервале [−10; 10]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" w:name="fig-001"/>
          <w:p>
            <w:pPr>
              <w:pStyle w:val="Compact"/>
              <w:jc w:val="center"/>
            </w:pPr>
            <w:r>
              <w:drawing>
                <wp:inline>
                  <wp:extent cx="3733800" cy="2207897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2078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Скрипт построение графика функции</w:t>
            </w:r>
          </w:p>
          <w:bookmarkEnd w:id="26"/>
        </w:tc>
      </w:tr>
    </w:tbl>
    <w:p>
      <w:pPr>
        <w:pStyle w:val="BodyText"/>
      </w:pPr>
      <w:r>
        <w:t xml:space="preserve">Запускаю сценарий на выполнение. В качестве результата выполнения кода открылось окно с построенным графиком и в рабочем каталоге появились файлы с графиками в форматах .eps, .png.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002"/>
          <w:p>
            <w:pPr>
              <w:pStyle w:val="Compact"/>
              <w:jc w:val="center"/>
            </w:pPr>
            <w:r>
              <w:drawing>
                <wp:inline>
                  <wp:extent cx="3733800" cy="2328835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28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графика функции y = sinx + (1/3)sin3x + (1/5)sin5x на интервале [−10; 10]</w:t>
            </w:r>
          </w:p>
          <w:bookmarkEnd w:id="30"/>
        </w:tc>
      </w:tr>
    </w:tbl>
    <w:p>
      <w:pPr>
        <w:pStyle w:val="BodyText"/>
      </w:pPr>
      <w:r>
        <w:t xml:space="preserve">Сохраняю сценарий под другим названием и изменяю его так, чтобы на одном графике располагались отличающиеся по типу линий графики функций y = cosx + (1/3)cos3x + (1/5)cos5x на интервале [−10; 10].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003"/>
          <w:p>
            <w:pPr>
              <w:pStyle w:val="Compact"/>
              <w:jc w:val="center"/>
            </w:pPr>
            <w:r>
              <w:drawing>
                <wp:inline>
                  <wp:extent cx="3733800" cy="2287761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2877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Скрипт построения графика функций y1 и y2 на интервале [−10; 10]</w:t>
            </w:r>
          </w:p>
          <w:bookmarkEnd w:id="34"/>
        </w:tc>
      </w:tr>
    </w:tbl>
    <w:p>
      <w:pPr>
        <w:pStyle w:val="BodyText"/>
      </w:pPr>
      <w:r>
        <w:t xml:space="preserve">Итоговое изображение ([рис.</w:t>
      </w:r>
      <w:r>
        <w:t xml:space="preserve"> </w:t>
      </w:r>
      <w:hyperlink w:anchor="fig-004">
        <w:r>
          <w:rPr>
            <w:rStyle w:val="Hyperlink"/>
          </w:rPr>
          <w:t xml:space="preserve">Рисунок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004"/>
          <w:p>
            <w:pPr>
              <w:pStyle w:val="Compact"/>
              <w:jc w:val="center"/>
            </w:pPr>
            <w:r>
              <w:drawing>
                <wp:inline>
                  <wp:extent cx="3733800" cy="261409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1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Графика функций y1 и y2 на интервале [−10; 10]</w:t>
            </w:r>
          </w:p>
          <w:bookmarkEnd w:id="38"/>
        </w:tc>
      </w:tr>
    </w:tbl>
    <w:p>
      <w:pPr>
        <w:pStyle w:val="BodyText"/>
      </w:pPr>
      <w:r>
        <w:t xml:space="preserve">Создаю новый сценарий и сохраните его в рабочий каталог с именем, meandr.m. В коде созданного сценария задаю начальные значения ([рис.</w:t>
      </w:r>
      <w:r>
        <w:t xml:space="preserve"> </w:t>
      </w:r>
      <w:hyperlink w:anchor="fig-005">
        <w:r>
          <w:rPr>
            <w:rStyle w:val="Hyperlink"/>
          </w:rPr>
          <w:t xml:space="preserve">Рисунок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5"/>
          <w:p>
            <w:pPr>
              <w:pStyle w:val="Compact"/>
              <w:jc w:val="center"/>
            </w:pPr>
            <w:r>
              <w:drawing>
                <wp:inline>
                  <wp:extent cx="3733800" cy="2055894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055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Задание начальные значения</w:t>
            </w:r>
          </w:p>
          <w:bookmarkEnd w:id="42"/>
        </w:tc>
      </w:tr>
    </w:tbl>
    <w:p>
      <w:pPr>
        <w:pStyle w:val="BodyText"/>
      </w:pPr>
      <w:r>
        <w:t xml:space="preserve">Разложение импульсного сигнала в форме меандра в частичный ряд Фурье можно задать формулой. Гармоники, образующие меандр, имеют амплитуду, обратно пропорциональную номеру соответствующей гармоники в спектре. ([рис.</w:t>
      </w:r>
      <w:r>
        <w:t xml:space="preserve"> </w:t>
      </w:r>
      <w:hyperlink w:anchor="fig-006">
        <w:r>
          <w:rPr>
            <w:rStyle w:val="Hyperlink"/>
          </w:rPr>
          <w:t xml:space="preserve">Рисунок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006"/>
          <w:p>
            <w:pPr>
              <w:pStyle w:val="Compact"/>
              <w:jc w:val="center"/>
            </w:pPr>
            <w:r>
              <w:drawing>
                <wp:inline>
                  <wp:extent cx="3733800" cy="1870102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70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Формула разложение импульсного сигнала</w:t>
            </w:r>
          </w:p>
          <w:bookmarkEnd w:id="46"/>
        </w:tc>
      </w:tr>
    </w:tbl>
    <w:p>
      <w:pPr>
        <w:pStyle w:val="BodyText"/>
      </w:pPr>
      <w:r>
        <w:t xml:space="preserve">Далее задаю массив значений гармоник массив элементов ряда. ([рис.</w:t>
      </w:r>
      <w:r>
        <w:t xml:space="preserve"> </w:t>
      </w:r>
      <w:hyperlink w:anchor="fig-007">
        <w:r>
          <w:rPr>
            <w:rStyle w:val="Hyperlink"/>
          </w:rPr>
          <w:t xml:space="preserve">Рисунок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0" w:name="fig-007"/>
          <w:p>
            <w:pPr>
              <w:pStyle w:val="Compact"/>
              <w:jc w:val="center"/>
            </w:pPr>
            <w:r>
              <w:drawing>
                <wp:inline>
                  <wp:extent cx="3733800" cy="2237744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237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Задание массив значений гармоник массив элементов ряда</w:t>
            </w:r>
          </w:p>
          <w:bookmarkEnd w:id="50"/>
        </w:tc>
      </w:tr>
    </w:tbl>
    <w:p>
      <w:pPr>
        <w:pStyle w:val="BodyText"/>
      </w:pPr>
      <w:r>
        <w:t xml:space="preserve">Далее для построения в одном окне отдельных графиков меандра с различным количеством гармоник реализую суммирование ряда с накоплением и воспользуюсь функциями subplot и plot для построения графиков. ([рис.</w:t>
      </w:r>
      <w:r>
        <w:t xml:space="preserve"> </w:t>
      </w:r>
      <w:hyperlink w:anchor="fig-008">
        <w:r>
          <w:rPr>
            <w:rStyle w:val="Hyperlink"/>
          </w:rPr>
          <w:t xml:space="preserve">Рисунок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008"/>
          <w:p>
            <w:pPr>
              <w:pStyle w:val="Compact"/>
              <w:jc w:val="center"/>
            </w:pPr>
            <w:r>
              <w:drawing>
                <wp:inline>
                  <wp:extent cx="3733800" cy="2925248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252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Функциями subplot и plot для построения графиков</w:t>
            </w:r>
          </w:p>
          <w:bookmarkEnd w:id="54"/>
        </w:tc>
      </w:tr>
    </w:tbl>
    <w:p>
      <w:pPr>
        <w:pStyle w:val="BodyText"/>
      </w:pPr>
      <w:r>
        <w:t xml:space="preserve">Экспортирую полученный график в файл в формате .png. ([рис.</w:t>
      </w:r>
      <w:r>
        <w:t xml:space="preserve"> </w:t>
      </w:r>
      <w:hyperlink w:anchor="fig-009">
        <w:r>
          <w:rPr>
            <w:rStyle w:val="Hyperlink"/>
          </w:rPr>
          <w:t xml:space="preserve">Рисунок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8" w:name="fig-009"/>
          <w:p>
            <w:pPr>
              <w:pStyle w:val="Compact"/>
              <w:jc w:val="center"/>
            </w:pPr>
            <w:r>
              <w:drawing>
                <wp:inline>
                  <wp:extent cx="3733800" cy="3158363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583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Создание файла в формате .png</w:t>
            </w:r>
          </w:p>
          <w:bookmarkEnd w:id="58"/>
        </w:tc>
      </w:tr>
    </w:tbl>
    <w:p>
      <w:pPr>
        <w:pStyle w:val="BodyText"/>
      </w:pPr>
      <w:r>
        <w:t xml:space="preserve">Итоговый график. ([рис.</w:t>
      </w:r>
      <w:r>
        <w:t xml:space="preserve"> </w:t>
      </w:r>
      <w:hyperlink w:anchor="fig-010">
        <w:r>
          <w:rPr>
            <w:rStyle w:val="Hyperlink"/>
          </w:rPr>
          <w:t xml:space="preserve">Рисунок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10"/>
          <w:p>
            <w:pPr>
              <w:pStyle w:val="Compact"/>
              <w:jc w:val="center"/>
            </w:pPr>
            <w:r>
              <w:drawing>
                <wp:inline>
                  <wp:extent cx="3733800" cy="3047812"/>
                  <wp:effectExtent b="0" l="0" r="0" t="0"/>
                  <wp:docPr descr="" title="" id="60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47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Графики меандра, содержащего различное число гармоник</w:t>
            </w:r>
          </w:p>
          <w:bookmarkEnd w:id="62"/>
        </w:tc>
      </w:tr>
    </w:tbl>
    <w:p>
      <w:pPr>
        <w:pStyle w:val="BodyText"/>
      </w:pPr>
      <w:r>
        <w:t xml:space="preserve">В рабочем каталоге создаю каталог spectre1 и в нём новый сценарий с именем, spectre.m. В коде созданного сценария задаю начальные значения. ([рис.</w:t>
      </w:r>
      <w:r>
        <w:t xml:space="preserve"> </w:t>
      </w:r>
      <w:hyperlink w:anchor="fig-011">
        <w:r>
          <w:rPr>
            <w:rStyle w:val="Hyperlink"/>
          </w:rPr>
          <w:t xml:space="preserve">Рисунок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6" w:name="fig-011"/>
          <w:p>
            <w:pPr>
              <w:pStyle w:val="Compact"/>
              <w:jc w:val="center"/>
            </w:pPr>
            <w:r>
              <w:drawing>
                <wp:inline>
                  <wp:extent cx="3733800" cy="2552561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5525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Задание начальных значений</w:t>
            </w:r>
          </w:p>
          <w:bookmarkEnd w:id="66"/>
        </w:tc>
      </w:tr>
    </w:tbl>
    <w:p>
      <w:pPr>
        <w:pStyle w:val="BodyText"/>
      </w:pPr>
      <w:r>
        <w:t xml:space="preserve">Далее в коде задаю два синусоидальных сигнала разной частоты. ([рис.</w:t>
      </w:r>
      <w:r>
        <w:t xml:space="preserve"> </w:t>
      </w:r>
      <w:hyperlink w:anchor="fig-012">
        <w:r>
          <w:rPr>
            <w:rStyle w:val="Hyperlink"/>
          </w:rPr>
          <w:t xml:space="preserve">Рисунок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012"/>
          <w:p>
            <w:pPr>
              <w:pStyle w:val="Compact"/>
              <w:jc w:val="center"/>
            </w:pPr>
            <w:r>
              <w:drawing>
                <wp:inline>
                  <wp:extent cx="3733800" cy="3028304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283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Задание два синусоидальных сигнала</w:t>
            </w:r>
          </w:p>
          <w:bookmarkEnd w:id="70"/>
        </w:tc>
      </w:tr>
    </w:tbl>
    <w:p>
      <w:pPr>
        <w:pStyle w:val="BodyText"/>
      </w:pPr>
      <w:r>
        <w:t xml:space="preserve">Строю графики сигналов. ([рис.</w:t>
      </w:r>
      <w:r>
        <w:t xml:space="preserve"> </w:t>
      </w:r>
      <w:hyperlink w:anchor="fig-013">
        <w:r>
          <w:rPr>
            <w:rStyle w:val="Hyperlink"/>
          </w:rPr>
          <w:t xml:space="preserve">Рисунок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013"/>
          <w:p>
            <w:pPr>
              <w:pStyle w:val="Compact"/>
              <w:jc w:val="center"/>
            </w:pPr>
            <w:r>
              <w:drawing>
                <wp:inline>
                  <wp:extent cx="3733800" cy="3603982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603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График сигналов</w:t>
            </w:r>
          </w:p>
          <w:bookmarkEnd w:id="74"/>
        </w:tc>
      </w:tr>
    </w:tbl>
    <w:p>
      <w:pPr>
        <w:pStyle w:val="BodyText"/>
      </w:pPr>
      <w:r>
        <w:t xml:space="preserve">Итоговый график. ([рис.</w:t>
      </w:r>
      <w:r>
        <w:t xml:space="preserve"> </w:t>
      </w:r>
      <w:hyperlink w:anchor="fig-014">
        <w:r>
          <w:rPr>
            <w:rStyle w:val="Hyperlink"/>
          </w:rPr>
          <w:t xml:space="preserve">Рисунок 14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8" w:name="fig-014"/>
          <w:p>
            <w:pPr>
              <w:pStyle w:val="Compact"/>
              <w:jc w:val="center"/>
            </w:pPr>
            <w:r>
              <w:drawing>
                <wp:inline>
                  <wp:extent cx="3733800" cy="2302141"/>
                  <wp:effectExtent b="0" l="0" r="0" t="0"/>
                  <wp:docPr descr="" title="" id="76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02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Два синусоидальных сигнала разной частоты</w:t>
            </w:r>
          </w:p>
          <w:bookmarkEnd w:id="78"/>
        </w:tc>
      </w:tr>
    </w:tbl>
    <w:p>
      <w:pPr>
        <w:pStyle w:val="BodyText"/>
      </w:pPr>
      <w:r>
        <w:t xml:space="preserve">С помощью быстрого преобразования Фурье нахожу спектры сигналов, добавив в файл spectre.m следующий код. ([рис.</w:t>
      </w:r>
      <w:r>
        <w:t xml:space="preserve"> </w:t>
      </w:r>
      <w:hyperlink w:anchor="fig-015">
        <w:r>
          <w:rPr>
            <w:rStyle w:val="Hyperlink"/>
          </w:rPr>
          <w:t xml:space="preserve">Рисунок 15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2" w:name="fig-015"/>
          <w:p>
            <w:pPr>
              <w:pStyle w:val="Compact"/>
              <w:jc w:val="center"/>
            </w:pPr>
            <w:r>
              <w:drawing>
                <wp:inline>
                  <wp:extent cx="3733800" cy="4441560"/>
                  <wp:effectExtent b="0" l="0" r="0" t="0"/>
                  <wp:docPr descr="" title="" id="80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441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Нахождения спектра сигналов</w:t>
            </w:r>
          </w:p>
          <w:bookmarkEnd w:id="82"/>
        </w:tc>
      </w:tr>
    </w:tbl>
    <w:p>
      <w:pPr>
        <w:pStyle w:val="BodyText"/>
      </w:pPr>
      <w:r>
        <w:t xml:space="preserve">Учитывая реализацию преобразования Фурье, корректирую график спектра: отбрасываю дублирующие отрицательные частоты, а также принимаю в расчёт то, что на каждом шаге вычисления быстрого преобразования Фурье происходит суммирование амплитуд сигналов.Итоговый график. ([рис.</w:t>
      </w:r>
      <w:r>
        <w:t xml:space="preserve"> </w:t>
      </w:r>
      <w:hyperlink w:anchor="fig-016">
        <w:r>
          <w:rPr>
            <w:rStyle w:val="Hyperlink"/>
          </w:rPr>
          <w:t xml:space="preserve">Рисунок 16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6" w:name="fig-016"/>
          <w:p>
            <w:pPr>
              <w:pStyle w:val="Compact"/>
              <w:jc w:val="center"/>
            </w:pPr>
            <w:r>
              <w:drawing>
                <wp:inline>
                  <wp:extent cx="3733800" cy="2587055"/>
                  <wp:effectExtent b="0" l="0" r="0" t="0"/>
                  <wp:docPr descr="" title="" id="84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58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График спектров синусоидальных сигналов</w:t>
            </w:r>
          </w:p>
          <w:bookmarkEnd w:id="86"/>
        </w:tc>
      </w:tr>
    </w:tbl>
    <w:p>
      <w:pPr>
        <w:pStyle w:val="BodyText"/>
      </w:pPr>
      <w:r>
        <w:t xml:space="preserve">Нахожу спектр суммы рассмотренных сигналов, создав каталог spectr_sum и файл в нём spectre_sum.m с кодом. ([рис.</w:t>
      </w:r>
      <w:r>
        <w:t xml:space="preserve"> </w:t>
      </w:r>
      <w:hyperlink w:anchor="fig-017">
        <w:r>
          <w:rPr>
            <w:rStyle w:val="Hyperlink"/>
          </w:rPr>
          <w:t xml:space="preserve">Рисунок 17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0" w:name="fig-017"/>
          <w:p>
            <w:pPr>
              <w:pStyle w:val="Compact"/>
              <w:jc w:val="center"/>
            </w:pPr>
            <w:r>
              <w:drawing>
                <wp:inline>
                  <wp:extent cx="3733800" cy="3990418"/>
                  <wp:effectExtent b="0" l="0" r="0" t="0"/>
                  <wp:docPr descr="" title="" id="88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9904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17: Спектр суммы рассмотренных сигналов</w:t>
            </w:r>
          </w:p>
          <w:bookmarkEnd w:id="90"/>
        </w:tc>
      </w:tr>
    </w:tbl>
    <w:p>
      <w:pPr>
        <w:pStyle w:val="BodyText"/>
      </w:pPr>
      <w:r>
        <w:t xml:space="preserve">В результате получается аналогичный предыдущему результат, т.е. спектр суммы сигналов должен быть равен сумме спектров сигналов, что вытекает из свойств преобразования Фурье. ([рис.</w:t>
      </w:r>
      <w:r>
        <w:t xml:space="preserve"> </w:t>
      </w:r>
      <w:hyperlink w:anchor="fig-018">
        <w:r>
          <w:rPr>
            <w:rStyle w:val="Hyperlink"/>
          </w:rPr>
          <w:t xml:space="preserve">Рисунок 18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018"/>
          <w:p>
            <w:pPr>
              <w:pStyle w:val="Compact"/>
              <w:jc w:val="center"/>
            </w:pPr>
            <w:r>
              <w:drawing>
                <wp:inline>
                  <wp:extent cx="3733800" cy="3518069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518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18: Спектр суммарного сигнала</w:t>
            </w:r>
          </w:p>
          <w:bookmarkEnd w:id="94"/>
        </w:tc>
      </w:tr>
    </w:tbl>
    <w:p>
      <w:pPr>
        <w:pStyle w:val="BodyText"/>
      </w:pPr>
      <w:r>
        <w:t xml:space="preserve">В рабочем каталоге создаю каталог modulation и в нём новый сценарий с именем am.m. ([рис.</w:t>
      </w:r>
      <w:r>
        <w:t xml:space="preserve"> </w:t>
      </w:r>
      <w:hyperlink w:anchor="fig-019">
        <w:r>
          <w:rPr>
            <w:rStyle w:val="Hyperlink"/>
          </w:rPr>
          <w:t xml:space="preserve">Рисунок 19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8" w:name="fig-019"/>
          <w:p>
            <w:pPr>
              <w:pStyle w:val="Compact"/>
              <w:jc w:val="center"/>
            </w:pPr>
            <w:r>
              <w:drawing>
                <wp:inline>
                  <wp:extent cx="3733800" cy="3791811"/>
                  <wp:effectExtent b="0" l="0" r="0" t="0"/>
                  <wp:docPr descr="" title="" id="96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9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791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19: Принципы модуляции сигнала на примере аналоговой амплитудной модуляции</w:t>
            </w:r>
          </w:p>
          <w:bookmarkEnd w:id="98"/>
        </w:tc>
      </w:tr>
    </w:tbl>
    <w:p>
      <w:pPr>
        <w:pStyle w:val="BodyText"/>
      </w:pPr>
      <w:r>
        <w:t xml:space="preserve">В результате получаю, что спектр произведения представляет собой свёртку спектров. ([рис.</w:t>
      </w:r>
      <w:r>
        <w:t xml:space="preserve"> </w:t>
      </w:r>
      <w:hyperlink w:anchor="fig-020">
        <w:r>
          <w:rPr>
            <w:rStyle w:val="Hyperlink"/>
          </w:rPr>
          <w:t xml:space="preserve">Рисунок 20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2" w:name="fig-020"/>
          <w:p>
            <w:pPr>
              <w:pStyle w:val="Compact"/>
              <w:jc w:val="center"/>
            </w:pPr>
            <w:r>
              <w:drawing>
                <wp:inline>
                  <wp:extent cx="3733800" cy="2821468"/>
                  <wp:effectExtent b="0" l="0" r="0" t="0"/>
                  <wp:docPr descr="" title="" id="100" name="Picture"/>
                  <a:graphic>
                    <a:graphicData uri="http://schemas.openxmlformats.org/drawingml/2006/picture">
                      <pic:pic>
                        <pic:nvPicPr>
                          <pic:cNvPr descr="image/20.png" id="10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21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20: Спектр сигнала при амплитудной модуляции</w:t>
            </w:r>
          </w:p>
          <w:bookmarkEnd w:id="102"/>
        </w:tc>
      </w:tr>
    </w:tbl>
    <w:p>
      <w:pPr>
        <w:pStyle w:val="BodyText"/>
      </w:pPr>
      <w:r>
        <w:t xml:space="preserve">В рабочем каталоге создаю каталог coding и в нём файлы main.m, maptowave.m, unipolar.m, ami.m, bipolarnrz.m, bipolarrz.m, manchester.m, diffmanc.m, calcspectre.m. ([рис.</w:t>
      </w:r>
      <w:r>
        <w:t xml:space="preserve"> </w:t>
      </w:r>
      <w:hyperlink w:anchor="fig-021">
        <w:r>
          <w:rPr>
            <w:rStyle w:val="Hyperlink"/>
          </w:rPr>
          <w:t xml:space="preserve">Рисунок 21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6" w:name="fig-021"/>
          <w:p>
            <w:pPr>
              <w:pStyle w:val="Compact"/>
              <w:jc w:val="center"/>
            </w:pPr>
            <w:r>
              <w:drawing>
                <wp:inline>
                  <wp:extent cx="3733800" cy="1565038"/>
                  <wp:effectExtent b="0" l="0" r="0" t="0"/>
                  <wp:docPr descr="" title="" id="104" name="Picture"/>
                  <a:graphic>
                    <a:graphicData uri="http://schemas.openxmlformats.org/drawingml/2006/picture">
                      <pic:pic>
                        <pic:nvPicPr>
                          <pic:cNvPr descr="image/21.png" id="10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650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21: Создание каталога и файлов</w:t>
            </w:r>
          </w:p>
          <w:bookmarkEnd w:id="106"/>
        </w:tc>
      </w:tr>
    </w:tbl>
    <w:p>
      <w:pPr>
        <w:pStyle w:val="BodyText"/>
      </w:pPr>
      <w:r>
        <w:t xml:space="preserve">В окне интерпретатора команд проверяю, установлен ли у вас пакет расширений signal. Она у меня установлена. ([рис.</w:t>
      </w:r>
      <w:r>
        <w:t xml:space="preserve"> </w:t>
      </w:r>
      <w:hyperlink w:anchor="fig-022">
        <w:r>
          <w:rPr>
            <w:rStyle w:val="Hyperlink"/>
          </w:rPr>
          <w:t xml:space="preserve">Рисунок 22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0" w:name="fig-022"/>
          <w:p>
            <w:pPr>
              <w:pStyle w:val="Compact"/>
              <w:jc w:val="center"/>
            </w:pPr>
            <w:r>
              <w:drawing>
                <wp:inline>
                  <wp:extent cx="3733800" cy="877887"/>
                  <wp:effectExtent b="0" l="0" r="0" t="0"/>
                  <wp:docPr descr="" title="" id="108" name="Picture"/>
                  <a:graphic>
                    <a:graphicData uri="http://schemas.openxmlformats.org/drawingml/2006/picture">
                      <pic:pic>
                        <pic:nvPicPr>
                          <pic:cNvPr descr="image/22.png" id="10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8778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22: Пакет расширений signal</w:t>
            </w:r>
          </w:p>
          <w:bookmarkEnd w:id="110"/>
        </w:tc>
      </w:tr>
    </w:tbl>
    <w:p>
      <w:pPr>
        <w:pStyle w:val="BodyText"/>
      </w:pPr>
      <w:r>
        <w:t xml:space="preserve">В файле main.m подключаю пакет signal и задаю входные кодовые последовательности. ([рис.</w:t>
      </w:r>
      <w:r>
        <w:t xml:space="preserve"> </w:t>
      </w:r>
      <w:hyperlink w:anchor="fig-023">
        <w:r>
          <w:rPr>
            <w:rStyle w:val="Hyperlink"/>
          </w:rPr>
          <w:t xml:space="preserve">Рисунок 23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023"/>
          <w:p>
            <w:pPr>
              <w:pStyle w:val="Compact"/>
              <w:jc w:val="center"/>
            </w:pPr>
            <w:r>
              <w:drawing>
                <wp:inline>
                  <wp:extent cx="3733800" cy="1670522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image/23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70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23: Редактирование main.m</w:t>
            </w:r>
          </w:p>
          <w:bookmarkEnd w:id="114"/>
        </w:tc>
      </w:tr>
    </w:tbl>
    <w:p>
      <w:pPr>
        <w:pStyle w:val="BodyText"/>
      </w:pPr>
      <w:r>
        <w:t xml:space="preserve">Затем в этом же файле прописваю вызовы функций для построения графиков модуляций кодированных сигналов для кодовой последовательности data. ([рис.</w:t>
      </w:r>
      <w:r>
        <w:t xml:space="preserve"> </w:t>
      </w:r>
      <w:hyperlink w:anchor="fig-024">
        <w:r>
          <w:rPr>
            <w:rStyle w:val="Hyperlink"/>
          </w:rPr>
          <w:t xml:space="preserve">Рисунок 24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8" w:name="fig-024"/>
          <w:p>
            <w:pPr>
              <w:pStyle w:val="Compact"/>
              <w:jc w:val="center"/>
            </w:pPr>
            <w:r>
              <w:drawing>
                <wp:inline>
                  <wp:extent cx="3733800" cy="3382516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image/24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825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24: Редактирование main.m</w:t>
            </w:r>
          </w:p>
          <w:bookmarkEnd w:id="118"/>
        </w:tc>
      </w:tr>
    </w:tbl>
    <w:p>
      <w:pPr>
        <w:pStyle w:val="BodyText"/>
      </w:pPr>
      <w:r>
        <w:t xml:space="preserve">Затем в этом же файле прописываю вызовы функций для построения графиков модуляций кодированных сигналов для кодовой последовательности data_sync. ([рис.</w:t>
      </w:r>
      <w:r>
        <w:t xml:space="preserve"> </w:t>
      </w:r>
      <w:hyperlink w:anchor="fig-025">
        <w:r>
          <w:rPr>
            <w:rStyle w:val="Hyperlink"/>
          </w:rPr>
          <w:t xml:space="preserve">Рисунок 25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2" w:name="fig-025"/>
          <w:p>
            <w:pPr>
              <w:pStyle w:val="Compact"/>
              <w:jc w:val="center"/>
            </w:pPr>
            <w:r>
              <w:drawing>
                <wp:inline>
                  <wp:extent cx="3733800" cy="3501405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image/25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501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25: Редактирование main.m</w:t>
            </w:r>
          </w:p>
          <w:bookmarkEnd w:id="122"/>
        </w:tc>
      </w:tr>
    </w:tbl>
    <w:p>
      <w:pPr>
        <w:pStyle w:val="BodyText"/>
      </w:pPr>
      <w:r>
        <w:t xml:space="preserve">Далее в этом же файле прописываю вызовы функций для построения графиков спектров. ([рис.</w:t>
      </w:r>
      <w:r>
        <w:t xml:space="preserve"> </w:t>
      </w:r>
      <w:hyperlink w:anchor="fig-026">
        <w:r>
          <w:rPr>
            <w:rStyle w:val="Hyperlink"/>
          </w:rPr>
          <w:t xml:space="preserve">Рисунок 26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026"/>
          <w:p>
            <w:pPr>
              <w:pStyle w:val="Compact"/>
              <w:jc w:val="center"/>
            </w:pPr>
            <w:r>
              <w:drawing>
                <wp:inline>
                  <wp:extent cx="3733800" cy="33933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image/26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9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26: Редактирование main.m</w:t>
            </w:r>
          </w:p>
          <w:bookmarkEnd w:id="126"/>
        </w:tc>
      </w:tr>
    </w:tbl>
    <w:p>
      <w:pPr>
        <w:pStyle w:val="BodyText"/>
      </w:pPr>
      <w:r>
        <w:t xml:space="preserve">В файле maptowave.m пропишите функцию, которая по входному битовому потоку строит график сигнала. ([рис.</w:t>
      </w:r>
      <w:r>
        <w:t xml:space="preserve"> </w:t>
      </w:r>
      <w:hyperlink w:anchor="fig-027">
        <w:r>
          <w:rPr>
            <w:rStyle w:val="Hyperlink"/>
          </w:rPr>
          <w:t xml:space="preserve">Рисунок 27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0" w:name="fig-027"/>
          <w:p>
            <w:pPr>
              <w:pStyle w:val="Compact"/>
              <w:jc w:val="center"/>
            </w:pPr>
            <w:r>
              <w:drawing>
                <wp:inline>
                  <wp:extent cx="3676850" cy="1145406"/>
                  <wp:effectExtent b="0" l="0" r="0" t="0"/>
                  <wp:docPr descr="" title="" id="128" name="Picture"/>
                  <a:graphic>
                    <a:graphicData uri="http://schemas.openxmlformats.org/drawingml/2006/picture">
                      <pic:pic>
                        <pic:nvPicPr>
                          <pic:cNvPr descr="image/27.png" id="1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850" cy="1145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27: Редактирование maptowave.m</w:t>
            </w:r>
          </w:p>
          <w:bookmarkEnd w:id="130"/>
        </w:tc>
      </w:tr>
    </w:tbl>
    <w:p>
      <w:pPr>
        <w:pStyle w:val="BodyText"/>
      </w:pPr>
      <w:r>
        <w:t xml:space="preserve">В файлах unipolar.m, ami.m, bipolarnrz.m, bipolarrz.m, manchester.m, diffmanc.m прописываю соответствующие функции преобразования кодовой последовательности data с вызовом функции maptowave для построения соответствующего графика. Униполярное кодирование: ([рис.</w:t>
      </w:r>
      <w:r>
        <w:t xml:space="preserve"> </w:t>
      </w:r>
      <w:hyperlink w:anchor="fig-028">
        <w:r>
          <w:rPr>
            <w:rStyle w:val="Hyperlink"/>
          </w:rPr>
          <w:t xml:space="preserve">Рисунок 28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4" w:name="fig-028"/>
          <w:p>
            <w:pPr>
              <w:pStyle w:val="Compact"/>
              <w:jc w:val="center"/>
            </w:pPr>
            <w:r>
              <w:drawing>
                <wp:inline>
                  <wp:extent cx="3378467" cy="1183907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image/28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8467" cy="11839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28: Редактирование unipolar.m</w:t>
            </w:r>
          </w:p>
          <w:bookmarkEnd w:id="134"/>
        </w:tc>
      </w:tr>
    </w:tbl>
    <w:p>
      <w:pPr>
        <w:pStyle w:val="BodyText"/>
      </w:pPr>
      <w:r>
        <w:t xml:space="preserve">Кодирование AMI: ([рис.</w:t>
      </w:r>
      <w:r>
        <w:t xml:space="preserve"> </w:t>
      </w:r>
      <w:hyperlink w:anchor="fig-029">
        <w:r>
          <w:rPr>
            <w:rStyle w:val="Hyperlink"/>
          </w:rPr>
          <w:t xml:space="preserve">Рисунок 29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8" w:name="fig-029"/>
          <w:p>
            <w:pPr>
              <w:pStyle w:val="Compact"/>
              <w:jc w:val="center"/>
            </w:pPr>
            <w:r>
              <w:drawing>
                <wp:inline>
                  <wp:extent cx="3733800" cy="1274956"/>
                  <wp:effectExtent b="0" l="0" r="0" t="0"/>
                  <wp:docPr descr="" title="" id="136" name="Picture"/>
                  <a:graphic>
                    <a:graphicData uri="http://schemas.openxmlformats.org/drawingml/2006/picture">
                      <pic:pic>
                        <pic:nvPicPr>
                          <pic:cNvPr descr="image/29.png" id="1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749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29: Редактирование ami.m</w:t>
            </w:r>
          </w:p>
          <w:bookmarkEnd w:id="138"/>
        </w:tc>
      </w:tr>
    </w:tbl>
    <w:p>
      <w:pPr>
        <w:pStyle w:val="BodyText"/>
      </w:pPr>
      <w:r>
        <w:t xml:space="preserve">Кодирование NRZ: ([рис.</w:t>
      </w:r>
      <w:r>
        <w:t xml:space="preserve"> </w:t>
      </w:r>
      <w:hyperlink w:anchor="fig-030">
        <w:r>
          <w:rPr>
            <w:rStyle w:val="Hyperlink"/>
          </w:rPr>
          <w:t xml:space="preserve">Рисунок 30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2" w:name="fig-030"/>
          <w:p>
            <w:pPr>
              <w:pStyle w:val="Compact"/>
              <w:jc w:val="center"/>
            </w:pPr>
            <w:r>
              <w:drawing>
                <wp:inline>
                  <wp:extent cx="3733800" cy="837487"/>
                  <wp:effectExtent b="0" l="0" r="0" t="0"/>
                  <wp:docPr descr="" title="" id="140" name="Picture"/>
                  <a:graphic>
                    <a:graphicData uri="http://schemas.openxmlformats.org/drawingml/2006/picture">
                      <pic:pic>
                        <pic:nvPicPr>
                          <pic:cNvPr descr="image/30.png" id="1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8374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30: Редактирование bipolarnrz.m</w:t>
            </w:r>
          </w:p>
          <w:bookmarkEnd w:id="142"/>
        </w:tc>
      </w:tr>
    </w:tbl>
    <w:p>
      <w:pPr>
        <w:pStyle w:val="BodyText"/>
      </w:pPr>
      <w:r>
        <w:t xml:space="preserve">Кодирование RZ: ([рис.</w:t>
      </w:r>
      <w:r>
        <w:t xml:space="preserve"> </w:t>
      </w:r>
      <w:hyperlink w:anchor="fig-031">
        <w:r>
          <w:rPr>
            <w:rStyle w:val="Hyperlink"/>
          </w:rPr>
          <w:t xml:space="preserve">Рисунок 31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6" w:name="fig-031"/>
          <w:p>
            <w:pPr>
              <w:pStyle w:val="Compact"/>
              <w:jc w:val="center"/>
            </w:pPr>
            <w:r>
              <w:drawing>
                <wp:inline>
                  <wp:extent cx="3733800" cy="787815"/>
                  <wp:effectExtent b="0" l="0" r="0" t="0"/>
                  <wp:docPr descr="" title="" id="144" name="Picture"/>
                  <a:graphic>
                    <a:graphicData uri="http://schemas.openxmlformats.org/drawingml/2006/picture">
                      <pic:pic>
                        <pic:nvPicPr>
                          <pic:cNvPr descr="image/31.png" id="1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787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31: Редактирование bipolarrz.m</w:t>
            </w:r>
          </w:p>
          <w:bookmarkEnd w:id="146"/>
        </w:tc>
      </w:tr>
    </w:tbl>
    <w:p>
      <w:pPr>
        <w:pStyle w:val="BodyText"/>
      </w:pPr>
      <w:r>
        <w:t xml:space="preserve">Манчестерское кодирование: ([рис.</w:t>
      </w:r>
      <w:r>
        <w:t xml:space="preserve"> </w:t>
      </w:r>
      <w:hyperlink w:anchor="fig-032">
        <w:r>
          <w:rPr>
            <w:rStyle w:val="Hyperlink"/>
          </w:rPr>
          <w:t xml:space="preserve">Рисунок 32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0" w:name="fig-032"/>
          <w:p>
            <w:pPr>
              <w:pStyle w:val="Compact"/>
              <w:jc w:val="center"/>
            </w:pPr>
            <w:r>
              <w:drawing>
                <wp:inline>
                  <wp:extent cx="3733800" cy="828522"/>
                  <wp:effectExtent b="0" l="0" r="0" t="0"/>
                  <wp:docPr descr="" title="" id="148" name="Picture"/>
                  <a:graphic>
                    <a:graphicData uri="http://schemas.openxmlformats.org/drawingml/2006/picture">
                      <pic:pic>
                        <pic:nvPicPr>
                          <pic:cNvPr descr="image/32.png" id="1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828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32: Редактирование manchester.m</w:t>
            </w:r>
          </w:p>
          <w:bookmarkEnd w:id="150"/>
        </w:tc>
      </w:tr>
    </w:tbl>
    <w:p>
      <w:pPr>
        <w:pStyle w:val="BodyText"/>
      </w:pPr>
      <w:r>
        <w:t xml:space="preserve">Дифференциальное манчестерское кодирование: ([рис.</w:t>
      </w:r>
      <w:r>
        <w:t xml:space="preserve"> </w:t>
      </w:r>
      <w:hyperlink w:anchor="fig-033">
        <w:r>
          <w:rPr>
            <w:rStyle w:val="Hyperlink"/>
          </w:rPr>
          <w:t xml:space="preserve">Рисунок 33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4" w:name="fig-033"/>
          <w:p>
            <w:pPr>
              <w:pStyle w:val="Compact"/>
              <w:jc w:val="center"/>
            </w:pPr>
            <w:r>
              <w:drawing>
                <wp:inline>
                  <wp:extent cx="3733800" cy="921040"/>
                  <wp:effectExtent b="0" l="0" r="0" t="0"/>
                  <wp:docPr descr="" title="" id="152" name="Picture"/>
                  <a:graphic>
                    <a:graphicData uri="http://schemas.openxmlformats.org/drawingml/2006/picture">
                      <pic:pic>
                        <pic:nvPicPr>
                          <pic:cNvPr descr="image/33.png" id="1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2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33: Редактирование diffmanc.m</w:t>
            </w:r>
          </w:p>
          <w:bookmarkEnd w:id="154"/>
        </w:tc>
      </w:tr>
    </w:tbl>
    <w:p>
      <w:pPr>
        <w:pStyle w:val="BodyText"/>
      </w:pPr>
      <w:r>
        <w:t xml:space="preserve">В файле calcspectre.m прописываю функцию построения спектра сигнала. ([рис.</w:t>
      </w:r>
      <w:r>
        <w:t xml:space="preserve"> </w:t>
      </w:r>
      <w:hyperlink w:anchor="fig-034">
        <w:r>
          <w:rPr>
            <w:rStyle w:val="Hyperlink"/>
          </w:rPr>
          <w:t xml:space="preserve">Рисунок 34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8" w:name="fig-034"/>
          <w:p>
            <w:pPr>
              <w:pStyle w:val="Compact"/>
              <w:jc w:val="center"/>
            </w:pPr>
            <w:r>
              <w:drawing>
                <wp:inline>
                  <wp:extent cx="3733800" cy="1548009"/>
                  <wp:effectExtent b="0" l="0" r="0" t="0"/>
                  <wp:docPr descr="" title="" id="156" name="Picture"/>
                  <a:graphic>
                    <a:graphicData uri="http://schemas.openxmlformats.org/drawingml/2006/picture">
                      <pic:pic>
                        <pic:nvPicPr>
                          <pic:cNvPr descr="image/34.png" id="1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480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34: Редактирование calcspectre.m</w:t>
            </w:r>
          </w:p>
          <w:bookmarkEnd w:id="158"/>
        </w:tc>
      </w:tr>
    </w:tbl>
    <w:p>
      <w:pPr>
        <w:pStyle w:val="BodyText"/>
      </w:pPr>
      <w:r>
        <w:t xml:space="preserve">Запускаю главный скрипт main.m. В каталоге signal получены файлы с графиками кодированного сигнала. ([рис.</w:t>
      </w:r>
      <w:r>
        <w:t xml:space="preserve"> </w:t>
      </w:r>
      <w:hyperlink w:anchor="fig-035">
        <w:r>
          <w:rPr>
            <w:rStyle w:val="Hyperlink"/>
          </w:rPr>
          <w:t xml:space="preserve">Рисунок 35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62" w:name="fig-035"/>
          <w:p>
            <w:pPr>
              <w:pStyle w:val="Compact"/>
              <w:jc w:val="center"/>
            </w:pPr>
            <w:r>
              <w:drawing>
                <wp:inline>
                  <wp:extent cx="3733800" cy="2471530"/>
                  <wp:effectExtent b="0" l="0" r="0" t="0"/>
                  <wp:docPr descr="" title="" id="160" name="Picture"/>
                  <a:graphic>
                    <a:graphicData uri="http://schemas.openxmlformats.org/drawingml/2006/picture">
                      <pic:pic>
                        <pic:nvPicPr>
                          <pic:cNvPr descr="image/35.png" id="1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71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35: Каталоге signal</w:t>
            </w:r>
          </w:p>
          <w:bookmarkEnd w:id="162"/>
        </w:tc>
      </w:tr>
    </w:tbl>
    <w:p>
      <w:pPr>
        <w:pStyle w:val="BodyText"/>
      </w:pPr>
      <w:r>
        <w:t xml:space="preserve">В каталоге sync— файлы с графиками, иллюстрирующими свойства самосинхронизации. ([рис.</w:t>
      </w:r>
      <w:r>
        <w:t xml:space="preserve"> </w:t>
      </w:r>
      <w:hyperlink w:anchor="fig-036">
        <w:r>
          <w:rPr>
            <w:rStyle w:val="Hyperlink"/>
          </w:rPr>
          <w:t xml:space="preserve">Рисунок 36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66" w:name="fig-036"/>
          <w:p>
            <w:pPr>
              <w:pStyle w:val="Compact"/>
              <w:jc w:val="center"/>
            </w:pPr>
            <w:r>
              <w:drawing>
                <wp:inline>
                  <wp:extent cx="3733800" cy="1907484"/>
                  <wp:effectExtent b="0" l="0" r="0" t="0"/>
                  <wp:docPr descr="" title="" id="164" name="Picture"/>
                  <a:graphic>
                    <a:graphicData uri="http://schemas.openxmlformats.org/drawingml/2006/picture">
                      <pic:pic>
                        <pic:nvPicPr>
                          <pic:cNvPr descr="image/36.png" id="1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07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36: Каталоге sync</w:t>
            </w:r>
          </w:p>
          <w:bookmarkEnd w:id="166"/>
        </w:tc>
      </w:tr>
    </w:tbl>
    <w:p>
      <w:pPr>
        <w:pStyle w:val="BodyText"/>
      </w:pPr>
      <w:r>
        <w:t xml:space="preserve">В каталоге spectre — файлы с графиками спектров сигналов. ([рис.</w:t>
      </w:r>
      <w:r>
        <w:t xml:space="preserve"> </w:t>
      </w:r>
      <w:hyperlink w:anchor="fig-037">
        <w:r>
          <w:rPr>
            <w:rStyle w:val="Hyperlink"/>
          </w:rPr>
          <w:t xml:space="preserve">Рисунок 37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0" w:name="fig-037"/>
          <w:p>
            <w:pPr>
              <w:pStyle w:val="Compact"/>
              <w:jc w:val="center"/>
            </w:pPr>
            <w:r>
              <w:drawing>
                <wp:inline>
                  <wp:extent cx="3733800" cy="1646561"/>
                  <wp:effectExtent b="0" l="0" r="0" t="0"/>
                  <wp:docPr descr="" title="" id="168" name="Picture"/>
                  <a:graphic>
                    <a:graphicData uri="http://schemas.openxmlformats.org/drawingml/2006/picture">
                      <pic:pic>
                        <pic:nvPicPr>
                          <pic:cNvPr descr="image/37.png" id="1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465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37: Каталоге spectre</w:t>
            </w:r>
          </w:p>
          <w:bookmarkEnd w:id="170"/>
        </w:tc>
      </w:tr>
    </w:tbl>
    <w:bookmarkEnd w:id="171"/>
    <w:bookmarkStart w:id="172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ходе выполнения лабораторной работы № 1 я изучила методы кодирования и модуляции сигналов с помощью высокоуровнего языка программирования Octave. Определила спектр и параметр</w:t>
      </w:r>
      <w:r>
        <w:t xml:space="preserve"> </w:t>
      </w:r>
      <w:r>
        <w:t xml:space="preserve">сигнала. Демонстрировала принципы модуляции сигнала на примере аналоговой амплитудной модуляции. Исследовала свойства самосинхронизации сигнала.</w:t>
      </w:r>
    </w:p>
    <w:bookmarkEnd w:id="17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Сетевые технологии</dc:title>
  <dc:creator>Тойчубекова Асель Нурлановна</dc:creator>
  <dc:language>ru-RU</dc:language>
  <cp:keywords/>
  <dcterms:created xsi:type="dcterms:W3CDTF">2025-09-13T17:57:40Z</dcterms:created>
  <dcterms:modified xsi:type="dcterms:W3CDTF">2025-09-13T17:57:40Z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Лабораторная работа №1</vt:lpwstr>
  </property>
  <property fmtid="{D5CDD505-2E9C-101B-9397-08002B2CF9AE}" pid="16" name="toc-title">
    <vt:lpwstr>Содержание</vt:lpwstr>
  </property>
</Properties>
</file>