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Тойчубекова</w:t>
      </w:r>
      <w:r>
        <w:t xml:space="preserve"> </w:t>
      </w:r>
      <w:r>
        <w:t xml:space="preserve">Асель</w:t>
      </w:r>
      <w:r>
        <w:t xml:space="preserve"> </w:t>
      </w:r>
      <w:r>
        <w:t xml:space="preserve">Нурлановна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получение практических навыков работы в консоли с атрибутами файлов для групп пользователей.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Выполнить порядок выполнения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Заполнить 2 таблицы, проверив действия на права доступа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Дискреционное разграничение прав в Linux: основные атрибуты</w:t>
      </w:r>
    </w:p>
    <w:p>
      <w:pPr>
        <w:pStyle w:val="BodyText"/>
      </w:pPr>
      <w:r>
        <w:t xml:space="preserve">В современных операционных системах критически важно обеспечить надежную защиту данных и контроль доступа к ресурсам. Одним из базовых механизмов безопасности в Linux является дискреционное управление доступом (Discretionary Access Control, DAC). Эта модель основана на том, что права доступа к файлам и каталогам определяются их владельцем, который может передавать или ограничивать доступ другим пользователям.</w:t>
      </w:r>
    </w:p>
    <w:p>
      <w:pPr>
        <w:pStyle w:val="BodyText"/>
      </w:pPr>
      <w:r>
        <w:t xml:space="preserve">Основным инструментом DAC в Linux является система разрешений файловой системы (file permissions), которая управляет правами на чтение (read), запись (write) и выполнение (execute) для владельца файла, группы пользователей и всех остальных. Помимо классической схемы прав (rwx), Linux поддерживает специальные атрибуты, такие как SUID, SGID и sticky bit, а также списки расширенных прав доступа (ACLs), которые позволяют более гибко управлять доступом.</w:t>
      </w:r>
    </w:p>
    <w:p>
      <w:pPr>
        <w:pStyle w:val="BodyText"/>
      </w:pPr>
      <w:r>
        <w:t xml:space="preserve">Хотя дискреционная модель удобна и широко применяется, она имеет уязвимости, связанные с человеческим фактором. Например, владелец файла может случайно предоставить доступ нежелательным пользователям, что создает риск утечки данных. Поэтому в современных системах безопасности Linux дополнительно используются механизмы обязательного контроля доступа (Mandatory Access Control, MAC), такие как SELinux и AppArmor, которые обеспечивают более строгие ограничения на уровне системы.</w:t>
      </w:r>
    </w:p>
    <w:p>
      <w:pPr>
        <w:pStyle w:val="BodyText"/>
      </w:pPr>
      <w:r>
        <w:t xml:space="preserve">Таким образом, дискреционное разграничение прав в Linux является фундаментальным механизмом контроля доступа, который обеспечивает гибкость в управлении ресурсами, но требует внимательной настройки и дополнения более строгими методами защиты.</w:t>
      </w:r>
    </w:p>
    <w:bookmarkEnd w:id="22"/>
    <w:bookmarkStart w:id="7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На прошлой лабораторной работе мы создали пользователя guest, заходим в систему под пользователем guest. Создаем пользователя guest2 и зададим пароль, командой passwd guest2. Добавим пользователя guest2 в группу guest, командой gpasswd -a guest2 guest. (рис. 1).</w:t>
      </w:r>
    </w:p>
    <w:p>
      <w:pPr>
        <w:pStyle w:val="CaptionedFigure"/>
      </w:pPr>
      <w:r>
        <w:drawing>
          <wp:inline>
            <wp:extent cx="3733800" cy="2628302"/>
            <wp:effectExtent b="0" l="0" r="0" t="0"/>
            <wp:docPr descr="Создание пользователя guest2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8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пользователя guest2</w:t>
      </w:r>
    </w:p>
    <w:p>
      <w:pPr>
        <w:pStyle w:val="BodyText"/>
      </w:pPr>
      <w:r>
        <w:t xml:space="preserve">Осуществим вход в систему от двух пользователей на двух разных консолях: guest на первой консоли и guest2 на второй консоли, для этого используем команду su. (рис. 2).</w:t>
      </w:r>
    </w:p>
    <w:p>
      <w:pPr>
        <w:pStyle w:val="CaptionedFigure"/>
      </w:pPr>
      <w:r>
        <w:drawing>
          <wp:inline>
            <wp:extent cx="3733800" cy="1352400"/>
            <wp:effectExtent b="0" l="0" r="0" t="0"/>
            <wp:docPr descr="Вход на двух разных консолях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Вход на двух разных консолях</w:t>
      </w:r>
    </w:p>
    <w:p>
      <w:pPr>
        <w:pStyle w:val="BodyText"/>
      </w:pPr>
      <w:r>
        <w:t xml:space="preserve">Для обоих пользователей командой pwd определим директорию, в которой мы находимся. Мы видим, что вывод совпадает с приглашениями командной строки. (рис. 3).</w:t>
      </w:r>
    </w:p>
    <w:p>
      <w:pPr>
        <w:pStyle w:val="CaptionedFigure"/>
      </w:pPr>
      <w:r>
        <w:drawing>
          <wp:inline>
            <wp:extent cx="3733800" cy="571351"/>
            <wp:effectExtent b="0" l="0" r="0" t="0"/>
            <wp:docPr descr="Директория, в которой мы находимся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1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Директория, в которой мы находимся</w:t>
      </w:r>
    </w:p>
    <w:p>
      <w:pPr>
        <w:pStyle w:val="BodyText"/>
      </w:pPr>
      <w:r>
        <w:t xml:space="preserve">Определим командами groups guest и groups guest2, в какие группы входят пользователи guest и guest2. Мы видим, что guest входит в группу guest. А guest2 в группы guest и guest2. (рис. 4).</w:t>
      </w:r>
    </w:p>
    <w:p>
      <w:pPr>
        <w:pStyle w:val="CaptionedFigure"/>
      </w:pPr>
      <w:r>
        <w:drawing>
          <wp:inline>
            <wp:extent cx="3733800" cy="351163"/>
            <wp:effectExtent b="0" l="0" r="0" t="0"/>
            <wp:docPr descr="Группы, в которые входят пользователи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1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Группы, в которые входят пользователи</w:t>
      </w:r>
    </w:p>
    <w:p>
      <w:pPr>
        <w:pStyle w:val="BodyText"/>
      </w:pPr>
      <w:r>
        <w:t xml:space="preserve">Сравним вывод команды groups с выводом команд id -Gn(выводит название групп) и id -G(выводит идентификатор групп). Мы видим, что вывод команды groups и id -Gn совпадают и показывают название групп, в которые входит пользователь. А id -Gn выводит их идентификатор. (рис. 5).</w:t>
      </w:r>
    </w:p>
    <w:p>
      <w:pPr>
        <w:pStyle w:val="CaptionedFigure"/>
      </w:pPr>
      <w:r>
        <w:drawing>
          <wp:inline>
            <wp:extent cx="3733800" cy="699186"/>
            <wp:effectExtent b="0" l="0" r="0" t="0"/>
            <wp:docPr descr="Название и идентификатор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9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Название и идентификатор</w:t>
      </w:r>
    </w:p>
    <w:p>
      <w:pPr>
        <w:pStyle w:val="BodyText"/>
      </w:pPr>
      <w:r>
        <w:t xml:space="preserve">Сравним полученную информацию с содержимым файла /etc/group. Мы видим, что и название групп и их идентификаторы совпадают с выводами предыдущих команд. (рис. 6).</w:t>
      </w:r>
    </w:p>
    <w:p>
      <w:pPr>
        <w:pStyle w:val="CaptionedFigure"/>
      </w:pPr>
      <w:r>
        <w:drawing>
          <wp:inline>
            <wp:extent cx="2646947" cy="1260909"/>
            <wp:effectExtent b="0" l="0" r="0" t="0"/>
            <wp:docPr descr="Содержимое файла /etc/group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947" cy="1260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Содержимое файла /etc/group</w:t>
      </w:r>
    </w:p>
    <w:p>
      <w:pPr>
        <w:pStyle w:val="BodyText"/>
      </w:pPr>
      <w:r>
        <w:t xml:space="preserve">От имени пользователя guest2 выполним регистрацию пользователя guest2 в группе guest командой newgrp guest. А также от имени пользователя guest измените права директории /home/guest, разрешив все действия для пользователей группы, используя команду chmod g+rwx /home/guest. (рис. 7).</w:t>
      </w:r>
    </w:p>
    <w:p>
      <w:pPr>
        <w:pStyle w:val="CaptionedFigure"/>
      </w:pPr>
      <w:r>
        <w:drawing>
          <wp:inline>
            <wp:extent cx="3733800" cy="181007"/>
            <wp:effectExtent b="0" l="0" r="0" t="0"/>
            <wp:docPr descr="Регистрация guest2 и изменение прав директории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0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Регистрация guest2 и изменение прав директории</w:t>
      </w:r>
    </w:p>
    <w:p>
      <w:pPr>
        <w:pStyle w:val="BodyText"/>
      </w:pPr>
      <w:r>
        <w:t xml:space="preserve">От имени пользователя guest снимем с директории /home/guest/dir1 все атрибуты командой chmod 000 dir1 и проверим правильность снятия прав. Мы видим, что все было выполнено корректно. (рис. 8).</w:t>
      </w:r>
    </w:p>
    <w:p>
      <w:pPr>
        <w:pStyle w:val="CaptionedFigure"/>
      </w:pPr>
      <w:r>
        <w:drawing>
          <wp:inline>
            <wp:extent cx="3733800" cy="2350911"/>
            <wp:effectExtent b="0" l="0" r="0" t="0"/>
            <wp:docPr descr="Изменение прав доступа dir1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0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Изменение прав доступа dir1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заполним таблицу</w:t>
      </w:r>
      <w:r>
        <w:t xml:space="preserve"> </w:t>
      </w:r>
      <w:r>
        <w:t xml:space="preserve">“</w:t>
      </w:r>
      <w:r>
        <w:t xml:space="preserve">Установленные права и разрешённые действия для групп</w:t>
      </w:r>
      <w:r>
        <w:t xml:space="preserve">”</w:t>
      </w:r>
      <w:r>
        <w:t xml:space="preserve">,определив опытным путём, какие операции разрешены, а какие нет.</w:t>
      </w:r>
    </w:p>
    <w:p>
      <w:pPr>
        <w:pStyle w:val="BodyText"/>
      </w:pPr>
      <w:r>
        <w:t xml:space="preserve">На примере прав доступа dir1(000,010,020,030,040,050,060,070) и прав доступа file1(030) посмотрим какие действия разрешены при разных прав доступа директории и файла. Для начала посмотрим разрешенные действия, если права доступа следующие, dir1=010,file1=030. (рис. 9).</w:t>
      </w:r>
    </w:p>
    <w:p>
      <w:pPr>
        <w:pStyle w:val="CaptionedFigure"/>
      </w:pPr>
      <w:r>
        <w:drawing>
          <wp:inline>
            <wp:extent cx="3733800" cy="2501425"/>
            <wp:effectExtent b="0" l="0" r="0" t="0"/>
            <wp:docPr descr="Действия при правах: dir1=010,file1=030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1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Действия при правах: dir1=010,file1=030</w:t>
      </w:r>
    </w:p>
    <w:p>
      <w:pPr>
        <w:pStyle w:val="BodyText"/>
      </w:pPr>
      <w:r>
        <w:t xml:space="preserve">Разрешенные действия, если права доступа следующие, dir1=020,file1=030. (рис. 10).</w:t>
      </w:r>
    </w:p>
    <w:p>
      <w:pPr>
        <w:pStyle w:val="CaptionedFigure"/>
      </w:pPr>
      <w:r>
        <w:drawing>
          <wp:inline>
            <wp:extent cx="3733800" cy="1804547"/>
            <wp:effectExtent b="0" l="0" r="0" t="0"/>
            <wp:docPr descr="Действия при правах: dir1=020,file1=030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4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Действия при правах: dir1=020,file1=030</w:t>
      </w:r>
    </w:p>
    <w:p>
      <w:pPr>
        <w:pStyle w:val="BodyText"/>
      </w:pPr>
      <w:r>
        <w:t xml:space="preserve">Разрешенные действия, если права доступа следующие, dir1=030,file1=030. (рис. 11).</w:t>
      </w:r>
    </w:p>
    <w:p>
      <w:pPr>
        <w:pStyle w:val="CaptionedFigure"/>
      </w:pPr>
      <w:r>
        <w:drawing>
          <wp:inline>
            <wp:extent cx="3733800" cy="1442521"/>
            <wp:effectExtent b="0" l="0" r="0" t="0"/>
            <wp:docPr descr="Действия при правах: dir1=030,file1=030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2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Действия при правах: dir1=030,file1=030</w:t>
      </w:r>
    </w:p>
    <w:p>
      <w:pPr>
        <w:pStyle w:val="BodyText"/>
      </w:pPr>
      <w:r>
        <w:t xml:space="preserve">Разрешенные действия, если права доступа следующие, dir1=040,file1=030. (рис. 12).</w:t>
      </w:r>
    </w:p>
    <w:p>
      <w:pPr>
        <w:pStyle w:val="CaptionedFigure"/>
      </w:pPr>
      <w:r>
        <w:drawing>
          <wp:inline>
            <wp:extent cx="3733800" cy="1946303"/>
            <wp:effectExtent b="0" l="0" r="0" t="0"/>
            <wp:docPr descr="Действия при правах: dir1=040,file1=030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6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Действия при правах: dir1=040,file1=030</w:t>
      </w:r>
    </w:p>
    <w:p>
      <w:pPr>
        <w:pStyle w:val="BodyText"/>
      </w:pPr>
      <w:r>
        <w:t xml:space="preserve">Разрешенные действия, если права доступа следующие, dir1=050,file1=030. (рис. 13).</w:t>
      </w:r>
    </w:p>
    <w:p>
      <w:pPr>
        <w:pStyle w:val="CaptionedFigure"/>
      </w:pPr>
      <w:r>
        <w:drawing>
          <wp:inline>
            <wp:extent cx="3733800" cy="1610517"/>
            <wp:effectExtent b="0" l="0" r="0" t="0"/>
            <wp:docPr descr="Действия при правах: dir1=050,file1=030" title="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0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Действия при правах: dir1=050,file1=030</w:t>
      </w:r>
    </w:p>
    <w:p>
      <w:pPr>
        <w:pStyle w:val="BodyText"/>
      </w:pPr>
      <w:r>
        <w:t xml:space="preserve">Разрешенные действия, если права доступа следующие, dir1=060,file1=030. (рис. 14).</w:t>
      </w:r>
    </w:p>
    <w:p>
      <w:pPr>
        <w:pStyle w:val="CaptionedFigure"/>
      </w:pPr>
      <w:r>
        <w:drawing>
          <wp:inline>
            <wp:extent cx="3733800" cy="1612738"/>
            <wp:effectExtent b="0" l="0" r="0" t="0"/>
            <wp:docPr descr="Действия при правах: dir1=060,file1=030" title="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2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Действия при правах: dir1=060,file1=030</w:t>
      </w:r>
    </w:p>
    <w:p>
      <w:pPr>
        <w:pStyle w:val="BodyText"/>
      </w:pPr>
      <w:r>
        <w:t xml:space="preserve">Разрешенные действия, если права доступа следующие, dir1=070,file1=030. (рис. 15).</w:t>
      </w:r>
    </w:p>
    <w:p>
      <w:pPr>
        <w:pStyle w:val="CaptionedFigure"/>
      </w:pPr>
      <w:r>
        <w:drawing>
          <wp:inline>
            <wp:extent cx="3733800" cy="2787411"/>
            <wp:effectExtent b="0" l="0" r="0" t="0"/>
            <wp:docPr descr="Действия при правах: dir1=070,file1=030" title="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7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Действия при правах: dir1=070,file1=030</w:t>
      </w:r>
    </w:p>
    <w:p>
      <w:pPr>
        <w:pStyle w:val="BodyText"/>
      </w:pPr>
      <w:r>
        <w:t xml:space="preserve">Исходя из этих результатов заполним таблицу</w:t>
      </w:r>
      <w:r>
        <w:t xml:space="preserve"> </w:t>
      </w:r>
      <w:r>
        <w:t xml:space="preserve">“</w:t>
      </w:r>
      <w:r>
        <w:t xml:space="preserve">Установленные права и разрешённые действия</w:t>
      </w:r>
      <w:r>
        <w:t xml:space="preserve">”</w:t>
      </w:r>
      <w:r>
        <w:t xml:space="preserve"> </w:t>
      </w:r>
      <w:r>
        <w:t xml:space="preserve">1</w:t>
      </w:r>
    </w:p>
    <w:bookmarkStart w:id="68" w:name="tbl:permissions"/>
    <w:p>
      <w:pPr>
        <w:pStyle w:val="TableCaption"/>
      </w:pPr>
      <w:r>
        <w:t xml:space="preserve">Таблица 1: Установленные права и разрешённые действия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Установленные права и разрешённые действия"/>
      </w:tblPr>
      <w:tblGrid>
        <w:gridCol w:w="783"/>
        <w:gridCol w:w="522"/>
        <w:gridCol w:w="696"/>
        <w:gridCol w:w="696"/>
        <w:gridCol w:w="652"/>
        <w:gridCol w:w="609"/>
        <w:gridCol w:w="783"/>
        <w:gridCol w:w="1261"/>
        <w:gridCol w:w="957"/>
        <w:gridCol w:w="95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68"/>
    <w:p>
      <w:pPr>
        <w:pStyle w:val="BodyText"/>
      </w:pPr>
      <w:r>
        <w:t xml:space="preserve">Далее на основе заполненной таблицы определим те или иные минимально необходимые права для выполнения операций внутри директории dir1. Опишем это в таблице</w:t>
      </w:r>
      <w:r>
        <w:t xml:space="preserve"> </w:t>
      </w:r>
      <w:r>
        <w:t xml:space="preserve">“</w:t>
      </w:r>
      <w:r>
        <w:t xml:space="preserve">Минимальные права для совершения операций</w:t>
      </w:r>
      <w:r>
        <w:t xml:space="preserve">”</w:t>
      </w:r>
      <w:r>
        <w:t xml:space="preserve"> </w:t>
      </w:r>
      <w:r>
        <w:t xml:space="preserve">2</w:t>
      </w:r>
    </w:p>
    <w:bookmarkStart w:id="69" w:name="tbl:minperm"/>
    <w:p>
      <w:pPr>
        <w:pStyle w:val="TableCaption"/>
      </w:pPr>
      <w:r>
        <w:t xml:space="preserve">Таблица 2: Минимальные права для совершения операций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2: Минимальные права для совершения операций"/>
      </w:tblPr>
      <w:tblGrid>
        <w:gridCol w:w="2357"/>
        <w:gridCol w:w="3017"/>
        <w:gridCol w:w="254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000</w:t>
            </w:r>
          </w:p>
        </w:tc>
      </w:tr>
    </w:tbl>
    <w:bookmarkEnd w:id="69"/>
    <w:bookmarkEnd w:id="70"/>
    <w:bookmarkStart w:id="7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получила практические навыки работы в консоли с атрибутами файлов для групп пользователей.</w:t>
      </w:r>
    </w:p>
    <w:bookmarkEnd w:id="71"/>
    <w:bookmarkStart w:id="72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r>
        <w:t xml:space="preserve">https://esystem.rudn.ru/course/view.php?id=21200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Тойчубекова Асель Нурлановна</dc:creator>
  <dc:language>ru-RU</dc:language>
  <cp:keywords/>
  <dcterms:created xsi:type="dcterms:W3CDTF">2025-03-15T10:27:01Z</dcterms:created>
  <dcterms:modified xsi:type="dcterms:W3CDTF">2025-03-15T10:27:01Z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Основы информационной безопасности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