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6E59" w14:textId="7E1424A5" w:rsidR="00786A34" w:rsidRDefault="00786A34">
      <w:pPr>
        <w:rPr>
          <w:rtl/>
        </w:rPr>
      </w:pPr>
    </w:p>
    <w:p w14:paraId="151268BF" w14:textId="0799A58A" w:rsidR="0076568E" w:rsidRDefault="0076568E" w:rsidP="0076568E">
      <w:pPr>
        <w:spacing w:line="480" w:lineRule="auto"/>
        <w:jc w:val="center"/>
        <w:rPr>
          <w:rFonts w:hint="cs"/>
          <w:b/>
          <w:bCs/>
          <w:color w:val="3A7C22" w:themeColor="accent6" w:themeShade="BF"/>
          <w:sz w:val="36"/>
          <w:szCs w:val="36"/>
          <w:rtl/>
        </w:rPr>
      </w:pP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>مميزات</w:t>
      </w:r>
      <w:r w:rsidR="00786A34"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تقرير </w:t>
      </w:r>
      <w:r w:rsidR="00786A34">
        <w:rPr>
          <w:rFonts w:hint="cs"/>
          <w:b/>
          <w:bCs/>
          <w:color w:val="3A7C22" w:themeColor="accent6" w:themeShade="BF"/>
          <w:sz w:val="36"/>
          <w:szCs w:val="36"/>
          <w:rtl/>
        </w:rPr>
        <w:t>لجنة متابعة أعمال مزاولي الرقية الشرعية والطب الشعبي ومفسري الأحلام</w:t>
      </w:r>
      <w:r w:rsidR="00786A34"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في</w:t>
      </w:r>
      <w:r w:rsidR="00786A34"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0A37E33E" w14:textId="48DD9404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تحليلات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وتقارير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شاملة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D1581AA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إحصائيات مجمعة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إجمالي عدد الزيارات الميدانية، وعدد المزاولين لأعمال الرقية الشرعية (بما في ذلك الموقوفين والمستمرين)</w:t>
      </w:r>
      <w:r w:rsidRPr="0076568E">
        <w:rPr>
          <w:sz w:val="36"/>
          <w:szCs w:val="36"/>
        </w:rPr>
        <w:t>.</w:t>
      </w:r>
    </w:p>
    <w:p w14:paraId="5D1C1CD0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التوزيع الديموغرافي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توفير بيانات تفصيلية عن نسبة وعدد المزاولين حسب الجنس (ذكور/إناث) والجنسية (سعوديين/أجانب)</w:t>
      </w:r>
      <w:r w:rsidRPr="0076568E">
        <w:rPr>
          <w:sz w:val="36"/>
          <w:szCs w:val="36"/>
        </w:rPr>
        <w:t>.</w:t>
      </w:r>
    </w:p>
    <w:p w14:paraId="1A8A5166" w14:textId="77777777" w:rsidR="0076568E" w:rsidRPr="0076568E" w:rsidRDefault="0076568E" w:rsidP="0076568E">
      <w:pPr>
        <w:numPr>
          <w:ilvl w:val="0"/>
          <w:numId w:val="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تصنيف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تصنيف المزاولين حسب نوع النشاط (راقي شرعي، معالج شعبي، مفسر أحلام) مع إمكانية تصفية البيانات حسب كل فئة</w:t>
      </w:r>
      <w:r w:rsidRPr="0076568E">
        <w:rPr>
          <w:sz w:val="36"/>
          <w:szCs w:val="36"/>
        </w:rPr>
        <w:t>.</w:t>
      </w:r>
    </w:p>
    <w:p w14:paraId="476176DE" w14:textId="77777777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لوحة معلومات تفاعلية</w:t>
      </w:r>
      <w:r w:rsidRPr="0076568E">
        <w:rPr>
          <w:b/>
          <w:bCs/>
          <w:color w:val="215E99" w:themeColor="text2" w:themeTint="BF"/>
          <w:sz w:val="36"/>
          <w:szCs w:val="36"/>
        </w:rPr>
        <w:t xml:space="preserve"> (Dashboard):</w:t>
      </w:r>
    </w:p>
    <w:p w14:paraId="011A0110" w14:textId="77777777" w:rsidR="0076568E" w:rsidRPr="0076568E" w:rsidRDefault="0076568E" w:rsidP="0076568E">
      <w:pPr>
        <w:numPr>
          <w:ilvl w:val="0"/>
          <w:numId w:val="7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مراقبة حالة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لوحة تحكم تعرض حالة كل مزاول (مستمر، منقطع، موقوف) مع تصنيفهم حسب نوع النشاط (راقي شرعي، معالج شعبي، مفسر أحلام)</w:t>
      </w:r>
      <w:r w:rsidRPr="0076568E">
        <w:rPr>
          <w:sz w:val="36"/>
          <w:szCs w:val="36"/>
        </w:rPr>
        <w:t>.</w:t>
      </w:r>
    </w:p>
    <w:p w14:paraId="5DA77131" w14:textId="26866734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خرائط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وتصورات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بيانية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7BAE4F59" w14:textId="77777777" w:rsidR="0076568E" w:rsidRPr="0076568E" w:rsidRDefault="0076568E" w:rsidP="0076568E">
      <w:pPr>
        <w:numPr>
          <w:ilvl w:val="0"/>
          <w:numId w:val="8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تحديد المواقع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خريطة تفاعلية توضح أماكن تواجد المزاولين</w:t>
      </w:r>
      <w:r w:rsidRPr="0076568E">
        <w:rPr>
          <w:sz w:val="36"/>
          <w:szCs w:val="36"/>
        </w:rPr>
        <w:t>.</w:t>
      </w:r>
    </w:p>
    <w:p w14:paraId="6926F9DF" w14:textId="530B5C31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البحث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والوصول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إلى المعلومات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74CD9A0" w14:textId="77777777" w:rsidR="0076568E" w:rsidRPr="0076568E" w:rsidRDefault="0076568E" w:rsidP="0076568E">
      <w:pPr>
        <w:numPr>
          <w:ilvl w:val="0"/>
          <w:numId w:val="9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البحث المتقدم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إمكانية البحث عن مزاول معين باستخدام رقم الهوية الوطنية</w:t>
      </w:r>
      <w:r w:rsidRPr="0076568E">
        <w:rPr>
          <w:sz w:val="36"/>
          <w:szCs w:val="36"/>
        </w:rPr>
        <w:t>.</w:t>
      </w:r>
    </w:p>
    <w:p w14:paraId="7A457B08" w14:textId="77777777" w:rsidR="0076568E" w:rsidRDefault="0076568E" w:rsidP="0076568E">
      <w:pPr>
        <w:numPr>
          <w:ilvl w:val="0"/>
          <w:numId w:val="9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ملفات تعريف تفصيلية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بيانات المزاول الشخصية (الاسم، رقم الجوال، المهنة، نوع المزاولة، الجنس، الجنسية، حالة المزاول) بالإضافة إلى رأي اللجنة، ملاحظاتها، رقم المحضر وتاريخه، وأسماء الأعضاء الذين حرروا المحضر</w:t>
      </w:r>
      <w:r w:rsidRPr="0076568E">
        <w:rPr>
          <w:sz w:val="36"/>
          <w:szCs w:val="36"/>
        </w:rPr>
        <w:t>.</w:t>
      </w:r>
    </w:p>
    <w:p w14:paraId="2F0806AD" w14:textId="77777777" w:rsidR="0076568E" w:rsidRPr="0076568E" w:rsidRDefault="0076568E" w:rsidP="0076568E">
      <w:pPr>
        <w:ind w:left="720"/>
        <w:jc w:val="both"/>
        <w:rPr>
          <w:sz w:val="36"/>
          <w:szCs w:val="36"/>
        </w:rPr>
      </w:pPr>
    </w:p>
    <w:p w14:paraId="0E084DDA" w14:textId="77777777" w:rsidR="0076568E" w:rsidRDefault="0076568E" w:rsidP="0076568E">
      <w:pPr>
        <w:jc w:val="both"/>
        <w:rPr>
          <w:b/>
          <w:bCs/>
          <w:color w:val="215E99" w:themeColor="text2" w:themeTint="BF"/>
          <w:sz w:val="36"/>
          <w:szCs w:val="36"/>
          <w:rtl/>
        </w:rPr>
      </w:pPr>
    </w:p>
    <w:p w14:paraId="568DCCAE" w14:textId="61F4F92E" w:rsidR="0076568E" w:rsidRPr="0076568E" w:rsidRDefault="0076568E" w:rsidP="0076568E">
      <w:p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معلومات إضافية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18F202E9" w14:textId="77777777" w:rsidR="0076568E" w:rsidRPr="0076568E" w:rsidRDefault="0076568E" w:rsidP="0076568E">
      <w:pPr>
        <w:numPr>
          <w:ilvl w:val="0"/>
          <w:numId w:val="10"/>
        </w:numPr>
        <w:pBdr>
          <w:bottom w:val="single" w:sz="6" w:space="1" w:color="auto"/>
        </w:pBd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تفاصيل الجهات المشاركة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عرض قائمة بالجهات المشاركة في إعداد المحاضر مع أسماء أعضاء اللجنة وشعار كل جهة</w:t>
      </w:r>
      <w:r w:rsidRPr="0076568E">
        <w:rPr>
          <w:sz w:val="36"/>
          <w:szCs w:val="36"/>
        </w:rPr>
        <w:t>.</w:t>
      </w:r>
    </w:p>
    <w:p w14:paraId="7BC3FF93" w14:textId="77777777" w:rsidR="0076568E" w:rsidRDefault="0076568E" w:rsidP="0076568E">
      <w:pPr>
        <w:rPr>
          <w:rtl/>
        </w:rPr>
      </w:pPr>
    </w:p>
    <w:p w14:paraId="52124F3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86B6A5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1A37173B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13163B2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0D0E4FD4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55BD5169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38E7C66D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4D08784F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3B68DF0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01231EDA" w14:textId="77777777" w:rsid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6BE0BA0D" w14:textId="77777777" w:rsidR="0076568E" w:rsidRPr="0076568E" w:rsidRDefault="0076568E" w:rsidP="0076568E">
      <w:pPr>
        <w:spacing w:line="480" w:lineRule="auto"/>
        <w:jc w:val="center"/>
        <w:rPr>
          <w:b/>
          <w:bCs/>
          <w:color w:val="3A7C22" w:themeColor="accent6" w:themeShade="BF"/>
          <w:sz w:val="22"/>
          <w:szCs w:val="22"/>
          <w:rtl/>
        </w:rPr>
      </w:pPr>
    </w:p>
    <w:p w14:paraId="293099BF" w14:textId="3B634F29" w:rsidR="0076568E" w:rsidRDefault="0076568E" w:rsidP="0076568E">
      <w:pPr>
        <w:spacing w:line="480" w:lineRule="auto"/>
        <w:jc w:val="center"/>
        <w:rPr>
          <w:rFonts w:hint="cs"/>
          <w:b/>
          <w:bCs/>
          <w:color w:val="3A7C22" w:themeColor="accent6" w:themeShade="BF"/>
          <w:sz w:val="36"/>
          <w:szCs w:val="36"/>
          <w:rtl/>
        </w:rPr>
      </w:pPr>
      <w:r w:rsidRPr="00C40993">
        <w:rPr>
          <w:b/>
          <w:bCs/>
          <w:color w:val="3A7C22" w:themeColor="accent6" w:themeShade="BF"/>
          <w:sz w:val="36"/>
          <w:szCs w:val="36"/>
          <w:rtl/>
        </w:rPr>
        <w:lastRenderedPageBreak/>
        <w:t xml:space="preserve">الاستفادة من تقرير </w:t>
      </w: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>لجنة متابعة أعمال مزاولي الرقية الشرعية والطب الشعبي ومفسري الأحلام</w:t>
      </w:r>
      <w:r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في</w:t>
      </w:r>
      <w:r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5576B3BE" w14:textId="377F5BA8" w:rsidR="0076568E" w:rsidRPr="0076568E" w:rsidRDefault="0076568E" w:rsidP="0076568E">
      <w:pPr>
        <w:jc w:val="both"/>
        <w:rPr>
          <w:sz w:val="36"/>
          <w:szCs w:val="36"/>
        </w:rPr>
      </w:pPr>
      <w:r w:rsidRPr="0076568E">
        <w:rPr>
          <w:sz w:val="36"/>
          <w:szCs w:val="36"/>
          <w:rtl/>
        </w:rPr>
        <w:t xml:space="preserve">يوفر هذا التقرير العديد من الفوائد للجهات المعنية بمراقبة وتنظيم أعمال الرقية الشرعية، </w:t>
      </w:r>
      <w:r w:rsidRPr="0076568E">
        <w:rPr>
          <w:rFonts w:hint="cs"/>
          <w:sz w:val="36"/>
          <w:szCs w:val="36"/>
          <w:rtl/>
        </w:rPr>
        <w:t>والمعالجة</w:t>
      </w:r>
      <w:r w:rsidRPr="0076568E">
        <w:rPr>
          <w:sz w:val="36"/>
          <w:szCs w:val="36"/>
          <w:rtl/>
        </w:rPr>
        <w:t xml:space="preserve"> الشعبية، </w:t>
      </w:r>
      <w:r w:rsidRPr="0076568E">
        <w:rPr>
          <w:rFonts w:hint="cs"/>
          <w:sz w:val="36"/>
          <w:szCs w:val="36"/>
          <w:rtl/>
        </w:rPr>
        <w:t>وتفسير</w:t>
      </w:r>
      <w:r w:rsidRPr="0076568E">
        <w:rPr>
          <w:sz w:val="36"/>
          <w:szCs w:val="36"/>
          <w:rtl/>
        </w:rPr>
        <w:t xml:space="preserve"> الأحلام. من أهم هذه الفوائد</w:t>
      </w:r>
      <w:r w:rsidRPr="0076568E">
        <w:rPr>
          <w:sz w:val="36"/>
          <w:szCs w:val="36"/>
        </w:rPr>
        <w:t>:</w:t>
      </w:r>
    </w:p>
    <w:p w14:paraId="45DA6241" w14:textId="2703FBFA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تحسين الرقابة </w:t>
      </w:r>
      <w:proofErr w:type="gramStart"/>
      <w:r w:rsidRPr="0076568E">
        <w:rPr>
          <w:b/>
          <w:bCs/>
          <w:color w:val="215E99" w:themeColor="text2" w:themeTint="BF"/>
          <w:sz w:val="36"/>
          <w:szCs w:val="36"/>
          <w:rtl/>
        </w:rPr>
        <w:t>و تنظيم</w:t>
      </w:r>
      <w:proofErr w:type="gramEnd"/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القطاع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65F83678" w14:textId="1ADFF33A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تحديد المزاولين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تحديد جميع المزاولين لهذه الأنشطة بسهولة، </w:t>
      </w:r>
      <w:r w:rsidRPr="0076568E">
        <w:rPr>
          <w:rFonts w:hint="cs"/>
          <w:sz w:val="36"/>
          <w:szCs w:val="36"/>
          <w:rtl/>
        </w:rPr>
        <w:t>ومعرفة</w:t>
      </w:r>
      <w:r w:rsidRPr="0076568E">
        <w:rPr>
          <w:sz w:val="36"/>
          <w:szCs w:val="36"/>
          <w:rtl/>
        </w:rPr>
        <w:t xml:space="preserve"> معلوماتهم الشخصية </w:t>
      </w:r>
      <w:r w:rsidRPr="0076568E">
        <w:rPr>
          <w:rFonts w:hint="cs"/>
          <w:sz w:val="36"/>
          <w:szCs w:val="36"/>
          <w:rtl/>
        </w:rPr>
        <w:t>وتفاصيل</w:t>
      </w:r>
      <w:r w:rsidRPr="0076568E">
        <w:rPr>
          <w:sz w:val="36"/>
          <w:szCs w:val="36"/>
          <w:rtl/>
        </w:rPr>
        <w:t xml:space="preserve"> مزاولتهم</w:t>
      </w:r>
      <w:r w:rsidRPr="0076568E">
        <w:rPr>
          <w:sz w:val="36"/>
          <w:szCs w:val="36"/>
        </w:rPr>
        <w:t>.</w:t>
      </w:r>
    </w:p>
    <w:p w14:paraId="7E4E9825" w14:textId="77777777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كشف المخالفات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يمكن من خلال التقرير تحديد المزاولين الذين تم إيقافهم أو الذين يستمرون في المزاولة رغم الإيقاف، مما يساعد على اتخاذ الإجراءات اللازمة</w:t>
      </w:r>
      <w:r w:rsidRPr="0076568E">
        <w:rPr>
          <w:sz w:val="36"/>
          <w:szCs w:val="36"/>
        </w:rPr>
        <w:t>.</w:t>
      </w:r>
    </w:p>
    <w:p w14:paraId="282FBBA1" w14:textId="339B1906" w:rsidR="0076568E" w:rsidRPr="0076568E" w:rsidRDefault="0076568E" w:rsidP="0076568E">
      <w:pPr>
        <w:numPr>
          <w:ilvl w:val="0"/>
          <w:numId w:val="11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مراقبة النشاط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يوفر التقرير بيانات حول حالة المزاولين </w:t>
      </w:r>
      <w:r w:rsidRPr="0076568E">
        <w:rPr>
          <w:sz w:val="36"/>
          <w:szCs w:val="36"/>
        </w:rPr>
        <w:t>(</w:t>
      </w:r>
      <w:r w:rsidRPr="0076568E">
        <w:rPr>
          <w:sz w:val="36"/>
          <w:szCs w:val="36"/>
          <w:rtl/>
        </w:rPr>
        <w:t>مستمر، منقطع، موقوف</w:t>
      </w:r>
      <w:r w:rsidRPr="0076568E">
        <w:rPr>
          <w:sz w:val="36"/>
          <w:szCs w:val="36"/>
        </w:rPr>
        <w:t xml:space="preserve">) </w:t>
      </w:r>
      <w:r w:rsidRPr="0076568E">
        <w:rPr>
          <w:sz w:val="36"/>
          <w:szCs w:val="36"/>
          <w:rtl/>
        </w:rPr>
        <w:t xml:space="preserve">مما يساعد على مراقبة نشاطهم </w:t>
      </w:r>
      <w:r w:rsidRPr="0076568E">
        <w:rPr>
          <w:rFonts w:hint="cs"/>
          <w:sz w:val="36"/>
          <w:szCs w:val="36"/>
          <w:rtl/>
        </w:rPr>
        <w:t>وتقييم</w:t>
      </w:r>
      <w:r w:rsidRPr="0076568E">
        <w:rPr>
          <w:sz w:val="36"/>
          <w:szCs w:val="36"/>
          <w:rtl/>
        </w:rPr>
        <w:t xml:space="preserve"> التزامهم بالأنظمة</w:t>
      </w:r>
      <w:r w:rsidRPr="0076568E">
        <w:rPr>
          <w:sz w:val="36"/>
          <w:szCs w:val="36"/>
        </w:rPr>
        <w:t>.</w:t>
      </w:r>
    </w:p>
    <w:p w14:paraId="4A3DD073" w14:textId="7CAAE45F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t>دعم اتخاذ القرارات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4072B820" w14:textId="31EAB144" w:rsidR="0076568E" w:rsidRPr="0076568E" w:rsidRDefault="0076568E" w:rsidP="0076568E">
      <w:pPr>
        <w:numPr>
          <w:ilvl w:val="0"/>
          <w:numId w:val="12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توفير معلومات دقيقة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يقدم التقرير معلومات إحصائية دقيقة حول عدد المزاولين، </w:t>
      </w:r>
      <w:r w:rsidRPr="0076568E">
        <w:rPr>
          <w:rFonts w:hint="cs"/>
          <w:sz w:val="36"/>
          <w:szCs w:val="36"/>
          <w:rtl/>
        </w:rPr>
        <w:t>وتوزيعهم</w:t>
      </w:r>
      <w:r w:rsidRPr="0076568E">
        <w:rPr>
          <w:sz w:val="36"/>
          <w:szCs w:val="36"/>
          <w:rtl/>
        </w:rPr>
        <w:t xml:space="preserve"> حسب الجنس </w:t>
      </w:r>
      <w:r w:rsidRPr="0076568E">
        <w:rPr>
          <w:rFonts w:hint="cs"/>
          <w:sz w:val="36"/>
          <w:szCs w:val="36"/>
          <w:rtl/>
        </w:rPr>
        <w:t>والجنسية</w:t>
      </w:r>
      <w:r w:rsidRPr="0076568E">
        <w:rPr>
          <w:sz w:val="36"/>
          <w:szCs w:val="36"/>
          <w:rtl/>
        </w:rPr>
        <w:t xml:space="preserve">، </w:t>
      </w:r>
      <w:r w:rsidRPr="0076568E">
        <w:rPr>
          <w:rFonts w:hint="cs"/>
          <w:sz w:val="36"/>
          <w:szCs w:val="36"/>
          <w:rtl/>
        </w:rPr>
        <w:t>ونوع</w:t>
      </w:r>
      <w:r w:rsidRPr="0076568E">
        <w:rPr>
          <w:sz w:val="36"/>
          <w:szCs w:val="36"/>
          <w:rtl/>
        </w:rPr>
        <w:t xml:space="preserve"> النشاط، مما يساعد على اتخاذ القرارات المناسبة بشأن تنظيم القطاع</w:t>
      </w:r>
      <w:r w:rsidRPr="0076568E">
        <w:rPr>
          <w:sz w:val="36"/>
          <w:szCs w:val="36"/>
        </w:rPr>
        <w:t>.</w:t>
      </w:r>
    </w:p>
    <w:p w14:paraId="0C0E7021" w14:textId="7812D6F4" w:rsidR="0076568E" w:rsidRDefault="0076568E" w:rsidP="0076568E">
      <w:pPr>
        <w:numPr>
          <w:ilvl w:val="0"/>
          <w:numId w:val="12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تحليل البيانات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يمكن تحليل البيانات المتوفرة في التقرير لفهم الوضع الحالي للقطاع </w:t>
      </w:r>
      <w:r w:rsidRPr="0076568E">
        <w:rPr>
          <w:rFonts w:hint="cs"/>
          <w:sz w:val="36"/>
          <w:szCs w:val="36"/>
          <w:rtl/>
        </w:rPr>
        <w:t>وتحديد</w:t>
      </w:r>
      <w:r w:rsidRPr="0076568E">
        <w:rPr>
          <w:sz w:val="36"/>
          <w:szCs w:val="36"/>
          <w:rtl/>
        </w:rPr>
        <w:t xml:space="preserve"> الاتجاهات </w:t>
      </w:r>
      <w:r w:rsidRPr="0076568E">
        <w:rPr>
          <w:rFonts w:hint="cs"/>
          <w:sz w:val="36"/>
          <w:szCs w:val="36"/>
          <w:rtl/>
        </w:rPr>
        <w:t>والمشكلات</w:t>
      </w:r>
      <w:r w:rsidRPr="0076568E">
        <w:rPr>
          <w:sz w:val="36"/>
          <w:szCs w:val="36"/>
          <w:rtl/>
        </w:rPr>
        <w:t xml:space="preserve"> المحتملة</w:t>
      </w:r>
      <w:r w:rsidRPr="0076568E">
        <w:rPr>
          <w:sz w:val="36"/>
          <w:szCs w:val="36"/>
        </w:rPr>
        <w:t>.</w:t>
      </w:r>
    </w:p>
    <w:p w14:paraId="05FB9BB7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04AE31F3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1C38202D" w14:textId="77777777" w:rsidR="0076568E" w:rsidRDefault="0076568E" w:rsidP="0076568E">
      <w:pPr>
        <w:jc w:val="both"/>
        <w:rPr>
          <w:sz w:val="36"/>
          <w:szCs w:val="36"/>
          <w:rtl/>
        </w:rPr>
      </w:pPr>
    </w:p>
    <w:p w14:paraId="4D7CA8C3" w14:textId="77777777" w:rsidR="0076568E" w:rsidRPr="0076568E" w:rsidRDefault="0076568E" w:rsidP="0076568E">
      <w:pPr>
        <w:jc w:val="both"/>
        <w:rPr>
          <w:sz w:val="36"/>
          <w:szCs w:val="36"/>
        </w:rPr>
      </w:pPr>
    </w:p>
    <w:p w14:paraId="20F066ED" w14:textId="195BF79F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  <w:rtl/>
        </w:rPr>
        <w:lastRenderedPageBreak/>
        <w:t xml:space="preserve">تسهيل التواصل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والتنسيق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41A949C5" w14:textId="77777777" w:rsidR="0076568E" w:rsidRPr="0076568E" w:rsidRDefault="0076568E" w:rsidP="0076568E">
      <w:pPr>
        <w:numPr>
          <w:ilvl w:val="0"/>
          <w:numId w:val="13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معلومات الاتصال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>يتضمن التقرير معلومات الاتصال بالمزاولين، مما يسهل التواصل معهم عند الحاجة</w:t>
      </w:r>
      <w:r w:rsidRPr="0076568E">
        <w:rPr>
          <w:sz w:val="36"/>
          <w:szCs w:val="36"/>
        </w:rPr>
        <w:t>.</w:t>
      </w:r>
    </w:p>
    <w:p w14:paraId="167FE2D6" w14:textId="0E93964A" w:rsidR="0076568E" w:rsidRPr="0076568E" w:rsidRDefault="0076568E" w:rsidP="0076568E">
      <w:pPr>
        <w:numPr>
          <w:ilvl w:val="0"/>
          <w:numId w:val="13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بيانات الجهات المعنيّة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يوفر التقرير معلومات حول الجهات المعنيّة بإعداد المحاضر </w:t>
      </w:r>
      <w:r w:rsidRPr="0076568E">
        <w:rPr>
          <w:rFonts w:hint="cs"/>
          <w:sz w:val="36"/>
          <w:szCs w:val="36"/>
          <w:rtl/>
        </w:rPr>
        <w:t>وأعضاء</w:t>
      </w:r>
      <w:r w:rsidRPr="0076568E">
        <w:rPr>
          <w:sz w:val="36"/>
          <w:szCs w:val="36"/>
          <w:rtl/>
        </w:rPr>
        <w:t xml:space="preserve"> اللجنة، مما يسهل التنسيق بين الجهات المختلفة</w:t>
      </w:r>
      <w:r w:rsidRPr="0076568E">
        <w:rPr>
          <w:sz w:val="36"/>
          <w:szCs w:val="36"/>
        </w:rPr>
        <w:t>.</w:t>
      </w:r>
    </w:p>
    <w:p w14:paraId="432DDE2B" w14:textId="7D85E367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color w:val="215E99" w:themeColor="text2" w:themeTint="BF"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تعزيز الشفافية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والمساءلة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51B0FAD3" w14:textId="77548896" w:rsidR="0076568E" w:rsidRPr="0076568E" w:rsidRDefault="0076568E" w:rsidP="0076568E">
      <w:pPr>
        <w:numPr>
          <w:ilvl w:val="0"/>
          <w:numId w:val="14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الوصول إلى المعلومات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يتيح التقرير الوصول إلى معلومات مهمة حول المزاولين </w:t>
      </w:r>
      <w:r w:rsidRPr="0076568E">
        <w:rPr>
          <w:rFonts w:hint="cs"/>
          <w:sz w:val="36"/>
          <w:szCs w:val="36"/>
          <w:rtl/>
        </w:rPr>
        <w:t>ونشاطهم</w:t>
      </w:r>
      <w:r w:rsidRPr="0076568E">
        <w:rPr>
          <w:sz w:val="36"/>
          <w:szCs w:val="36"/>
          <w:rtl/>
        </w:rPr>
        <w:t xml:space="preserve">، مما يعزز الشفافية </w:t>
      </w:r>
      <w:r w:rsidRPr="0076568E">
        <w:rPr>
          <w:rFonts w:hint="cs"/>
          <w:sz w:val="36"/>
          <w:szCs w:val="36"/>
          <w:rtl/>
        </w:rPr>
        <w:t>والمساءلة</w:t>
      </w:r>
      <w:r w:rsidRPr="0076568E">
        <w:rPr>
          <w:sz w:val="36"/>
          <w:szCs w:val="36"/>
        </w:rPr>
        <w:t>.</w:t>
      </w:r>
    </w:p>
    <w:p w14:paraId="0D935D60" w14:textId="7DC1A869" w:rsidR="0076568E" w:rsidRPr="0076568E" w:rsidRDefault="0076568E" w:rsidP="0076568E">
      <w:pPr>
        <w:numPr>
          <w:ilvl w:val="0"/>
          <w:numId w:val="14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توثيق المخالفات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توثيق المخالفات </w:t>
      </w:r>
      <w:r w:rsidRPr="0076568E">
        <w:rPr>
          <w:rFonts w:hint="cs"/>
          <w:sz w:val="36"/>
          <w:szCs w:val="36"/>
          <w:rtl/>
        </w:rPr>
        <w:t>والإجراءات</w:t>
      </w:r>
      <w:r w:rsidRPr="0076568E">
        <w:rPr>
          <w:sz w:val="36"/>
          <w:szCs w:val="36"/>
          <w:rtl/>
        </w:rPr>
        <w:t xml:space="preserve"> المتخذة بحق المزاولين غير الملتزمين</w:t>
      </w:r>
      <w:r w:rsidRPr="0076568E">
        <w:rPr>
          <w:sz w:val="36"/>
          <w:szCs w:val="36"/>
        </w:rPr>
        <w:t>.</w:t>
      </w:r>
    </w:p>
    <w:p w14:paraId="6971F4DA" w14:textId="536B8CED" w:rsidR="0076568E" w:rsidRPr="0076568E" w:rsidRDefault="0076568E" w:rsidP="0076568E">
      <w:pPr>
        <w:pStyle w:val="a6"/>
        <w:numPr>
          <w:ilvl w:val="0"/>
          <w:numId w:val="16"/>
        </w:numPr>
        <w:jc w:val="both"/>
        <w:rPr>
          <w:color w:val="215E99" w:themeColor="text2" w:themeTint="BF"/>
          <w:sz w:val="36"/>
          <w:szCs w:val="36"/>
        </w:rPr>
      </w:pPr>
      <w:r w:rsidRPr="0076568E">
        <w:rPr>
          <w:b/>
          <w:bCs/>
          <w:sz w:val="36"/>
          <w:szCs w:val="36"/>
        </w:rPr>
        <w:t xml:space="preserve"> 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تحسين خدمات الرقية </w:t>
      </w:r>
      <w:r w:rsidRPr="0076568E">
        <w:rPr>
          <w:rFonts w:hint="cs"/>
          <w:b/>
          <w:bCs/>
          <w:color w:val="215E99" w:themeColor="text2" w:themeTint="BF"/>
          <w:sz w:val="36"/>
          <w:szCs w:val="36"/>
          <w:rtl/>
        </w:rPr>
        <w:t>والمعالجة</w:t>
      </w:r>
      <w:r w:rsidRPr="0076568E">
        <w:rPr>
          <w:b/>
          <w:bCs/>
          <w:color w:val="215E99" w:themeColor="text2" w:themeTint="BF"/>
          <w:sz w:val="36"/>
          <w:szCs w:val="36"/>
          <w:rtl/>
        </w:rPr>
        <w:t xml:space="preserve"> الشعبية</w:t>
      </w:r>
      <w:r w:rsidRPr="0076568E">
        <w:rPr>
          <w:b/>
          <w:bCs/>
          <w:color w:val="215E99" w:themeColor="text2" w:themeTint="BF"/>
          <w:sz w:val="36"/>
          <w:szCs w:val="36"/>
        </w:rPr>
        <w:t>:</w:t>
      </w:r>
    </w:p>
    <w:p w14:paraId="53CB4C40" w14:textId="0CD48E73" w:rsidR="0076568E" w:rsidRPr="0076568E" w:rsidRDefault="0076568E" w:rsidP="0076568E">
      <w:pPr>
        <w:numPr>
          <w:ilvl w:val="0"/>
          <w:numId w:val="15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تقييم الأداء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يمكن استخدام التقرير لتقييم أداء المزاولين </w:t>
      </w:r>
      <w:r w:rsidRPr="0076568E">
        <w:rPr>
          <w:rFonts w:hint="cs"/>
          <w:sz w:val="36"/>
          <w:szCs w:val="36"/>
          <w:rtl/>
        </w:rPr>
        <w:t>وتحديد</w:t>
      </w:r>
      <w:r w:rsidRPr="0076568E">
        <w:rPr>
          <w:sz w:val="36"/>
          <w:szCs w:val="36"/>
          <w:rtl/>
        </w:rPr>
        <w:t xml:space="preserve"> نقاط القوة </w:t>
      </w:r>
      <w:r w:rsidRPr="0076568E">
        <w:rPr>
          <w:rFonts w:hint="cs"/>
          <w:sz w:val="36"/>
          <w:szCs w:val="36"/>
          <w:rtl/>
        </w:rPr>
        <w:t>والضعف</w:t>
      </w:r>
      <w:r w:rsidRPr="0076568E">
        <w:rPr>
          <w:sz w:val="36"/>
          <w:szCs w:val="36"/>
          <w:rtl/>
        </w:rPr>
        <w:t xml:space="preserve"> في القطاع</w:t>
      </w:r>
      <w:r w:rsidRPr="0076568E">
        <w:rPr>
          <w:sz w:val="36"/>
          <w:szCs w:val="36"/>
        </w:rPr>
        <w:t>.</w:t>
      </w:r>
    </w:p>
    <w:p w14:paraId="39391329" w14:textId="66939774" w:rsidR="0076568E" w:rsidRPr="0076568E" w:rsidRDefault="0076568E" w:rsidP="0076568E">
      <w:pPr>
        <w:numPr>
          <w:ilvl w:val="0"/>
          <w:numId w:val="15"/>
        </w:numPr>
        <w:jc w:val="both"/>
        <w:rPr>
          <w:sz w:val="36"/>
          <w:szCs w:val="36"/>
        </w:rPr>
      </w:pPr>
      <w:r w:rsidRPr="0076568E">
        <w:rPr>
          <w:b/>
          <w:bCs/>
          <w:sz w:val="36"/>
          <w:szCs w:val="36"/>
          <w:rtl/>
        </w:rPr>
        <w:t>تطوير الخدمات</w:t>
      </w:r>
      <w:r w:rsidRPr="0076568E">
        <w:rPr>
          <w:b/>
          <w:bCs/>
          <w:sz w:val="36"/>
          <w:szCs w:val="36"/>
        </w:rPr>
        <w:t>:</w:t>
      </w:r>
      <w:r w:rsidRPr="0076568E">
        <w:rPr>
          <w:sz w:val="36"/>
          <w:szCs w:val="36"/>
        </w:rPr>
        <w:t xml:space="preserve"> </w:t>
      </w:r>
      <w:r w:rsidRPr="0076568E">
        <w:rPr>
          <w:sz w:val="36"/>
          <w:szCs w:val="36"/>
          <w:rtl/>
        </w:rPr>
        <w:t xml:space="preserve">يساعد التقرير على تحديد احتياجات القطاع </w:t>
      </w:r>
      <w:r w:rsidRPr="0076568E">
        <w:rPr>
          <w:rFonts w:hint="cs"/>
          <w:sz w:val="36"/>
          <w:szCs w:val="36"/>
          <w:rtl/>
        </w:rPr>
        <w:t>وتطوير</w:t>
      </w:r>
      <w:r w:rsidRPr="0076568E">
        <w:rPr>
          <w:sz w:val="36"/>
          <w:szCs w:val="36"/>
          <w:rtl/>
        </w:rPr>
        <w:t xml:space="preserve"> الخدمات المقدمة للمواطنين</w:t>
      </w:r>
      <w:r w:rsidRPr="0076568E">
        <w:rPr>
          <w:sz w:val="36"/>
          <w:szCs w:val="36"/>
        </w:rPr>
        <w:t>.</w:t>
      </w:r>
    </w:p>
    <w:p w14:paraId="5DA0D28D" w14:textId="2BF2D14E" w:rsidR="0076568E" w:rsidRPr="0076568E" w:rsidRDefault="0076568E" w:rsidP="0076568E">
      <w:pPr>
        <w:jc w:val="both"/>
        <w:rPr>
          <w:sz w:val="36"/>
          <w:szCs w:val="36"/>
        </w:rPr>
      </w:pP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باختصار، يساهم هذا التقرير في تحسين تنظيم قطاع الرقية الشرعية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والمعالجة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الشعبية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وتفسير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الأحلام، </w:t>
      </w:r>
      <w:r w:rsidRPr="0076568E">
        <w:rPr>
          <w:rFonts w:hint="cs"/>
          <w:b/>
          <w:bCs/>
          <w:color w:val="3A7C22" w:themeColor="accent6" w:themeShade="BF"/>
          <w:sz w:val="36"/>
          <w:szCs w:val="36"/>
          <w:rtl/>
        </w:rPr>
        <w:t>وضمان</w:t>
      </w:r>
      <w:r w:rsidRPr="0076568E">
        <w:rPr>
          <w:b/>
          <w:bCs/>
          <w:color w:val="3A7C22" w:themeColor="accent6" w:themeShade="BF"/>
          <w:sz w:val="36"/>
          <w:szCs w:val="36"/>
          <w:rtl/>
        </w:rPr>
        <w:t xml:space="preserve"> تقديم خدمات أفضل للمواطنين</w:t>
      </w:r>
      <w:r w:rsidRPr="0076568E">
        <w:rPr>
          <w:sz w:val="36"/>
          <w:szCs w:val="36"/>
        </w:rPr>
        <w:t>.</w:t>
      </w:r>
    </w:p>
    <w:p w14:paraId="56720902" w14:textId="77777777" w:rsidR="0076568E" w:rsidRPr="0076568E" w:rsidRDefault="0076568E" w:rsidP="0076568E">
      <w:pPr>
        <w:jc w:val="both"/>
        <w:rPr>
          <w:rFonts w:hint="cs"/>
          <w:sz w:val="36"/>
          <w:szCs w:val="36"/>
        </w:rPr>
      </w:pPr>
    </w:p>
    <w:sectPr w:rsidR="0076568E" w:rsidRPr="0076568E" w:rsidSect="0076568E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4519" w14:textId="77777777" w:rsidR="00083363" w:rsidRDefault="00083363" w:rsidP="00786A34">
      <w:pPr>
        <w:spacing w:after="0" w:line="240" w:lineRule="auto"/>
      </w:pPr>
      <w:r>
        <w:separator/>
      </w:r>
    </w:p>
  </w:endnote>
  <w:endnote w:type="continuationSeparator" w:id="0">
    <w:p w14:paraId="3A1B5741" w14:textId="77777777" w:rsidR="00083363" w:rsidRDefault="00083363" w:rsidP="007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80B1" w14:textId="77777777" w:rsidR="00083363" w:rsidRDefault="00083363" w:rsidP="00786A34">
      <w:pPr>
        <w:spacing w:after="0" w:line="240" w:lineRule="auto"/>
      </w:pPr>
      <w:r>
        <w:separator/>
      </w:r>
    </w:p>
  </w:footnote>
  <w:footnote w:type="continuationSeparator" w:id="0">
    <w:p w14:paraId="034A7895" w14:textId="77777777" w:rsidR="00083363" w:rsidRDefault="00083363" w:rsidP="007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355F" w14:textId="6E054A3F" w:rsidR="00786A34" w:rsidRDefault="00786A34">
    <w:pPr>
      <w:pStyle w:val="aa"/>
    </w:pPr>
    <w:r>
      <w:rPr>
        <w:noProof/>
      </w:rPr>
      <w:drawing>
        <wp:inline distT="0" distB="0" distL="0" distR="0" wp14:anchorId="5BFE4381" wp14:editId="44708601">
          <wp:extent cx="1401288" cy="1401288"/>
          <wp:effectExtent l="0" t="0" r="0" b="0"/>
          <wp:docPr id="1" name="رسم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رسم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340" cy="1405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5EF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096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67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1DB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0E6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6D7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84F95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2665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714"/>
    <w:multiLevelType w:val="hybridMultilevel"/>
    <w:tmpl w:val="ACC0EC06"/>
    <w:lvl w:ilvl="0" w:tplc="48FAFEA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2C9C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D2599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63DAA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475A0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76E24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51B7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2113D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891581">
    <w:abstractNumId w:val="5"/>
  </w:num>
  <w:num w:numId="2" w16cid:durableId="257297080">
    <w:abstractNumId w:val="9"/>
  </w:num>
  <w:num w:numId="3" w16cid:durableId="347877548">
    <w:abstractNumId w:val="10"/>
  </w:num>
  <w:num w:numId="4" w16cid:durableId="695082500">
    <w:abstractNumId w:val="14"/>
  </w:num>
  <w:num w:numId="5" w16cid:durableId="876088910">
    <w:abstractNumId w:val="7"/>
  </w:num>
  <w:num w:numId="6" w16cid:durableId="1854689532">
    <w:abstractNumId w:val="11"/>
  </w:num>
  <w:num w:numId="7" w16cid:durableId="315691573">
    <w:abstractNumId w:val="0"/>
  </w:num>
  <w:num w:numId="8" w16cid:durableId="1092356475">
    <w:abstractNumId w:val="6"/>
  </w:num>
  <w:num w:numId="9" w16cid:durableId="457455036">
    <w:abstractNumId w:val="13"/>
  </w:num>
  <w:num w:numId="10" w16cid:durableId="1139344141">
    <w:abstractNumId w:val="1"/>
  </w:num>
  <w:num w:numId="11" w16cid:durableId="2129739257">
    <w:abstractNumId w:val="15"/>
  </w:num>
  <w:num w:numId="12" w16cid:durableId="700057025">
    <w:abstractNumId w:val="4"/>
  </w:num>
  <w:num w:numId="13" w16cid:durableId="1283227450">
    <w:abstractNumId w:val="12"/>
  </w:num>
  <w:num w:numId="14" w16cid:durableId="1077938450">
    <w:abstractNumId w:val="2"/>
  </w:num>
  <w:num w:numId="15" w16cid:durableId="1382973287">
    <w:abstractNumId w:val="3"/>
  </w:num>
  <w:num w:numId="16" w16cid:durableId="1406607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34"/>
    <w:rsid w:val="00083363"/>
    <w:rsid w:val="00314593"/>
    <w:rsid w:val="0076568E"/>
    <w:rsid w:val="00786A34"/>
    <w:rsid w:val="00D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2C3E1"/>
  <w15:chartTrackingRefBased/>
  <w15:docId w15:val="{2F1055AB-C1E3-405C-96BC-E08BDE2C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8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6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6A3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6A3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6A3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6A3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6A3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6A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6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6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6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6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6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6A3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6A34"/>
  </w:style>
  <w:style w:type="paragraph" w:styleId="ab">
    <w:name w:val="footer"/>
    <w:basedOn w:val="a"/>
    <w:link w:val="Char4"/>
    <w:uiPriority w:val="99"/>
    <w:unhideWhenUsed/>
    <w:rsid w:val="0078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عاصم سعيد سعد المالكي</dc:creator>
  <cp:keywords/>
  <dc:description/>
  <cp:lastModifiedBy>عاصم سعيد سعد المالكي</cp:lastModifiedBy>
  <cp:revision>1</cp:revision>
  <cp:lastPrinted>2024-11-05T11:13:00Z</cp:lastPrinted>
  <dcterms:created xsi:type="dcterms:W3CDTF">2024-11-05T10:53:00Z</dcterms:created>
  <dcterms:modified xsi:type="dcterms:W3CDTF">2024-11-05T11:14:00Z</dcterms:modified>
</cp:coreProperties>
</file>