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t>Deep Learning-Based Analysis of Indonesian Economic Indicators for Rupiah Exchange Rate Prediction</w:t>
      </w:r>
    </w:p>
    <w:p>
      <w:pPr>
        <w:pStyle w:val="Author"/>
      </w:pPr>
      <w:r>
        <w:t>[Author Name]</w:t>
      </w:r>
    </w:p>
    <w:p>
      <w:pPr>
        <w:pStyle w:val="Member"/>
      </w:pPr>
      <w:r>
        <w:t>Nusa Putra University, Sukabumi, West Java (Indonesia)</w:t>
      </w:r>
    </w:p>
    <w:p/>
    <w:p>
      <w:pPr/>
      <w:r>
        <w:rPr>
          <w:b/>
          <w:i/>
        </w:rPr>
        <w:t>Abstract—</w:t>
      </w:r>
      <w:r>
        <w:t>The Indonesian Rupiah (IDR) exchange rate against the United States Dollar (USD) is a critical barometer of macroeconomic stability in one of Southeast Asia's largest emerging economies. Accurate forecasting of the USD/IDR rate is essential for monetary policymakers, corporate risk managers, and institutional investors. This study develops a comprehensive Business Intelligence and Financial Analytics framework that integrates nine major macroeconomic and financial market indicators —including the Jakarta Composite Index (IHSG), crude oil, gold, major global equity indices (Nasdaq, S&amp;P 500, Dow Jones), and Bitcoin—to predict the USD/IDR exchange rate using four state-of-the-art deep learning architectures: Long Short-Term Memory (LSTM), Bidirectional LSTM (BiLSTM), Gated Recurrent Unit (GRU), and Convolutional LSTM (CNN-LSTM). A complete automated data pipeline retrieves historical daily data from 2015 to 2026 via Yahoo Finance APIs, performs rigorous feature engineering including technical indicators (RSI, MACD, Bollinger Bands), lag features, and rolling statistics, and preprocesses the resulting multivariate time series into overlapping 30-day input sequences. Experimental results demonstrate that the BiLSTM architecture achieves the lowest Root Mean Square Error (RMSE) of 87.4 IDR points and a Mean Absolute Percentage Error (MAPE) of 0.53% on the held-out chronological test period, outperforming the GRU, standard LSTM, CNN-LSTM, and XGBoost baselines. Correlation and feature importance analyses reveal that the IHSG, S&amp;P 500, and Brent Oil are the most dominant exogenous drivers of Rupiah valuation, with gold serving as a significant safe-haven hedge signal. These findings provide a reproducible, end-to-end Business Intelligence pipeline that advances macroeconomic forecasting methodology for Indonesian emerging market applications.</w:t>
      </w:r>
    </w:p>
    <w:p>
      <w:pPr/>
      <w:r>
        <w:rPr>
          <w:b/>
          <w:i/>
        </w:rPr>
        <w:t>Keywords—</w:t>
      </w:r>
      <w:r>
        <w:t>Bidirectional LSTM; Business Intelligence; Deep Learning; Exchange Rate Forecasting; Feature Engineering; Financial Analytics; GRU; Indonesian Rupiah; Macroeconomic Indicators; Time Series Prediction.</w:t>
      </w:r>
    </w:p>
    <w:p/>
    <w:p>
      <w:pPr>
        <w:pStyle w:val="Ttulo1"/>
      </w:pPr>
      <w:r>
        <w:t>Introduction</w:t>
      </w:r>
    </w:p>
    <w:p>
      <w:pPr/>
      <w:r>
        <w:rPr>
          <w:b w:val="0"/>
          <w:i w:val="0"/>
        </w:rPr>
        <w:t>The Indonesian Rupiah (IDR), the official currency of the world's fourth most populous nation and the largest economy in Southeast Asia, occupies a central position in regional financial stability assessments. The USD/IDR exchange rate is not merely a bilateral price signal; it encapsulates the collective expectation of global investors regarding Indonesia's inflation trajectory, balance of payments dynamics, commodity export revenues, and monetary policy credibility. Episodes of Rupiah depreciation have historically coincided with elevated imported inflation, capital outflows from the Indonesia Stock Exchange (IDX), and contractionary pressures on import-dependent manufacturing sectors. Conversely, periods of Rupiah appreciation have facilitated debt servicing cost reductions for the substantial volume of sovereign and corporate foreign-currency-denominated obligations in the Indonesian economy [1].</w:t>
      </w:r>
    </w:p>
    <w:p>
      <w:pPr/>
      <w:r>
        <w:rPr>
          <w:b w:val="0"/>
          <w:i w:val="0"/>
        </w:rPr>
        <w:t>Despite its macroeconomic significance, the USD/IDR exchange rate presents formidable forecasting challenges. The Rupiah exhibits non-linear, non-stationary dynamics driven by a heterogeneous combination of domestic fundamentals—including Bank Indonesia interest rate decisions, inflation data released by the Central Statistics Agency (BPS), and trade balance figures—and global exogenous shocks, such as U.S. Federal Reserve monetary policy shifts, crude oil price volatility, gold price movements as a safe-haven indicator, and correlated movements across major equity indices including the S&amp;P 500, Nasdaq, and Dow Jones Industrial Average. Traditional econometric models, including Autoregressive Integrated Moving Average (ARIMA) and Vector Autoregression (VAR) frameworks, impose linearity and stationarity assumptions that are systematically violated by high-frequency financial exchange rate data, limiting their practical forecasting utility [2].</w:t>
      </w:r>
    </w:p>
    <w:p>
      <w:pPr/>
      <w:r>
        <w:rPr>
          <w:b w:val="0"/>
          <w:i w:val="0"/>
        </w:rPr>
        <w:t>The emergence of deep learning architectures, particularly Recurrent Neural Networks (RNNs) and their advanced variants, has fundamentally transformed the landscape of financial time-series forecasting. Long Short-Term Memory (LSTM) networks [3], Gated Recurrent Units (GRU) [4], and their bidirectional and convolutional hybrid extensions have demonstrated superior capacity to capture long-range temporal dependencies and non-linear inter-variable interactions in multivariate macroeconomic data. When applied to exchange rate forecasting in emerging markets, these architectures must contend with the additional complexity of regime changes driven by geopolitical events, central bank interventions, and global commodity price shocks—all of which are directly relevant to the Indonesian economic context over the 2015–2026 study period [5].</w:t>
      </w:r>
    </w:p>
    <w:p>
      <w:pPr/>
      <w:r>
        <w:rPr>
          <w:b w:val="0"/>
          <w:i w:val="0"/>
        </w:rPr>
        <w:t>This study makes four specific contributions to the existing literature. First, it constructs a comprehensive multivariate dataset comprising nine financial and macroeconomic time series spanning over a decade of daily observations (2015–2026), retrieved entirely through automated public API calls, ensuring full reproducibility. Second, it implements and benchmarks four distinct deep learning architectures—LSTM, BiLSTM, GRU, and CNN-LSTM—within a unified experimental framework, enabling rigorous comparative analysis. Third, it provides an extensive feature engineering pipeline incorporating seventeen technical indicators and lag features specifically adapted for the USD/IDR forecasting task. Fourth, it derives Business Intelligence insights from the trained models, identifying the most influential macroeconomic drivers of Rupiah valuation and quantifying their relative predictive contribution through feature importance analysis. The remainder of this paper is organized as follows. Section II reviews related work in exchange rate forecasting and deep learning for financial time series. Section III describes the dataset, feature engineering, and model architectures. Section IV presents experimental results and comparative evaluation. Section V discusses the findings. Section VI concludes with directions for future research.</w:t>
      </w:r>
    </w:p>
    <w:p>
      <w:pPr>
        <w:pStyle w:val="Ttulo1"/>
      </w:pPr>
      <w:r>
        <w:t>Related Work</w:t>
      </w:r>
    </w:p>
    <w:p>
      <w:pPr>
        <w:pStyle w:val="Ttulo2"/>
      </w:pPr>
      <w:r>
        <w:t>Exchange Rate Forecasting with Econometric and Machine Learning Models</w:t>
      </w:r>
    </w:p>
    <w:p>
      <w:pPr/>
      <w:r>
        <w:rPr>
          <w:b w:val="0"/>
          <w:i w:val="0"/>
        </w:rPr>
        <w:t>The empirical literature on exchange rate forecasting spans more than three decades and encompasses a spectrum of methodological approaches. Meese and Rogoff [6] established the seminal finding that structural macroeconomic models fail to outperform the naïve random walk benchmark for short-horizon exchange rate prediction, a result that has motivated the search for alternative modeling paradigms. Among statistical approaches, ARIMA and GARCH-family models have been widely applied to capture conditional heteroscedasticity in foreign exchange return series, but their linear structure limits their ability to incorporate multivariate macroeconomic predictors in a flexible manner [7]. Machine learning methods, particularly Support Vector Regression (SVR) and Random Forests, have demonstrated improved out-of-sample performance over linear baselines by relaxing functional form assumptions, but their capacity to model sequential temporal dependencies remains constrained relative to recurrent architectures [8].</w:t>
      </w:r>
    </w:p>
    <w:p>
      <w:pPr/>
      <w:r>
        <w:rPr>
          <w:b w:val="0"/>
          <w:i w:val="0"/>
        </w:rPr>
        <w:t>In the Indonesian context, several studies have applied traditional forecasting methods to USD/IDR prediction. Siahaan et al. [9] applied ARIMA to monthly USD/IDR data, achieving reasonable in-sample fit but limited out-of-sample accuracy during structural break periods. Rahardja and Manurung [10] demonstrated the influence of domestic macroeconomic fundamentals —particularly the current account deficit and inflation differentials— on Rupiah equilibrium valuation, establishing a theoretical foundation for multivariate modeling. However, neither study incorporated global equity market dynamics or commodity prices, nor applied the deep learning architectures evaluated in the present work.</w:t>
      </w:r>
    </w:p>
    <w:p>
      <w:pPr>
        <w:pStyle w:val="Ttulo2"/>
      </w:pPr>
      <w:r>
        <w:t>Deep Learning for Financial Time Series</w:t>
      </w:r>
    </w:p>
    <w:p>
      <w:pPr/>
      <w:r>
        <w:rPr>
          <w:b w:val="0"/>
          <w:i w:val="0"/>
        </w:rPr>
        <w:t>The application of LSTM networks to financial time series forecasting has generated a substantial body of empirical evidence. Fischer and Krauss [11] demonstrated that LSTM networks significantly outperform linear discriminant analysis, logistic regression, and random forests on equity market prediction tasks using the S&amp;P 500 constituent universe. Siami-Namini et al. [12] conducted a systematic comparison of ARIMA and LSTM on multiple financial time series and reported consistent LSTM superiority, particularly on non-stationary series with complex autocorrelation structures. The Bidirectional LSTM extension, which processes sequences in both forward and backward directions, has been shown to improve prediction accuracy on tasks where future context provides relevant information for interpreting past patterns, as demonstrated by Graves et al. [13] in sequence labeling tasks. The CNN-LSTM hybrid, which applies convolutional filters for local pattern extraction before recurrent modeling of the temporal sequence, has proven effective for multivariate financial time series where short-window patterns carry predictive content [14].</w:t>
      </w:r>
    </w:p>
    <w:p>
      <w:pPr>
        <w:pStyle w:val="Ttulo2"/>
      </w:pPr>
      <w:r>
        <w:t>Multivariate Indicators and Emerging Market Exchange Rates</w:t>
      </w:r>
    </w:p>
    <w:p>
      <w:pPr/>
      <w:r>
        <w:rPr>
          <w:b w:val="0"/>
          <w:i w:val="0"/>
        </w:rPr>
        <w:t>The theoretical motivation for multivariate exchange rate modeling draws on the uncovered interest rate parity framework, purchasing power parity theory, and portfolio balance models, all of which posit relationships between exchange rates and broader macroeconomic and financial variables [1]. Empirical support for the role of commodity prices—particularly crude oil and gold—in emerging market currency dynamics has been established by Ghosh [15], who demonstrated that oil price shocks transmit to currency values through trade balance and terms-of-trade channels. The documented correlation between major U.S. equity indices and emerging market risk appetite creates a further channel through which S&amp;P 500, Nasdaq, and Dow Jones movements affect capital flows into Indonesia, thereby influencing Rupiah valuation [5]. Despite these well-established theoretical linkages, no prior published work has simultaneously integrated all nine indicator classes examined in this study within a deep learning forecasting framework for the USD/IDR exchange rate.</w:t>
      </w:r>
    </w:p>
    <w:p>
      <w:pPr>
        <w:pStyle w:val="Ttulo1"/>
      </w:pPr>
      <w:r>
        <w:t>Methods</w:t>
      </w:r>
    </w:p>
    <w:p>
      <w:pPr>
        <w:pStyle w:val="Ttulo2"/>
      </w:pPr>
      <w:r>
        <w:t>Data Collection and Dataset Construction</w:t>
      </w:r>
    </w:p>
    <w:p>
      <w:pPr/>
      <w:r>
        <w:rPr>
          <w:b w:val="0"/>
          <w:i w:val="0"/>
        </w:rPr>
        <w:t>The empirical dataset is constructed through a fully automated pipeline that retrieves daily financial and macroeconomic data from publicly accessible API sources, ensuring complete reproducibility without proprietary data subscriptions. The temporal coverage spans January 1, 2015 to May 28, 2026, encompassing major macroeconomic episodes including the 2015 global commodity price collapse, the 2018 emerging market currency crisis, the COVID-19 pandemic shock of 2020, the post-pandemic inflationary surge of 2021–2022, and the subsequent global monetary tightening cycle that produced pronounced Rupiah depreciation in 2023–2025.</w:t>
      </w:r>
    </w:p>
    <w:p>
      <w:pPr/>
      <w:r>
        <w:rPr>
          <w:b w:val="0"/>
          <w:i w:val="0"/>
        </w:rPr>
        <w:t>Nine financial time series are retrieved from Yahoo Finance via the yfinance Python library. The target variable, the USD/IDR spot exchange rate, is obtained using the USDIDR=X ticker. The Jakarta Composite Index (IHSG) is retrieved via the ^JKSE ticker as the primary domestic equity market indicator. Global equity market conditions are captured through the Nasdaq Composite (^IXIC), S&amp;P 500 (^GSPC), and Dow Jones Industrial Average (^DJI). Commodity market dynamics are represented by COMEX Gold (GC=F), NYMEX Crude Oil (CL=F), and ICE Brent Crude (BZ=F). The Bitcoin price (BTC-USD) is included as a digital asset risk indicator that has exhibited increasing correlation with emerging market risk appetite in recent years. All series are extracted at daily closing price frequency. A retry mechanism with up to three attempts per ticker and a two-second inter-request delay is implemented to handle transient API failures. Table I summarizes the dataset characteristics.</w:t>
      </w:r>
    </w:p>
    <w:p>
      <w:pPr>
        <w:pStyle w:val="TableTitle"/>
        <w:jc w:val="center"/>
      </w:pPr>
      <w:r>
        <w:t>TABLE I. Dataset Variable Summary (2015–2026, Daily Frequency)</w:t>
      </w:r>
    </w:p>
    <w:tbl>
      <w:tblPr>
        <w:tblW w:type="auto" w:w="0"/>
        <w:jc w:val="center"/>
        <w:tblLook w:firstColumn="1" w:firstRow="1" w:lastColumn="0" w:lastRow="0" w:noHBand="0" w:noVBand="1" w:val="04A0"/>
      </w:tblPr>
      <w:tblGrid>
        <w:gridCol w:w="2592"/>
        <w:gridCol w:w="2592"/>
        <w:gridCol w:w="2592"/>
        <w:gridCol w:w="2592"/>
      </w:tblGrid>
      <w:tr>
        <w:tc>
          <w:tcPr>
            <w:tcW w:type="dxa" w:w="2592"/>
            <w:shd w:val="clear" w:color="auto" w:fill="D9D9D9"/>
          </w:tcPr>
          <w:p>
            <w:pPr>
              <w:jc w:val="center"/>
            </w:pPr>
            <w:r>
              <w:rPr>
                <w:b/>
              </w:rPr>
              <w:t>Ticker</w:t>
            </w:r>
          </w:p>
        </w:tc>
        <w:tc>
          <w:tcPr>
            <w:tcW w:type="dxa" w:w="2592"/>
            <w:shd w:val="clear" w:color="auto" w:fill="D9D9D9"/>
          </w:tcPr>
          <w:p>
            <w:pPr>
              <w:jc w:val="center"/>
            </w:pPr>
            <w:r>
              <w:rPr>
                <w:b/>
              </w:rPr>
              <w:t>Variable Name</w:t>
            </w:r>
          </w:p>
        </w:tc>
        <w:tc>
          <w:tcPr>
            <w:tcW w:type="dxa" w:w="2592"/>
            <w:shd w:val="clear" w:color="auto" w:fill="D9D9D9"/>
          </w:tcPr>
          <w:p>
            <w:pPr>
              <w:jc w:val="center"/>
            </w:pPr>
            <w:r>
              <w:rPr>
                <w:b/>
              </w:rPr>
              <w:t>Source</w:t>
            </w:r>
          </w:p>
        </w:tc>
        <w:tc>
          <w:tcPr>
            <w:tcW w:type="dxa" w:w="2592"/>
            <w:shd w:val="clear" w:color="auto" w:fill="D9D9D9"/>
          </w:tcPr>
          <w:p>
            <w:pPr>
              <w:jc w:val="center"/>
            </w:pPr>
            <w:r>
              <w:rPr>
                <w:b/>
              </w:rPr>
              <w:t>Description</w:t>
            </w:r>
          </w:p>
        </w:tc>
      </w:tr>
      <w:tr>
        <w:tc>
          <w:tcPr>
            <w:tcW w:type="dxa" w:w="2592"/>
          </w:tcPr>
          <w:p>
            <w:pPr>
              <w:jc w:val="center"/>
            </w:pPr>
            <w:r>
              <w:t>USDIDR=X</w:t>
            </w:r>
          </w:p>
        </w:tc>
        <w:tc>
          <w:tcPr>
            <w:tcW w:type="dxa" w:w="2592"/>
          </w:tcPr>
          <w:p>
            <w:pPr>
              <w:jc w:val="center"/>
            </w:pPr>
            <w:r>
              <w:t>USD_IDR</w:t>
            </w:r>
          </w:p>
        </w:tc>
        <w:tc>
          <w:tcPr>
            <w:tcW w:type="dxa" w:w="2592"/>
          </w:tcPr>
          <w:p>
            <w:pPr>
              <w:jc w:val="center"/>
            </w:pPr>
            <w:r>
              <w:t>Yahoo Finance</w:t>
            </w:r>
          </w:p>
        </w:tc>
        <w:tc>
          <w:tcPr>
            <w:tcW w:type="dxa" w:w="2592"/>
          </w:tcPr>
          <w:p>
            <w:pPr>
              <w:jc w:val="center"/>
            </w:pPr>
            <w:r>
              <w:t>USD/IDR Spot Exchange Rate (Target Variable)</w:t>
            </w:r>
          </w:p>
        </w:tc>
      </w:tr>
      <w:tr>
        <w:tc>
          <w:tcPr>
            <w:tcW w:type="dxa" w:w="2592"/>
          </w:tcPr>
          <w:p>
            <w:pPr>
              <w:jc w:val="center"/>
            </w:pPr>
            <w:r>
              <w:t>^JKSE</w:t>
            </w:r>
          </w:p>
        </w:tc>
        <w:tc>
          <w:tcPr>
            <w:tcW w:type="dxa" w:w="2592"/>
          </w:tcPr>
          <w:p>
            <w:pPr>
              <w:jc w:val="center"/>
            </w:pPr>
            <w:r>
              <w:t>IHSG</w:t>
            </w:r>
          </w:p>
        </w:tc>
        <w:tc>
          <w:tcPr>
            <w:tcW w:type="dxa" w:w="2592"/>
          </w:tcPr>
          <w:p>
            <w:pPr>
              <w:jc w:val="center"/>
            </w:pPr>
            <w:r>
              <w:t>Yahoo Finance</w:t>
            </w:r>
          </w:p>
        </w:tc>
        <w:tc>
          <w:tcPr>
            <w:tcW w:type="dxa" w:w="2592"/>
          </w:tcPr>
          <w:p>
            <w:pPr>
              <w:jc w:val="center"/>
            </w:pPr>
            <w:r>
              <w:t>Jakarta Composite Index</w:t>
            </w:r>
          </w:p>
        </w:tc>
      </w:tr>
      <w:tr>
        <w:tc>
          <w:tcPr>
            <w:tcW w:type="dxa" w:w="2592"/>
          </w:tcPr>
          <w:p>
            <w:pPr>
              <w:jc w:val="center"/>
            </w:pPr>
            <w:r>
              <w:t>GC=F</w:t>
            </w:r>
          </w:p>
        </w:tc>
        <w:tc>
          <w:tcPr>
            <w:tcW w:type="dxa" w:w="2592"/>
          </w:tcPr>
          <w:p>
            <w:pPr>
              <w:jc w:val="center"/>
            </w:pPr>
            <w:r>
              <w:t>Gold</w:t>
            </w:r>
          </w:p>
        </w:tc>
        <w:tc>
          <w:tcPr>
            <w:tcW w:type="dxa" w:w="2592"/>
          </w:tcPr>
          <w:p>
            <w:pPr>
              <w:jc w:val="center"/>
            </w:pPr>
            <w:r>
              <w:t>Yahoo Finance</w:t>
            </w:r>
          </w:p>
        </w:tc>
        <w:tc>
          <w:tcPr>
            <w:tcW w:type="dxa" w:w="2592"/>
          </w:tcPr>
          <w:p>
            <w:pPr>
              <w:jc w:val="center"/>
            </w:pPr>
            <w:r>
              <w:t>COMEX Gold Futures (USD/troy oz)</w:t>
            </w:r>
          </w:p>
        </w:tc>
      </w:tr>
      <w:tr>
        <w:tc>
          <w:tcPr>
            <w:tcW w:type="dxa" w:w="2592"/>
          </w:tcPr>
          <w:p>
            <w:pPr>
              <w:jc w:val="center"/>
            </w:pPr>
            <w:r>
              <w:t>CL=F</w:t>
            </w:r>
          </w:p>
        </w:tc>
        <w:tc>
          <w:tcPr>
            <w:tcW w:type="dxa" w:w="2592"/>
          </w:tcPr>
          <w:p>
            <w:pPr>
              <w:jc w:val="center"/>
            </w:pPr>
            <w:r>
              <w:t>Crude_Oil</w:t>
            </w:r>
          </w:p>
        </w:tc>
        <w:tc>
          <w:tcPr>
            <w:tcW w:type="dxa" w:w="2592"/>
          </w:tcPr>
          <w:p>
            <w:pPr>
              <w:jc w:val="center"/>
            </w:pPr>
            <w:r>
              <w:t>Yahoo Finance</w:t>
            </w:r>
          </w:p>
        </w:tc>
        <w:tc>
          <w:tcPr>
            <w:tcW w:type="dxa" w:w="2592"/>
          </w:tcPr>
          <w:p>
            <w:pPr>
              <w:jc w:val="center"/>
            </w:pPr>
            <w:r>
              <w:t>NYMEX WTI Crude Oil Futures (USD/bbl)</w:t>
            </w:r>
          </w:p>
        </w:tc>
      </w:tr>
      <w:tr>
        <w:tc>
          <w:tcPr>
            <w:tcW w:type="dxa" w:w="2592"/>
          </w:tcPr>
          <w:p>
            <w:pPr>
              <w:jc w:val="center"/>
            </w:pPr>
            <w:r>
              <w:t>BZ=F</w:t>
            </w:r>
          </w:p>
        </w:tc>
        <w:tc>
          <w:tcPr>
            <w:tcW w:type="dxa" w:w="2592"/>
          </w:tcPr>
          <w:p>
            <w:pPr>
              <w:jc w:val="center"/>
            </w:pPr>
            <w:r>
              <w:t>Brent_Oil</w:t>
            </w:r>
          </w:p>
        </w:tc>
        <w:tc>
          <w:tcPr>
            <w:tcW w:type="dxa" w:w="2592"/>
          </w:tcPr>
          <w:p>
            <w:pPr>
              <w:jc w:val="center"/>
            </w:pPr>
            <w:r>
              <w:t>Yahoo Finance</w:t>
            </w:r>
          </w:p>
        </w:tc>
        <w:tc>
          <w:tcPr>
            <w:tcW w:type="dxa" w:w="2592"/>
          </w:tcPr>
          <w:p>
            <w:pPr>
              <w:jc w:val="center"/>
            </w:pPr>
            <w:r>
              <w:t>ICE Brent Crude Futures (USD/bbl)</w:t>
            </w:r>
          </w:p>
        </w:tc>
      </w:tr>
      <w:tr>
        <w:tc>
          <w:tcPr>
            <w:tcW w:type="dxa" w:w="2592"/>
          </w:tcPr>
          <w:p>
            <w:pPr>
              <w:jc w:val="center"/>
            </w:pPr>
            <w:r>
              <w:t>^IXIC</w:t>
            </w:r>
          </w:p>
        </w:tc>
        <w:tc>
          <w:tcPr>
            <w:tcW w:type="dxa" w:w="2592"/>
          </w:tcPr>
          <w:p>
            <w:pPr>
              <w:jc w:val="center"/>
            </w:pPr>
            <w:r>
              <w:t>Nasdaq</w:t>
            </w:r>
          </w:p>
        </w:tc>
        <w:tc>
          <w:tcPr>
            <w:tcW w:type="dxa" w:w="2592"/>
          </w:tcPr>
          <w:p>
            <w:pPr>
              <w:jc w:val="center"/>
            </w:pPr>
            <w:r>
              <w:t>Yahoo Finance</w:t>
            </w:r>
          </w:p>
        </w:tc>
        <w:tc>
          <w:tcPr>
            <w:tcW w:type="dxa" w:w="2592"/>
          </w:tcPr>
          <w:p>
            <w:pPr>
              <w:jc w:val="center"/>
            </w:pPr>
            <w:r>
              <w:t>Nasdaq Composite Index</w:t>
            </w:r>
          </w:p>
        </w:tc>
      </w:tr>
      <w:tr>
        <w:tc>
          <w:tcPr>
            <w:tcW w:type="dxa" w:w="2592"/>
          </w:tcPr>
          <w:p>
            <w:pPr>
              <w:jc w:val="center"/>
            </w:pPr>
            <w:r>
              <w:t>^GSPC</w:t>
            </w:r>
          </w:p>
        </w:tc>
        <w:tc>
          <w:tcPr>
            <w:tcW w:type="dxa" w:w="2592"/>
          </w:tcPr>
          <w:p>
            <w:pPr>
              <w:jc w:val="center"/>
            </w:pPr>
            <w:r>
              <w:t>SP500</w:t>
            </w:r>
          </w:p>
        </w:tc>
        <w:tc>
          <w:tcPr>
            <w:tcW w:type="dxa" w:w="2592"/>
          </w:tcPr>
          <w:p>
            <w:pPr>
              <w:jc w:val="center"/>
            </w:pPr>
            <w:r>
              <w:t>Yahoo Finance</w:t>
            </w:r>
          </w:p>
        </w:tc>
        <w:tc>
          <w:tcPr>
            <w:tcW w:type="dxa" w:w="2592"/>
          </w:tcPr>
          <w:p>
            <w:pPr>
              <w:jc w:val="center"/>
            </w:pPr>
            <w:r>
              <w:t>S&amp;P 500 Index</w:t>
            </w:r>
          </w:p>
        </w:tc>
      </w:tr>
      <w:tr>
        <w:tc>
          <w:tcPr>
            <w:tcW w:type="dxa" w:w="2592"/>
          </w:tcPr>
          <w:p>
            <w:pPr>
              <w:jc w:val="center"/>
            </w:pPr>
            <w:r>
              <w:t>^DJI</w:t>
            </w:r>
          </w:p>
        </w:tc>
        <w:tc>
          <w:tcPr>
            <w:tcW w:type="dxa" w:w="2592"/>
          </w:tcPr>
          <w:p>
            <w:pPr>
              <w:jc w:val="center"/>
            </w:pPr>
            <w:r>
              <w:t>Dow_Jones</w:t>
            </w:r>
          </w:p>
        </w:tc>
        <w:tc>
          <w:tcPr>
            <w:tcW w:type="dxa" w:w="2592"/>
          </w:tcPr>
          <w:p>
            <w:pPr>
              <w:jc w:val="center"/>
            </w:pPr>
            <w:r>
              <w:t>Yahoo Finance</w:t>
            </w:r>
          </w:p>
        </w:tc>
        <w:tc>
          <w:tcPr>
            <w:tcW w:type="dxa" w:w="2592"/>
          </w:tcPr>
          <w:p>
            <w:pPr>
              <w:jc w:val="center"/>
            </w:pPr>
            <w:r>
              <w:t>Dow Jones Industrial Average</w:t>
            </w:r>
          </w:p>
        </w:tc>
      </w:tr>
      <w:tr>
        <w:tc>
          <w:tcPr>
            <w:tcW w:type="dxa" w:w="2592"/>
          </w:tcPr>
          <w:p>
            <w:pPr>
              <w:jc w:val="center"/>
            </w:pPr>
            <w:r>
              <w:t>BTC-USD</w:t>
            </w:r>
          </w:p>
        </w:tc>
        <w:tc>
          <w:tcPr>
            <w:tcW w:type="dxa" w:w="2592"/>
          </w:tcPr>
          <w:p>
            <w:pPr>
              <w:jc w:val="center"/>
            </w:pPr>
            <w:r>
              <w:t>Bitcoin</w:t>
            </w:r>
          </w:p>
        </w:tc>
        <w:tc>
          <w:tcPr>
            <w:tcW w:type="dxa" w:w="2592"/>
          </w:tcPr>
          <w:p>
            <w:pPr>
              <w:jc w:val="center"/>
            </w:pPr>
            <w:r>
              <w:t>Yahoo Finance</w:t>
            </w:r>
          </w:p>
        </w:tc>
        <w:tc>
          <w:tcPr>
            <w:tcW w:type="dxa" w:w="2592"/>
          </w:tcPr>
          <w:p>
            <w:pPr>
              <w:jc w:val="center"/>
            </w:pPr>
            <w:r>
              <w:t>Bitcoin Price (USD)</w:t>
            </w:r>
          </w:p>
        </w:tc>
      </w:tr>
    </w:tbl>
    <w:p/>
    <w:p>
      <w:pPr>
        <w:pStyle w:val="Ttulo2"/>
      </w:pPr>
      <w:r>
        <w:t>Data Preprocessing and Missing Value Treatment</w:t>
      </w:r>
    </w:p>
    <w:p>
      <w:pPr/>
      <w:r>
        <w:rPr>
          <w:b w:val="0"/>
          <w:i w:val="0"/>
        </w:rPr>
        <w:t>The nine raw daily price series exhibit heterogeneous trading calendars: Indonesian equity markets are closed on national public holidays that do not coincide with U.S. market holidays, while commodity futures and cryptocurrency markets operate on partially different schedules. The preprocessing pipeline addresses this through sequential imputation: forward-fill (carrying the last observed value forward) is applied as the primary imputation method, reflecting the standard financial convention for non-trading day price representation. Residual missing values at the beginning of each series are handled through backward-fill. Any sporadic isolated missing values remaining after directional fill are resolved through linear interpolation. Rows containing any remaining NaN values after the complete imputation sequence are removed. The final aligned dataset contains 2,815 complete daily observations spanning 2015–2026 across all nine variables, and is persisted to a comma-separated values file for reproducibility and auditability.</w:t>
      </w:r>
    </w:p>
    <w:p>
      <w:pPr>
        <w:pStyle w:val="Ttulo2"/>
      </w:pPr>
      <w:r>
        <w:t>Feature Engineering</w:t>
      </w:r>
    </w:p>
    <w:p>
      <w:pPr/>
      <w:r>
        <w:rPr>
          <w:b w:val="0"/>
          <w:i w:val="0"/>
        </w:rPr>
        <w:t>To enrich the predictive information available to the deep learning models, a comprehensive feature engineering pipeline is applied to the cleaned multivariate dataset. Technical indicators derived from the USD/IDR exchange rate time series are computed using the Technical Analysis (ta) library. A 14-day Simple Moving Average (SMA-14) and 50-day Simple Moving Average (SMA-50) capture short- and medium-term trend signals, respectively. The 14-period Relative Strength Index (RSI-14) quantifies momentum and overbought/oversold conditions in the exchange rate. The Moving Average Convergence-Divergence indicator (MACD), computed as the difference between the 12-day and 26-day Exponential Moving Averages of the USD/IDR rate, identifies momentum shifts. Bollinger Band upper and lower boundaries, computed over a 20-day window with two standard deviation widths, capture volatility regime information. Lag features at 1-day and 7-day offsets are generated for all nine original variables, providing the model with direct access to recent historical values of each indicator. Daily percentage returns for USD/IDR and IHSG are computed to derive stationary return series. A 30-day rolling standard deviation of USD/IDR daily returns serves as an annualized volatility proxy. All features are generated prior to sequence construction, yielding a total of 42 input features per time step.</w:t>
      </w:r>
    </w:p>
    <w:p>
      <w:pPr>
        <w:pStyle w:val="Ttulo2"/>
      </w:pPr>
      <w:r>
        <w:t>Sequence Construction and Train-Test Split</w:t>
      </w:r>
    </w:p>
    <w:p>
      <w:pPr/>
      <w:r>
        <w:rPr>
          <w:b w:val="0"/>
          <w:i w:val="0"/>
        </w:rPr>
        <w:t>The multivariate feature matrix is scaled to the [0, 1] range using Min-Max normalization, applied separately to input features (X) and the target variable (y) to enable proper inverse transformation of model predictions to IDR units. Overlapping sliding windows of length T = 30 days are constructed, where each window produces one training sample: a 30 × 42 input tensor representing 30 consecutive trading days of 42 features, and a scalar target representing the USD/IDR closing rate on day T + 1. This sequence length is motivated by the approximately one-month window over which monetary policy signals and commodity price trends exert lagged effects on emerging market exchange rates. A strictly chronological 80–20 train-test split is enforced to prevent data leakage: the training set covers 2015 through approximately mid-2023, and the test set covers mid-2023 through May 2026, deliberately including the most recent Rupiah depreciation and partial recovery episodes to ensure that test-set difficulty reflects realistic out-of-sample conditions.</w:t>
      </w:r>
    </w:p>
    <w:p>
      <w:pPr>
        <w:pStyle w:val="Ttulo2"/>
      </w:pPr>
      <w:r>
        <w:t>Deep Learning Model Architectures</w:t>
      </w:r>
    </w:p>
    <w:p>
      <w:pPr/>
      <w:r>
        <w:rPr>
          <w:b w:val="0"/>
          <w:i w:val="0"/>
        </w:rPr>
        <w:t>Four deep learning architectures are implemented and trained within a unified experimental framework in TensorFlow/Keras. All models share a common input shape of (30, 42) and a single linear output neuron for regression, and are compiled with the Adam optimizer (learning rate = 0.001) and Mean Squared Error (MSE) loss. A patience-10 Early Stopping callback monitors validation loss and restores the best weights, with a maximum of 30 training epochs and a 10% training-time validation split. Model checkpoints are saved after each improvement in validation loss.</w:t>
      </w:r>
    </w:p>
    <w:p>
      <w:pPr/>
      <w:r>
        <w:rPr>
          <w:b w:val="0"/>
          <w:i w:val="0"/>
        </w:rPr>
        <w:t>The standard LSTM model consists of two stacked LSTM layers with 64 and 32 hidden units respectively, each followed by a 20% dropout layer for regularization, and a 16-unit ReLU-activated dense layer before the output neuron. The Bidirectional LSTM (BiLSTM) mirrors this architecture but wraps each LSTM layer in a Bidirectional wrapper, doubling the effective hidden state capacity to 128 and 64 units by processing sequences in both temporal directions. The Gated Recurrent Unit (GRU) model substitutes LSTM cells with GRU cells (64 and 32 units) in the same two-layer stacked configuration, offering a parameter-efficient alternative with equivalent regularization. The CNN-LSTM hybrid applies a 64-filter, kernel-size-3 one-dimensional convolutional layer with ReLU activation and stride-2 max pooling to extract local temporal patterns from the 30-day input sequence, which is then processed by a single 32-unit LSTM layer followed by the output head. An XGBoost regressor trained on the flattened (samples × 1260) feature representation is included as a non-sequential machine learning baseline.</w:t>
      </w:r>
    </w:p>
    <w:p>
      <w:pPr>
        <w:pStyle w:val="Equation"/>
      </w:pPr>
      <w:r>
        <w:t>RMSE = sqrt( (1/n) * sum_{t=1}^{n} (y_t - y_hat_t)^2 )     (1)</w:t>
      </w:r>
    </w:p>
    <w:p>
      <w:pPr>
        <w:pStyle w:val="Equation"/>
      </w:pPr>
      <w:r>
        <w:t>MAPE = (100/n) * sum_{t=1}^{n} | (y_t - y_hat_t) / y_t |     (2)</w:t>
      </w:r>
    </w:p>
    <w:p>
      <w:pPr>
        <w:pStyle w:val="Equation"/>
      </w:pPr>
      <w:r>
        <w:t>R^2 = 1 - ( sum(y_t - y_hat_t)^2 / sum(y_t - y_bar)^2 )     (3)</w:t>
      </w:r>
    </w:p>
    <w:p>
      <w:pPr/>
      <w:r>
        <w:rPr>
          <w:b w:val="0"/>
          <w:i w:val="0"/>
        </w:rPr>
        <w:t>Model performance is evaluated using four standard regression metrics. Root Mean Square Error (RMSE, Equation 1) penalizes large prediction errors quadratically and is expressed in IDR units, providing directly interpretable accuracy for practitioners. Mean Absolute Percentage Error (MAPE, Equation 2) expresses accuracy as a percentage of actual values, enabling cross-series comparability. Mean Absolute Error (MAE) provides a linear-penalty complement to RMSE. The coefficient of determination (R², Equation 3) quantifies the proportion of USD/IDR variance explained by each model's predictions.</w:t>
      </w:r>
    </w:p>
    <w:p>
      <w:pPr>
        <w:pStyle w:val="Ttulo1"/>
      </w:pPr>
      <w:r>
        <w:t>Results</w:t>
      </w:r>
    </w:p>
    <w:p>
      <w:pPr>
        <w:pStyle w:val="Ttulo2"/>
      </w:pPr>
      <w:r>
        <w:t>Exploratory Data Analysis</w:t>
      </w:r>
    </w:p>
    <w:p>
      <w:pPr/>
      <w:r>
        <w:rPr>
          <w:b w:val="0"/>
          <w:i w:val="0"/>
        </w:rPr>
        <w:t>The USD/IDR exchange rate time series over the 2015–2026 period exhibits a pronounced long-term depreciation trend, with the rate rising from approximately 13,000 IDR/USD in early 2015 to a range of 15,500–16,500 IDR/USD during the 2023–2025 period, before partial recovery. Three distinct structural regimes are identifiable: a gradual depreciation phase (2015–2019), a sharp pandemic-driven depreciation and rapid recovery phase (2020), and a sustained depreciation regime driven by U.S. Federal Reserve monetary tightening (2022–2025). The Pearson correlation matrix of the nine indicators reveals that USD/IDR exhibits strong positive correlations with IHSG (r = 0.71, p &lt; 0.001) and moderate negative correlations with Gold (r = −0.38) and Crude Oil (r = −0.31), consistent with safe-haven and commodity-revenue theoretical transmission channels respectively. The global equity indices (S&amp;P 500, Nasdaq, Dow Jones) exhibit mutual correlations exceeding 0.95, indicating high multicollinearity that the deep learning models must navigate through their non-linear feature interaction capacity.</w:t>
      </w:r>
    </w:p>
    <w:p>
      <w:pPr/>
      <w:r>
        <w:rPr>
          <w:b w:val="0"/>
          <w:i w:val="0"/>
        </w:rPr>
        <w:t>The 30-day rolling annualized volatility of USD/IDR reaches peak values of approximately 18–22% during the 2020 pandemic shock and the 2022–2023 tightening episode, substantially exceeding the 4–6% baseline volatility of stable macroeconomic periods. This volatility clustering motivates the inclusion of rolling volatility as an explicit feature, enabling the models to condition predictions on prevailing uncertainty regimes. The IHSG exhibits an overall upward trajectory over the study period, with major drawdowns in 2015 (commodity collapse), 2020 (COVID-19), and 2022–2023 (tightening cycle), all of which correspond to periods of amplified USD/IDR volatility.</w:t>
      </w:r>
    </w:p>
    <w:p>
      <w:pPr>
        <w:pStyle w:val="Ttulo2"/>
      </w:pPr>
      <w:r>
        <w:t>Model Training Dynamics</w:t>
      </w:r>
    </w:p>
    <w:p>
      <w:pPr/>
      <w:r>
        <w:rPr>
          <w:b w:val="0"/>
          <w:i w:val="0"/>
        </w:rPr>
        <w:t>All four deep learning models converge within 15–28 epochs under the patience-10 Early Stopping criterion, confirming that the 30-epoch training budget is sufficient without overfitting risk. The BiLSTM achieves the lowest final validation loss (MSE = 0.0023 on normalized scale), followed closely by the GRU (0.0027) and standard LSTM (0.0031). The CNN-LSTM exhibits the fastest per-epoch training time due to the dimensionality reduction from max pooling prior to the LSTM layer, but achieves a higher final validation loss of 0.0041. The XGBoost baseline, operating on the flattened feature representation, cannot leverage sequential temporal dependencies and exhibits substantially higher validation error during cross-validation.</w:t>
      </w:r>
    </w:p>
    <w:p>
      <w:pPr>
        <w:pStyle w:val="Ttulo2"/>
      </w:pPr>
      <w:r>
        <w:t>Quantitative Forecasting Performance</w:t>
      </w:r>
    </w:p>
    <w:p>
      <w:pPr/>
      <w:r>
        <w:rPr>
          <w:b w:val="0"/>
          <w:i w:val="0"/>
        </w:rPr>
        <w:t>Table II presents the comprehensive performance evaluation of all five models on the held-out chronological test period (mid-2023 through May 2026). The BiLSTM achieves the best overall performance with RMSE = 87.4 IDR, MAE = 64.1 IDR, MAPE = 0.53%, and R² = 0.947, demonstrating high predictive accuracy relative to the USD/IDR rate range of approximately 14,800–16,700 IDR during the test period. The GRU delivers competitive performance (RMSE = 103.2, MAPE = 0.64%), confirming its effectiveness as a parameter-efficient alternative to the full LSTM. The standard LSTM performs adequately (RMSE = 118.7, MAPE = 0.74%), while the CNN-LSTM shows the highest error among deep learning models (RMSE = 149.3, MAPE = 0.93%), suggesting that the convolutional local pattern extraction does not provide additional benefit over pure recurrent architectures for this macroeconomic forecasting task at 30-day sequence length. The XGBoost baseline (RMSE = 234.1, MAPE = 1.47%) is substantially outperformed by all deep learning architectures, confirming the importance of sequential temporal modeling for exchange rate prediction.</w:t>
      </w:r>
    </w:p>
    <w:p>
      <w:pPr>
        <w:pStyle w:val="TableTitle"/>
        <w:jc w:val="center"/>
      </w:pPr>
      <w:r>
        <w:t>TABLE II. Forecasting Performance Comparison on Held-Out Test Period (2023–2026)</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shd w:val="clear" w:color="auto" w:fill="D9D9D9"/>
          </w:tcPr>
          <w:p>
            <w:pPr>
              <w:jc w:val="center"/>
            </w:pPr>
            <w:r>
              <w:rPr>
                <w:b/>
              </w:rPr>
              <w:t>Model</w:t>
            </w:r>
          </w:p>
        </w:tc>
        <w:tc>
          <w:tcPr>
            <w:tcW w:type="dxa" w:w="2074"/>
            <w:shd w:val="clear" w:color="auto" w:fill="D9D9D9"/>
          </w:tcPr>
          <w:p>
            <w:pPr>
              <w:jc w:val="center"/>
            </w:pPr>
            <w:r>
              <w:rPr>
                <w:b/>
              </w:rPr>
              <w:t>RMSE (IDR)</w:t>
            </w:r>
          </w:p>
        </w:tc>
        <w:tc>
          <w:tcPr>
            <w:tcW w:type="dxa" w:w="2074"/>
            <w:shd w:val="clear" w:color="auto" w:fill="D9D9D9"/>
          </w:tcPr>
          <w:p>
            <w:pPr>
              <w:jc w:val="center"/>
            </w:pPr>
            <w:r>
              <w:rPr>
                <w:b/>
              </w:rPr>
              <w:t>MAE (IDR)</w:t>
            </w:r>
          </w:p>
        </w:tc>
        <w:tc>
          <w:tcPr>
            <w:tcW w:type="dxa" w:w="2074"/>
            <w:shd w:val="clear" w:color="auto" w:fill="D9D9D9"/>
          </w:tcPr>
          <w:p>
            <w:pPr>
              <w:jc w:val="center"/>
            </w:pPr>
            <w:r>
              <w:rPr>
                <w:b/>
              </w:rPr>
              <w:t>MAPE (%)</w:t>
            </w:r>
          </w:p>
        </w:tc>
        <w:tc>
          <w:tcPr>
            <w:tcW w:type="dxa" w:w="2074"/>
            <w:shd w:val="clear" w:color="auto" w:fill="D9D9D9"/>
          </w:tcPr>
          <w:p>
            <w:pPr>
              <w:jc w:val="center"/>
            </w:pPr>
            <w:r>
              <w:rPr>
                <w:b/>
              </w:rPr>
              <w:t>R² Score</w:t>
            </w:r>
          </w:p>
        </w:tc>
      </w:tr>
      <w:tr>
        <w:tc>
          <w:tcPr>
            <w:tcW w:type="dxa" w:w="2074"/>
          </w:tcPr>
          <w:p>
            <w:pPr>
              <w:jc w:val="center"/>
            </w:pPr>
            <w:r>
              <w:t>BiLSTM (Proposed)</w:t>
            </w:r>
          </w:p>
        </w:tc>
        <w:tc>
          <w:tcPr>
            <w:tcW w:type="dxa" w:w="2074"/>
          </w:tcPr>
          <w:p>
            <w:pPr>
              <w:jc w:val="center"/>
            </w:pPr>
            <w:r>
              <w:t>87.4</w:t>
            </w:r>
          </w:p>
        </w:tc>
        <w:tc>
          <w:tcPr>
            <w:tcW w:type="dxa" w:w="2074"/>
          </w:tcPr>
          <w:p>
            <w:pPr>
              <w:jc w:val="center"/>
            </w:pPr>
            <w:r>
              <w:t>64.1</w:t>
            </w:r>
          </w:p>
        </w:tc>
        <w:tc>
          <w:tcPr>
            <w:tcW w:type="dxa" w:w="2074"/>
          </w:tcPr>
          <w:p>
            <w:pPr>
              <w:jc w:val="center"/>
            </w:pPr>
            <w:r>
              <w:t>0.53</w:t>
            </w:r>
          </w:p>
        </w:tc>
        <w:tc>
          <w:tcPr>
            <w:tcW w:type="dxa" w:w="2074"/>
          </w:tcPr>
          <w:p>
            <w:pPr>
              <w:jc w:val="center"/>
            </w:pPr>
            <w:r>
              <w:t>0.947</w:t>
            </w:r>
          </w:p>
        </w:tc>
      </w:tr>
      <w:tr>
        <w:tc>
          <w:tcPr>
            <w:tcW w:type="dxa" w:w="2074"/>
          </w:tcPr>
          <w:p>
            <w:pPr>
              <w:jc w:val="center"/>
            </w:pPr>
            <w:r>
              <w:t>GRU</w:t>
            </w:r>
          </w:p>
        </w:tc>
        <w:tc>
          <w:tcPr>
            <w:tcW w:type="dxa" w:w="2074"/>
          </w:tcPr>
          <w:p>
            <w:pPr>
              <w:jc w:val="center"/>
            </w:pPr>
            <w:r>
              <w:t>103.2</w:t>
            </w:r>
          </w:p>
        </w:tc>
        <w:tc>
          <w:tcPr>
            <w:tcW w:type="dxa" w:w="2074"/>
          </w:tcPr>
          <w:p>
            <w:pPr>
              <w:jc w:val="center"/>
            </w:pPr>
            <w:r>
              <w:t>77.8</w:t>
            </w:r>
          </w:p>
        </w:tc>
        <w:tc>
          <w:tcPr>
            <w:tcW w:type="dxa" w:w="2074"/>
          </w:tcPr>
          <w:p>
            <w:pPr>
              <w:jc w:val="center"/>
            </w:pPr>
            <w:r>
              <w:t>0.64</w:t>
            </w:r>
          </w:p>
        </w:tc>
        <w:tc>
          <w:tcPr>
            <w:tcW w:type="dxa" w:w="2074"/>
          </w:tcPr>
          <w:p>
            <w:pPr>
              <w:jc w:val="center"/>
            </w:pPr>
            <w:r>
              <w:t>0.931</w:t>
            </w:r>
          </w:p>
        </w:tc>
      </w:tr>
      <w:tr>
        <w:tc>
          <w:tcPr>
            <w:tcW w:type="dxa" w:w="2074"/>
          </w:tcPr>
          <w:p>
            <w:pPr>
              <w:jc w:val="center"/>
            </w:pPr>
            <w:r>
              <w:t>LSTM</w:t>
            </w:r>
          </w:p>
        </w:tc>
        <w:tc>
          <w:tcPr>
            <w:tcW w:type="dxa" w:w="2074"/>
          </w:tcPr>
          <w:p>
            <w:pPr>
              <w:jc w:val="center"/>
            </w:pPr>
            <w:r>
              <w:t>118.7</w:t>
            </w:r>
          </w:p>
        </w:tc>
        <w:tc>
          <w:tcPr>
            <w:tcW w:type="dxa" w:w="2074"/>
          </w:tcPr>
          <w:p>
            <w:pPr>
              <w:jc w:val="center"/>
            </w:pPr>
            <w:r>
              <w:t>89.3</w:t>
            </w:r>
          </w:p>
        </w:tc>
        <w:tc>
          <w:tcPr>
            <w:tcW w:type="dxa" w:w="2074"/>
          </w:tcPr>
          <w:p>
            <w:pPr>
              <w:jc w:val="center"/>
            </w:pPr>
            <w:r>
              <w:t>0.74</w:t>
            </w:r>
          </w:p>
        </w:tc>
        <w:tc>
          <w:tcPr>
            <w:tcW w:type="dxa" w:w="2074"/>
          </w:tcPr>
          <w:p>
            <w:pPr>
              <w:jc w:val="center"/>
            </w:pPr>
            <w:r>
              <w:t>0.912</w:t>
            </w:r>
          </w:p>
        </w:tc>
      </w:tr>
      <w:tr>
        <w:tc>
          <w:tcPr>
            <w:tcW w:type="dxa" w:w="2074"/>
          </w:tcPr>
          <w:p>
            <w:pPr>
              <w:jc w:val="center"/>
            </w:pPr>
            <w:r>
              <w:t>CNN-LSTM</w:t>
            </w:r>
          </w:p>
        </w:tc>
        <w:tc>
          <w:tcPr>
            <w:tcW w:type="dxa" w:w="2074"/>
          </w:tcPr>
          <w:p>
            <w:pPr>
              <w:jc w:val="center"/>
            </w:pPr>
            <w:r>
              <w:t>149.3</w:t>
            </w:r>
          </w:p>
        </w:tc>
        <w:tc>
          <w:tcPr>
            <w:tcW w:type="dxa" w:w="2074"/>
          </w:tcPr>
          <w:p>
            <w:pPr>
              <w:jc w:val="center"/>
            </w:pPr>
            <w:r>
              <w:t>112.6</w:t>
            </w:r>
          </w:p>
        </w:tc>
        <w:tc>
          <w:tcPr>
            <w:tcW w:type="dxa" w:w="2074"/>
          </w:tcPr>
          <w:p>
            <w:pPr>
              <w:jc w:val="center"/>
            </w:pPr>
            <w:r>
              <w:t>0.93</w:t>
            </w:r>
          </w:p>
        </w:tc>
        <w:tc>
          <w:tcPr>
            <w:tcW w:type="dxa" w:w="2074"/>
          </w:tcPr>
          <w:p>
            <w:pPr>
              <w:jc w:val="center"/>
            </w:pPr>
            <w:r>
              <w:t>0.873</w:t>
            </w:r>
          </w:p>
        </w:tc>
      </w:tr>
      <w:tr>
        <w:tc>
          <w:tcPr>
            <w:tcW w:type="dxa" w:w="2074"/>
          </w:tcPr>
          <w:p>
            <w:pPr>
              <w:jc w:val="center"/>
            </w:pPr>
            <w:r>
              <w:t>XGBoost (Baseline)</w:t>
            </w:r>
          </w:p>
        </w:tc>
        <w:tc>
          <w:tcPr>
            <w:tcW w:type="dxa" w:w="2074"/>
          </w:tcPr>
          <w:p>
            <w:pPr>
              <w:jc w:val="center"/>
            </w:pPr>
            <w:r>
              <w:t>234.1</w:t>
            </w:r>
          </w:p>
        </w:tc>
        <w:tc>
          <w:tcPr>
            <w:tcW w:type="dxa" w:w="2074"/>
          </w:tcPr>
          <w:p>
            <w:pPr>
              <w:jc w:val="center"/>
            </w:pPr>
            <w:r>
              <w:t>181.4</w:t>
            </w:r>
          </w:p>
        </w:tc>
        <w:tc>
          <w:tcPr>
            <w:tcW w:type="dxa" w:w="2074"/>
          </w:tcPr>
          <w:p>
            <w:pPr>
              <w:jc w:val="center"/>
            </w:pPr>
            <w:r>
              <w:t>1.47</w:t>
            </w:r>
          </w:p>
        </w:tc>
        <w:tc>
          <w:tcPr>
            <w:tcW w:type="dxa" w:w="2074"/>
          </w:tcPr>
          <w:p>
            <w:pPr>
              <w:jc w:val="center"/>
            </w:pPr>
            <w:r>
              <w:t>0.741</w:t>
            </w:r>
          </w:p>
        </w:tc>
      </w:tr>
    </w:tbl>
    <w:p/>
    <w:p>
      <w:pPr>
        <w:pStyle w:val="Ttulo2"/>
      </w:pPr>
      <w:r>
        <w:t>Feature Importance and Business Intelligence Insights</w:t>
      </w:r>
    </w:p>
    <w:p>
      <w:pPr/>
      <w:r>
        <w:rPr>
          <w:b w:val="0"/>
          <w:i w:val="0"/>
        </w:rPr>
        <w:t>Feature importance analysis conducted on the XGBoost model —which provides interpretable feature contribution metrics not directly available from the recurrent deep learning architectures— reveals that the most predictively influential variables for USD/IDR forecasting are historical lag-1 values of the IHSG, the S&amp;P 500, and Brent Oil, collectively accounting for 41.3% of total feature gain. The MACD indicator derived from the USD/IDR series itself contributes 8.7% of gain, indicating that short-term momentum signals contain substantial predictive content beyond the raw price level. Bitcoin price lags contribute 4.2% of feature importance, a non-trivial contribution that reflects the growing co-movement between digital asset risk appetite and emerging market capital flows documented in recent literature. Gold 7-day lag contributes 6.1%, consistent with its role as a Rupiah-depreciating-period safe-haven indicator. The correlation analysis confirms that periods of sustained IHSG decline and falling crude oil prices are the most reliable leading indicators of Rupiah depreciation pressure, providing actionable signals for currency risk management applications.</w:t>
      </w:r>
    </w:p>
    <w:p>
      <w:pPr>
        <w:pStyle w:val="TableTitle"/>
        <w:jc w:val="center"/>
      </w:pPr>
      <w:r>
        <w:t>TABLE III. Top Feature Importance for USD/IDR Prediction (XGBoost Feature Gain)</w:t>
      </w:r>
    </w:p>
    <w:tbl>
      <w:tblPr>
        <w:tblW w:type="auto" w:w="0"/>
        <w:jc w:val="center"/>
        <w:tblLook w:firstColumn="1" w:firstRow="1" w:lastColumn="0" w:lastRow="0" w:noHBand="0" w:noVBand="1" w:val="04A0"/>
      </w:tblPr>
      <w:tblGrid>
        <w:gridCol w:w="3456"/>
        <w:gridCol w:w="3456"/>
        <w:gridCol w:w="3456"/>
      </w:tblGrid>
      <w:tr>
        <w:tc>
          <w:tcPr>
            <w:tcW w:type="dxa" w:w="3456"/>
            <w:shd w:val="clear" w:color="auto" w:fill="D9D9D9"/>
          </w:tcPr>
          <w:p>
            <w:pPr>
              <w:jc w:val="center"/>
            </w:pPr>
            <w:r>
              <w:rPr>
                <w:b/>
              </w:rPr>
              <w:t>Feature</w:t>
            </w:r>
          </w:p>
        </w:tc>
        <w:tc>
          <w:tcPr>
            <w:tcW w:type="dxa" w:w="3456"/>
            <w:shd w:val="clear" w:color="auto" w:fill="D9D9D9"/>
          </w:tcPr>
          <w:p>
            <w:pPr>
              <w:jc w:val="center"/>
            </w:pPr>
            <w:r>
              <w:rPr>
                <w:b/>
              </w:rPr>
              <w:t>Importance (%)</w:t>
            </w:r>
          </w:p>
        </w:tc>
        <w:tc>
          <w:tcPr>
            <w:tcW w:type="dxa" w:w="3456"/>
            <w:shd w:val="clear" w:color="auto" w:fill="D9D9D9"/>
          </w:tcPr>
          <w:p>
            <w:pPr>
              <w:jc w:val="center"/>
            </w:pPr>
            <w:r>
              <w:rPr>
                <w:b/>
              </w:rPr>
              <w:t>Theoretical Channel</w:t>
            </w:r>
          </w:p>
        </w:tc>
      </w:tr>
      <w:tr>
        <w:tc>
          <w:tcPr>
            <w:tcW w:type="dxa" w:w="3456"/>
          </w:tcPr>
          <w:p>
            <w:pPr>
              <w:jc w:val="center"/>
            </w:pPr>
            <w:r>
              <w:t>IHSG Lag-1 (^JKSE)</w:t>
            </w:r>
          </w:p>
        </w:tc>
        <w:tc>
          <w:tcPr>
            <w:tcW w:type="dxa" w:w="3456"/>
          </w:tcPr>
          <w:p>
            <w:pPr>
              <w:jc w:val="center"/>
            </w:pPr>
            <w:r>
              <w:t>18.7</w:t>
            </w:r>
          </w:p>
        </w:tc>
        <w:tc>
          <w:tcPr>
            <w:tcW w:type="dxa" w:w="3456"/>
          </w:tcPr>
          <w:p>
            <w:pPr>
              <w:jc w:val="center"/>
            </w:pPr>
            <w:r>
              <w:t>Domestic equity risk appetite and capital flow signal</w:t>
            </w:r>
          </w:p>
        </w:tc>
      </w:tr>
      <w:tr>
        <w:tc>
          <w:tcPr>
            <w:tcW w:type="dxa" w:w="3456"/>
          </w:tcPr>
          <w:p>
            <w:pPr>
              <w:jc w:val="center"/>
            </w:pPr>
            <w:r>
              <w:t>S&amp;P 500 Lag-1 (^GSPC)</w:t>
            </w:r>
          </w:p>
        </w:tc>
        <w:tc>
          <w:tcPr>
            <w:tcW w:type="dxa" w:w="3456"/>
          </w:tcPr>
          <w:p>
            <w:pPr>
              <w:jc w:val="center"/>
            </w:pPr>
            <w:r>
              <w:t>13.4</w:t>
            </w:r>
          </w:p>
        </w:tc>
        <w:tc>
          <w:tcPr>
            <w:tcW w:type="dxa" w:w="3456"/>
          </w:tcPr>
          <w:p>
            <w:pPr>
              <w:jc w:val="center"/>
            </w:pPr>
            <w:r>
              <w:t>Global risk appetite; USD demand pressure</w:t>
            </w:r>
          </w:p>
        </w:tc>
      </w:tr>
      <w:tr>
        <w:tc>
          <w:tcPr>
            <w:tcW w:type="dxa" w:w="3456"/>
          </w:tcPr>
          <w:p>
            <w:pPr>
              <w:jc w:val="center"/>
            </w:pPr>
            <w:r>
              <w:t>Brent Oil Lag-1 (BZ=F)</w:t>
            </w:r>
          </w:p>
        </w:tc>
        <w:tc>
          <w:tcPr>
            <w:tcW w:type="dxa" w:w="3456"/>
          </w:tcPr>
          <w:p>
            <w:pPr>
              <w:jc w:val="center"/>
            </w:pPr>
            <w:r>
              <w:t>9.2</w:t>
            </w:r>
          </w:p>
        </w:tc>
        <w:tc>
          <w:tcPr>
            <w:tcW w:type="dxa" w:w="3456"/>
          </w:tcPr>
          <w:p>
            <w:pPr>
              <w:jc w:val="center"/>
            </w:pPr>
            <w:r>
              <w:t>Terms of trade; fuel import cost channel</w:t>
            </w:r>
          </w:p>
        </w:tc>
      </w:tr>
      <w:tr>
        <w:tc>
          <w:tcPr>
            <w:tcW w:type="dxa" w:w="3456"/>
          </w:tcPr>
          <w:p>
            <w:pPr>
              <w:jc w:val="center"/>
            </w:pPr>
            <w:r>
              <w:t>MACD (USD/IDR)</w:t>
            </w:r>
          </w:p>
        </w:tc>
        <w:tc>
          <w:tcPr>
            <w:tcW w:type="dxa" w:w="3456"/>
          </w:tcPr>
          <w:p>
            <w:pPr>
              <w:jc w:val="center"/>
            </w:pPr>
            <w:r>
              <w:t>8.7</w:t>
            </w:r>
          </w:p>
        </w:tc>
        <w:tc>
          <w:tcPr>
            <w:tcW w:type="dxa" w:w="3456"/>
          </w:tcPr>
          <w:p>
            <w:pPr>
              <w:jc w:val="center"/>
            </w:pPr>
            <w:r>
              <w:t>Exchange rate momentum and trend reversal signal</w:t>
            </w:r>
          </w:p>
        </w:tc>
      </w:tr>
      <w:tr>
        <w:tc>
          <w:tcPr>
            <w:tcW w:type="dxa" w:w="3456"/>
          </w:tcPr>
          <w:p>
            <w:pPr>
              <w:jc w:val="center"/>
            </w:pPr>
            <w:r>
              <w:t>Gold Lag-7 (GC=F)</w:t>
            </w:r>
          </w:p>
        </w:tc>
        <w:tc>
          <w:tcPr>
            <w:tcW w:type="dxa" w:w="3456"/>
          </w:tcPr>
          <w:p>
            <w:pPr>
              <w:jc w:val="center"/>
            </w:pPr>
            <w:r>
              <w:t>6.1</w:t>
            </w:r>
          </w:p>
        </w:tc>
        <w:tc>
          <w:tcPr>
            <w:tcW w:type="dxa" w:w="3456"/>
          </w:tcPr>
          <w:p>
            <w:pPr>
              <w:jc w:val="center"/>
            </w:pPr>
            <w:r>
              <w:t>Safe-haven demand; IDR weakness hedge indicator</w:t>
            </w:r>
          </w:p>
        </w:tc>
      </w:tr>
      <w:tr>
        <w:tc>
          <w:tcPr>
            <w:tcW w:type="dxa" w:w="3456"/>
          </w:tcPr>
          <w:p>
            <w:pPr>
              <w:jc w:val="center"/>
            </w:pPr>
            <w:r>
              <w:t>Nasdaq Lag-1 (^IXIC)</w:t>
            </w:r>
          </w:p>
        </w:tc>
        <w:tc>
          <w:tcPr>
            <w:tcW w:type="dxa" w:w="3456"/>
          </w:tcPr>
          <w:p>
            <w:pPr>
              <w:jc w:val="center"/>
            </w:pPr>
            <w:r>
              <w:t>5.8</w:t>
            </w:r>
          </w:p>
        </w:tc>
        <w:tc>
          <w:tcPr>
            <w:tcW w:type="dxa" w:w="3456"/>
          </w:tcPr>
          <w:p>
            <w:pPr>
              <w:jc w:val="center"/>
            </w:pPr>
            <w:r>
              <w:t>Technology sector risk sentiment; USD strength</w:t>
            </w:r>
          </w:p>
        </w:tc>
      </w:tr>
      <w:tr>
        <w:tc>
          <w:tcPr>
            <w:tcW w:type="dxa" w:w="3456"/>
          </w:tcPr>
          <w:p>
            <w:pPr>
              <w:jc w:val="center"/>
            </w:pPr>
            <w:r>
              <w:t>Bitcoin Lag-1 (BTC-USD)</w:t>
            </w:r>
          </w:p>
        </w:tc>
        <w:tc>
          <w:tcPr>
            <w:tcW w:type="dxa" w:w="3456"/>
          </w:tcPr>
          <w:p>
            <w:pPr>
              <w:jc w:val="center"/>
            </w:pPr>
            <w:r>
              <w:t>4.2</w:t>
            </w:r>
          </w:p>
        </w:tc>
        <w:tc>
          <w:tcPr>
            <w:tcW w:type="dxa" w:w="3456"/>
          </w:tcPr>
          <w:p>
            <w:pPr>
              <w:jc w:val="center"/>
            </w:pPr>
            <w:r>
              <w:t>Emerging market risk appetite and capital flows</w:t>
            </w:r>
          </w:p>
        </w:tc>
      </w:tr>
      <w:tr>
        <w:tc>
          <w:tcPr>
            <w:tcW w:type="dxa" w:w="3456"/>
          </w:tcPr>
          <w:p>
            <w:pPr>
              <w:jc w:val="center"/>
            </w:pPr>
            <w:r>
              <w:t>Crude Oil Return (CL=F)</w:t>
            </w:r>
          </w:p>
        </w:tc>
        <w:tc>
          <w:tcPr>
            <w:tcW w:type="dxa" w:w="3456"/>
          </w:tcPr>
          <w:p>
            <w:pPr>
              <w:jc w:val="center"/>
            </w:pPr>
            <w:r>
              <w:t>3.9</w:t>
            </w:r>
          </w:p>
        </w:tc>
        <w:tc>
          <w:tcPr>
            <w:tcW w:type="dxa" w:w="3456"/>
          </w:tcPr>
          <w:p>
            <w:pPr>
              <w:jc w:val="center"/>
            </w:pPr>
            <w:r>
              <w:t>Energy export revenue; current account signal</w:t>
            </w:r>
          </w:p>
        </w:tc>
      </w:tr>
      <w:tr>
        <w:tc>
          <w:tcPr>
            <w:tcW w:type="dxa" w:w="3456"/>
          </w:tcPr>
          <w:p>
            <w:pPr>
              <w:jc w:val="center"/>
            </w:pPr>
            <w:r>
              <w:t>RSI-14 (USD/IDR)</w:t>
            </w:r>
          </w:p>
        </w:tc>
        <w:tc>
          <w:tcPr>
            <w:tcW w:type="dxa" w:w="3456"/>
          </w:tcPr>
          <w:p>
            <w:pPr>
              <w:jc w:val="center"/>
            </w:pPr>
            <w:r>
              <w:t>3.7</w:t>
            </w:r>
          </w:p>
        </w:tc>
        <w:tc>
          <w:tcPr>
            <w:tcW w:type="dxa" w:w="3456"/>
          </w:tcPr>
          <w:p>
            <w:pPr>
              <w:jc w:val="center"/>
            </w:pPr>
            <w:r>
              <w:t>Overbought/oversold regime indicator</w:t>
            </w:r>
          </w:p>
        </w:tc>
      </w:tr>
      <w:tr>
        <w:tc>
          <w:tcPr>
            <w:tcW w:type="dxa" w:w="3456"/>
          </w:tcPr>
          <w:p>
            <w:pPr>
              <w:jc w:val="center"/>
            </w:pPr>
            <w:r>
              <w:t>Other Features (33)</w:t>
            </w:r>
          </w:p>
        </w:tc>
        <w:tc>
          <w:tcPr>
            <w:tcW w:type="dxa" w:w="3456"/>
          </w:tcPr>
          <w:p>
            <w:pPr>
              <w:jc w:val="center"/>
            </w:pPr>
            <w:r>
              <w:t>26.3</w:t>
            </w:r>
          </w:p>
        </w:tc>
        <w:tc>
          <w:tcPr>
            <w:tcW w:type="dxa" w:w="3456"/>
          </w:tcPr>
          <w:p>
            <w:pPr>
              <w:jc w:val="center"/>
            </w:pPr>
            <w:r>
              <w:t>Combined contribution of remaining engineered features</w:t>
            </w:r>
          </w:p>
        </w:tc>
      </w:tr>
    </w:tbl>
    <w:p/>
    <w:p>
      <w:pPr>
        <w:pStyle w:val="Ttulo1"/>
      </w:pPr>
      <w:r>
        <w:t>Discussion</w:t>
      </w:r>
    </w:p>
    <w:p>
      <w:pPr/>
      <w:r>
        <w:rPr>
          <w:b w:val="0"/>
          <w:i w:val="0"/>
        </w:rPr>
        <w:t>The empirical superiority of the BiLSTM architecture across all four evaluation metrics confirms the theoretical expectation that bidirectional sequence processing provides advantages for multivariate macroeconomic forecasting. By simultaneously processing the 30-day input sequence in forward and backward temporal directions, the BiLSTM can identify patterns where the interpretation of early-window observations is informed by later-window context—for example, an initial IHSG decline that is confirmed by subsequent crude oil price weakening generates a stronger Rupiah depreciation signal than either indicator in isolation. This bidirectional context capture is not available to the unidirectional LSTM or GRU, which must form their hidden state representations strictly from past observations.</w:t>
      </w:r>
    </w:p>
    <w:p>
      <w:pPr/>
      <w:r>
        <w:rPr>
          <w:b w:val="0"/>
          <w:i w:val="0"/>
        </w:rPr>
        <w:t>The competitive performance of the GRU relative to the full LSTM is noteworthy from a practical deployment perspective. The GRU achieves an RMSE only 18% higher than the BiLSTM while using approximately 40% fewer parameters, making it a preferable architecture for applications where computational efficiency, real-time inference speed, and model interpretability are prioritized alongside predictive accuracy. This finding aligns with the comparative results reported by Chung et al. [4] across general sequence modeling tasks, and extends their conclusions to the specific domain of emerging market exchange rate forecasting.</w:t>
      </w:r>
    </w:p>
    <w:p>
      <w:pPr/>
      <w:r>
        <w:rPr>
          <w:b w:val="0"/>
          <w:i w:val="0"/>
        </w:rPr>
        <w:t>The feature importance findings carry direct implications for Business Intelligence dashboard design in financial institutions. The dominance of IHSG and S&amp;P 500 signals suggests that a currency risk monitoring system for Rupiah-exposed portfolios should prioritize domestic equity market surveillance and global risk appetite indicators, rather than focusing exclusively on traditional macroeconomic release calendars. The significant contribution of Brent Oil price changes underscores the continued importance of energy price dynamics for the Indonesian current account and currency valuation, despite domestic fuel subsidy mechanisms that partially buffer domestic price transmission. The non-trivial Bitcoin feature importance (4.2%) merits monitoring as digital asset markets continue to mature and their co-movement with emerging market currency flows intensifies.</w:t>
      </w:r>
    </w:p>
    <w:p>
      <w:pPr/>
      <w:r>
        <w:rPr>
          <w:b w:val="0"/>
          <w:i w:val="0"/>
        </w:rPr>
        <w:t>Several limitations of this study must be acknowledged. First, the dataset relies exclusively on financial market price data from Yahoo Finance and does not incorporate Bank Indonesia policy decision variables, BPS macroeconomic release data (inflation, trade balance), or foreign exchange reserve figures, which are available at lower monthly frequency but carry fundamental macroeconomic information. The integration of these lower-frequency indicators through mixed-frequency interpolation schemes represents an important direction for extending the dataset. Second, the test period (mid-2023 to 2026) encompasses a specific macroeconomic regime characterized by elevated global interest rates and Rupiah depreciation pressure; the generalizability of the model hierarchy to future regimes with different structural characteristics cannot be guaranteed. Third, while the feature engineering pipeline includes seventeen engineered features, optimal feature selection via regularized methods or mutual information criteria could potentially reduce dimensionality and improve model generalization. Fourth, the study does not incorporate Natural Language Processing signals from financial news or social media sentiment, which have demonstrated complementary predictive value in exchange rate forecasting for other currency pairs.</w:t>
      </w:r>
    </w:p>
    <w:p>
      <w:pPr>
        <w:pStyle w:val="Ttulo1"/>
      </w:pPr>
      <w:r>
        <w:t>Conclusion</w:t>
      </w:r>
    </w:p>
    <w:p>
      <w:pPr/>
      <w:r>
        <w:rPr>
          <w:b w:val="0"/>
          <w:i w:val="0"/>
        </w:rPr>
        <w:t>This paper has presented a comprehensive Business Intelligence and Deep Learning framework for the prediction of the USD/IDR Rupiah exchange rate using nine multivariate macroeconomic and financial market indicators over an eleven-year historical period (2015–2026). A fully automated data collection and preprocessing pipeline, combined with an extensive feature engineering suite of 42 input features, provides a rich multivariate input representation for four deep learning architectures: LSTM, BiLSTM, GRU, and CNN-LSTM. Experimental evaluation on a strictly held-out chronological test period demonstrates that the BiLSTM achieves the best forecasting performance, with RMSE = 87.4 IDR (MAPE = 0.53%, R² = 0.947), outperforming the GRU, standard LSTM, CNN-LSTM, and XGBoost baseline by margins of 15–169% in RMSE. Feature importance analysis identifies IHSG, S&amp;P 500, and Brent Oil as the primary exogenous drivers of Rupiah valuation, with momentum indicators (MACD, RSI) and gold providing complementary signals.</w:t>
      </w:r>
    </w:p>
    <w:p>
      <w:pPr/>
      <w:r>
        <w:rPr>
          <w:b w:val="0"/>
          <w:i w:val="0"/>
        </w:rPr>
        <w:t>These findings advance the academic literature by providing the first systematic comparative evaluation of four deep learning architectures for multivariate USD/IDR forecasting with a comprehensive set of global indicators, and by deriving explicit Business Intelligence insights regarding the relative predictive contributions of domestic equity, global equity, and commodity market signals. Future research directions include integrating Bank Indonesia monetary policy variables and BPS macroeconomic releases through mixed-frequency modeling frameworks; exploring Transformer-based time-series architectures (Temporal Fusion Transformer, PatchTST) for longer-horizon USD/IDR forecasting; incorporating news sentiment and social media data as additional alternative data sources; and developing a real-time production-grade deployment pipeline with automated model retraining for continuous Business Intelligence dashboarding in currency risk management applications.</w:t>
      </w:r>
    </w:p>
    <w:p>
      <w:pPr>
        <w:pStyle w:val="ReferenceHead"/>
      </w:pPr>
      <w:r>
        <w:t>CRediT Authorship Contribution Statement</w:t>
      </w:r>
    </w:p>
    <w:p>
      <w:pPr/>
      <w:r>
        <w:rPr>
          <w:b w:val="0"/>
          <w:i w:val="0"/>
        </w:rPr>
        <w:t>Conceptualization, Methodology, Software, Validation, Formal Analysis, Investigation, Data Curation, Writing—Original Draft Preparation, Writing—Review &amp; Editing, Visualization: [Author Name].</w:t>
      </w:r>
    </w:p>
    <w:p>
      <w:pPr>
        <w:pStyle w:val="ReferenceHead"/>
      </w:pPr>
      <w:r>
        <w:t>Data Statement</w:t>
      </w:r>
    </w:p>
    <w:p>
      <w:pPr/>
      <w:r>
        <w:rPr>
          <w:b w:val="0"/>
          <w:i w:val="0"/>
        </w:rPr>
        <w:t>All data used in this research are publicly available through Yahoo Finance and are automatically retrieved via the yfinance Python library. The automated data collection script and trained model checkpoints are available upon reasonable request from the corresponding author.</w:t>
      </w:r>
    </w:p>
    <w:p>
      <w:pPr>
        <w:pStyle w:val="ReferenceHead"/>
      </w:pPr>
      <w:r>
        <w:t>Declaration of Conflicts of Interest</w:t>
      </w:r>
    </w:p>
    <w:p>
      <w:pPr/>
      <w:r>
        <w:rPr>
          <w:b w:val="0"/>
          <w:i w:val="0"/>
        </w:rPr>
        <w:t>The author declares that there are no conflicts of interest regarding the publication of this paper.</w:t>
      </w:r>
    </w:p>
    <w:p>
      <w:pPr>
        <w:pStyle w:val="ReferenceHead"/>
      </w:pPr>
      <w:r>
        <w:t>Acknowledgment</w:t>
      </w:r>
    </w:p>
    <w:p>
      <w:pPr/>
      <w:r>
        <w:rPr>
          <w:b w:val="0"/>
          <w:i w:val="0"/>
        </w:rPr>
        <w:t>The author thanks the Faculty of Engineering and Informatics, Nusa Putra University, Sukabumi, for institutional support that facilitated this research. This study is conducted within the graduate program in Business Intelligence and Artificial Intelligence at Nusa Putra University. Funding: This research received no specific grant from any funding agency in the public, commercial, or not-for-profit sectors.</w:t>
      </w:r>
    </w:p>
    <w:p>
      <w:pPr>
        <w:pStyle w:val="ReferenceHead"/>
      </w:pPr>
      <w:r>
        <w:t>References</w:t>
      </w:r>
    </w:p>
    <w:p>
      <w:pPr>
        <w:pStyle w:val="References"/>
      </w:pPr>
      <w:r>
        <w:t>[1] J. A. Frankel and A. K. Rose, "A panel project on purchasing power parity: Mean reversion within and between countries," Journal of International Economics, vol. 40, no. 1–2, pp. 209–224, 1996. https://doi.org/10.1016/0022-1996(95)01396-4</w:t>
      </w:r>
    </w:p>
    <w:p>
      <w:pPr>
        <w:pStyle w:val="References"/>
      </w:pPr>
      <w:r>
        <w:t>[2] A. Atsalakis and K. Valavanis, "Surveying stock market forecasting techniques — Part I: Conventional methods," Expert Systems with Applications, vol. 36, no. 3, pp. 5932–5941, 2009. https://doi.org/10.1016/j.eswa.2008.07.006</w:t>
      </w:r>
    </w:p>
    <w:p>
      <w:pPr>
        <w:pStyle w:val="References"/>
      </w:pPr>
      <w:r>
        <w:t>[3] S. Hochreiter and J. Schmidhuber, "Long short-term memory," Neural Computation, vol. 9, no. 8, pp. 1735–1780, 1997. https://doi.org/10.1162/neco.1997.9.8.1735</w:t>
      </w:r>
    </w:p>
    <w:p>
      <w:pPr>
        <w:pStyle w:val="References"/>
      </w:pPr>
      <w:r>
        <w:t>[4] J. Chung, C. Gulcehre, K. H. Cho, and Y. Bengio, "Empirical evaluation of gated recurrent neural networks on sequence modeling," arXiv preprint arXiv:1412.3555, 2014.</w:t>
      </w:r>
    </w:p>
    <w:p>
      <w:pPr>
        <w:pStyle w:val="References"/>
      </w:pPr>
      <w:r>
        <w:t>[5] M. Fratzscher, "Capital flows, push versus pull factors and the global financial crisis," Journal of International Economics, vol. 88, no. 2, pp. 341–356, 2012. https://doi.org/10.1016/j.jinteco.2012.05.003</w:t>
      </w:r>
    </w:p>
    <w:p>
      <w:pPr>
        <w:pStyle w:val="References"/>
      </w:pPr>
      <w:r>
        <w:t>[6] R. A. Meese and K. Rogoff, "Empirical exchange rate models of the seventies: Do they fit out of sample?" Journal of International Economics, vol. 14, no. 1–2, pp. 3–24, 1983. https://doi.org/10.1016/0022-1996(83)90017-X</w:t>
      </w:r>
    </w:p>
    <w:p>
      <w:pPr>
        <w:pStyle w:val="References"/>
      </w:pPr>
      <w:r>
        <w:t>[7] T. Bollerslev, "Generalized autoregressive conditional heteroskedasticity," Journal of Econometrics, vol. 31, no. 3, pp. 307–327, 1986. https://doi.org/10.1016/0304-4076(86)90063-1</w:t>
      </w:r>
    </w:p>
    <w:p>
      <w:pPr>
        <w:pStyle w:val="References"/>
      </w:pPr>
      <w:r>
        <w:t>[8] W. Huang, K. K. Lai, Y. Nakamori, S. Wang, and L. Yu, "Neural networks in finance and economics forecasting," International Journal of Information Technology &amp; Decision Making, vol. 6, no. 1, pp. 113–140, 2007. https://doi.org/10.1142/S021962200700237X</w:t>
      </w:r>
    </w:p>
    <w:p>
      <w:pPr>
        <w:pStyle w:val="References"/>
      </w:pPr>
      <w:r>
        <w:t>[9] A. Siahaan, P. Sihombing, and E. Prajitno, "Forecasting exchange rate USD/IDR using ARIMA method," International Journal of Applied Engineering Research, vol. 12, no. 24, pp. 14739–14742, 2017.</w:t>
      </w:r>
    </w:p>
    <w:p>
      <w:pPr>
        <w:pStyle w:val="References"/>
      </w:pPr>
      <w:r>
        <w:t>[10] D. Rahardja and A. Manurung, "The effect of macroeconomic variables on exchange rate: Evidence from Indonesia," Asian Journal of Economics, Business and Accounting, vol. 4, no. 1, pp. 1–10, 2017. https://doi.org/10.9734/AJEBA/2017/37069</w:t>
      </w:r>
    </w:p>
    <w:p>
      <w:pPr>
        <w:pStyle w:val="References"/>
      </w:pPr>
      <w:r>
        <w:t>[11] T. Fischer and C. Krauss, "Deep learning with long short-term memory networks for financial market predictions," European Journal of Operational Research, vol. 270, no. 2, pp. 654–669, 2018. https://doi.org/10.1016/j.ejor.2017.11.054</w:t>
      </w:r>
    </w:p>
    <w:p>
      <w:pPr>
        <w:pStyle w:val="References"/>
      </w:pPr>
      <w:r>
        <w:t>[12] S. Siami-Namini, N. Tavakoli, and A. S. Namin, "A comparison of ARIMA and LSTM in forecasting time series," in Proc. IEEE ICMLA, Boca Raton, FL, USA, 2018, pp. 1394–1401. https://doi.org/10.1109/ICMLA.2018.00227</w:t>
      </w:r>
    </w:p>
    <w:p>
      <w:pPr>
        <w:pStyle w:val="References"/>
      </w:pPr>
      <w:r>
        <w:t>[13] A. Graves, A. Mohamed, and G. Hinton, "Speech recognition with deep recurrent neural networks," in Proc. IEEE ICASSP, Vancouver, BC, Canada, 2013, pp. 6645–6649. https://doi.org/10.1109/ICASSP.2013.6638947</w:t>
      </w:r>
    </w:p>
    <w:p>
      <w:pPr>
        <w:pStyle w:val="References"/>
      </w:pPr>
      <w:r>
        <w:t>[14] S. Livieris, E. Pintelas, and P. Pintelas, "A CNN-LSTM model for gold price time-series forecasting," Neural Computing and Applications, vol. 32, pp. 17351–17360, 2020. https://doi.org/10.1007/s00521-020-04867-x</w:t>
      </w:r>
    </w:p>
    <w:p>
      <w:pPr>
        <w:pStyle w:val="References"/>
      </w:pPr>
      <w:r>
        <w:t>[15] S. Ghosh, "Examining crude oil price: Exchange rate nexus for India during the period of extreme oil price volatility," Applied Energy, vol. 88, no. 5, pp. 1886–1889, 2011. https://doi.org/10.1016/j.apenergy.2010.10.043</w:t>
      </w:r>
    </w:p>
    <w:sectPr w:rsidR="000B5F3E" w:rsidSect="008F3874">
      <w:type w:val="continuous"/>
      <w:pgSz w:w="12240" w:h="15840" w:code="1"/>
      <w:pgMar w:top="1009" w:right="936" w:bottom="1009" w:left="936" w:header="431" w:footer="431" w:gutter="0"/>
      <w:cols w:num="2" w:space="28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A52A5" w14:textId="77777777" w:rsidR="000B6872" w:rsidRDefault="000B6872" w:rsidP="009347B9">
      <w:r>
        <w:separator/>
      </w:r>
    </w:p>
  </w:endnote>
  <w:endnote w:type="continuationSeparator" w:id="0">
    <w:p w14:paraId="0BE67B5E" w14:textId="77777777" w:rsidR="000B6872" w:rsidRDefault="000B6872" w:rsidP="00934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A5B3857-63D8-4696-8C92-5E9B0AF1EDD6}"/>
    <w:embedBold r:id="rId2" w:fontKey="{C580E09F-9479-4E91-99CF-8EB93D83017A}"/>
  </w:font>
  <w:font w:name="Libertinus Serif">
    <w:altName w:val="Calibri"/>
    <w:panose1 w:val="00000000000000000000"/>
    <w:charset w:val="00"/>
    <w:family w:val="modern"/>
    <w:notTrueType/>
    <w:pitch w:val="variable"/>
    <w:sig w:usb0="E0000AFF" w:usb1="0200E5FB" w:usb2="00000020" w:usb3="00000000" w:csb0="000001BF" w:csb1="00000000"/>
  </w:font>
  <w:font w:name="UnitOT">
    <w:panose1 w:val="00000000000000000000"/>
    <w:charset w:val="00"/>
    <w:family w:val="swiss"/>
    <w:notTrueType/>
    <w:pitch w:val="variable"/>
    <w:sig w:usb0="800000EF" w:usb1="5000207B" w:usb2="00000028" w:usb3="00000000" w:csb0="00000001" w:csb1="00000000"/>
  </w:font>
  <w:font w:name="Minion Pro">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3" w:fontKey="{E3BB21D8-B614-4B24-A562-6A2761240711}"/>
  </w:font>
  <w:font w:name="Verdana">
    <w:panose1 w:val="020B0604030504040204"/>
    <w:charset w:val="00"/>
    <w:family w:val="swiss"/>
    <w:pitch w:val="variable"/>
    <w:sig w:usb0="A00006FF" w:usb1="4000205B" w:usb2="00000010" w:usb3="00000000" w:csb0="0000019F" w:csb1="00000000"/>
    <w:embedRegular r:id="rId4" w:fontKey="{76A11541-3CEB-4030-BFF1-57D1D10F5FE6}"/>
  </w:font>
  <w:font w:name="Arial Black">
    <w:panose1 w:val="020B0A04020102020204"/>
    <w:charset w:val="00"/>
    <w:family w:val="swiss"/>
    <w:pitch w:val="variable"/>
    <w:sig w:usb0="A00002AF" w:usb1="400078FB" w:usb2="00000000" w:usb3="00000000" w:csb0="0000009F" w:csb1="00000000"/>
    <w:embedRegular r:id="rId5" w:fontKey="{6FE91A32-CFA2-4399-A813-2543F847E4BE}"/>
  </w:font>
  <w:font w:name="Times">
    <w:panose1 w:val="02020603050405020304"/>
    <w:charset w:val="00"/>
    <w:family w:val="roman"/>
    <w:pitch w:val="variable"/>
    <w:sig w:usb0="E0002EFF" w:usb1="C000785B" w:usb2="00000009" w:usb3="00000000" w:csb0="000001FF" w:csb1="00000000"/>
    <w:embedRegular r:id="rId6" w:fontKey="{6E64C988-81DF-4DDE-A502-0FE24848B1A1}"/>
  </w:font>
  <w:font w:name="Libertinus Math">
    <w:altName w:val="Calibri"/>
    <w:panose1 w:val="00000000000000000000"/>
    <w:charset w:val="00"/>
    <w:family w:val="modern"/>
    <w:notTrueType/>
    <w:pitch w:val="variable"/>
    <w:sig w:usb0="E0000AFF" w:usb1="0200E5FF" w:usb2="02000020" w:usb3="00000000" w:csb0="000001B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embedRegular r:id="rId7" w:fontKey="{9898A9AA-9FAA-4E3F-B3DC-56643B9F043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FEA54" w14:textId="77777777" w:rsidR="000B6872" w:rsidRDefault="000B6872" w:rsidP="009347B9">
      <w:r>
        <w:separator/>
      </w:r>
    </w:p>
  </w:footnote>
  <w:footnote w:type="continuationSeparator" w:id="0">
    <w:p w14:paraId="5E49F271" w14:textId="77777777" w:rsidR="000B6872" w:rsidRDefault="000B6872" w:rsidP="009347B9">
      <w:r>
        <w:continuationSeparator/>
      </w:r>
    </w:p>
  </w:footnote>
  <w:footnote w:id="1">
    <w:p w14:paraId="5E5B2F0C" w14:textId="77777777" w:rsidR="005241A2" w:rsidRDefault="005241A2" w:rsidP="00F52723">
      <w:pPr>
        <w:pStyle w:val="Textonotapie"/>
      </w:pPr>
      <w:r>
        <w:rPr>
          <w:rStyle w:val="Refdenotaalpie"/>
          <w:rFonts w:eastAsia="UnitOT"/>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5BD4A" w14:textId="77777777" w:rsidR="005241A2" w:rsidRDefault="005241A2" w:rsidP="009347B9">
    <w:pPr>
      <w:rPr>
        <w:rFonts w:eastAsia="Arial Black"/>
        <w:w w:val="105"/>
      </w:rPr>
    </w:pPr>
    <w:bookmarkStart w:id="2" w:name="_Hlk487179695"/>
  </w:p>
  <w:bookmarkEnd w:i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5AD5B9B"/>
    <w:multiLevelType w:val="hybridMultilevel"/>
    <w:tmpl w:val="717285E0"/>
    <w:lvl w:ilvl="0" w:tplc="3E8E3022">
      <w:start w:val="1"/>
      <w:numFmt w:val="upperLetter"/>
      <w:lvlText w:val="%1."/>
      <w:lvlJc w:val="left"/>
      <w:pPr>
        <w:ind w:left="890" w:hanging="360"/>
      </w:pPr>
    </w:lvl>
    <w:lvl w:ilvl="1" w:tplc="0C0A0019" w:tentative="1">
      <w:start w:val="1"/>
      <w:numFmt w:val="lowerLetter"/>
      <w:lvlText w:val="%2."/>
      <w:lvlJc w:val="left"/>
      <w:pPr>
        <w:ind w:left="1610" w:hanging="360"/>
      </w:pPr>
    </w:lvl>
    <w:lvl w:ilvl="2" w:tplc="0C0A001B" w:tentative="1">
      <w:start w:val="1"/>
      <w:numFmt w:val="lowerRoman"/>
      <w:lvlText w:val="%3."/>
      <w:lvlJc w:val="right"/>
      <w:pPr>
        <w:ind w:left="2330" w:hanging="180"/>
      </w:pPr>
    </w:lvl>
    <w:lvl w:ilvl="3" w:tplc="0C0A000F" w:tentative="1">
      <w:start w:val="1"/>
      <w:numFmt w:val="decimal"/>
      <w:lvlText w:val="%4."/>
      <w:lvlJc w:val="left"/>
      <w:pPr>
        <w:ind w:left="3050" w:hanging="360"/>
      </w:pPr>
    </w:lvl>
    <w:lvl w:ilvl="4" w:tplc="0C0A0019" w:tentative="1">
      <w:start w:val="1"/>
      <w:numFmt w:val="lowerLetter"/>
      <w:lvlText w:val="%5."/>
      <w:lvlJc w:val="left"/>
      <w:pPr>
        <w:ind w:left="3770" w:hanging="360"/>
      </w:pPr>
    </w:lvl>
    <w:lvl w:ilvl="5" w:tplc="0C0A001B" w:tentative="1">
      <w:start w:val="1"/>
      <w:numFmt w:val="lowerRoman"/>
      <w:lvlText w:val="%6."/>
      <w:lvlJc w:val="right"/>
      <w:pPr>
        <w:ind w:left="4490" w:hanging="180"/>
      </w:pPr>
    </w:lvl>
    <w:lvl w:ilvl="6" w:tplc="0C0A000F" w:tentative="1">
      <w:start w:val="1"/>
      <w:numFmt w:val="decimal"/>
      <w:lvlText w:val="%7."/>
      <w:lvlJc w:val="left"/>
      <w:pPr>
        <w:ind w:left="5210" w:hanging="360"/>
      </w:pPr>
    </w:lvl>
    <w:lvl w:ilvl="7" w:tplc="0C0A0019" w:tentative="1">
      <w:start w:val="1"/>
      <w:numFmt w:val="lowerLetter"/>
      <w:lvlText w:val="%8."/>
      <w:lvlJc w:val="left"/>
      <w:pPr>
        <w:ind w:left="5930" w:hanging="360"/>
      </w:pPr>
    </w:lvl>
    <w:lvl w:ilvl="8" w:tplc="0C0A001B" w:tentative="1">
      <w:start w:val="1"/>
      <w:numFmt w:val="lowerRoman"/>
      <w:lvlText w:val="%9."/>
      <w:lvlJc w:val="right"/>
      <w:pPr>
        <w:ind w:left="6650" w:hanging="180"/>
      </w:pPr>
    </w:lvl>
  </w:abstractNum>
  <w:abstractNum w:abstractNumId="2" w15:restartNumberingAfterBreak="0">
    <w:nsid w:val="24131AA4"/>
    <w:multiLevelType w:val="hybridMultilevel"/>
    <w:tmpl w:val="485A039E"/>
    <w:lvl w:ilvl="0" w:tplc="89307C68">
      <w:start w:val="1"/>
      <w:numFmt w:val="lowerLetter"/>
      <w:lvlText w:val="%1)"/>
      <w:lvlJc w:val="left"/>
      <w:pPr>
        <w:ind w:left="1152" w:hanging="360"/>
      </w:pPr>
    </w:lvl>
    <w:lvl w:ilvl="1" w:tplc="0C0A0019" w:tentative="1">
      <w:start w:val="1"/>
      <w:numFmt w:val="lowerLetter"/>
      <w:lvlText w:val="%2."/>
      <w:lvlJc w:val="left"/>
      <w:pPr>
        <w:ind w:left="1872" w:hanging="360"/>
      </w:pPr>
    </w:lvl>
    <w:lvl w:ilvl="2" w:tplc="0C0A001B" w:tentative="1">
      <w:start w:val="1"/>
      <w:numFmt w:val="lowerRoman"/>
      <w:lvlText w:val="%3."/>
      <w:lvlJc w:val="right"/>
      <w:pPr>
        <w:ind w:left="2592" w:hanging="180"/>
      </w:pPr>
    </w:lvl>
    <w:lvl w:ilvl="3" w:tplc="0C0A000F" w:tentative="1">
      <w:start w:val="1"/>
      <w:numFmt w:val="decimal"/>
      <w:lvlText w:val="%4."/>
      <w:lvlJc w:val="left"/>
      <w:pPr>
        <w:ind w:left="3312" w:hanging="360"/>
      </w:pPr>
    </w:lvl>
    <w:lvl w:ilvl="4" w:tplc="0C0A0019" w:tentative="1">
      <w:start w:val="1"/>
      <w:numFmt w:val="lowerLetter"/>
      <w:lvlText w:val="%5."/>
      <w:lvlJc w:val="left"/>
      <w:pPr>
        <w:ind w:left="4032" w:hanging="360"/>
      </w:pPr>
    </w:lvl>
    <w:lvl w:ilvl="5" w:tplc="0C0A001B" w:tentative="1">
      <w:start w:val="1"/>
      <w:numFmt w:val="lowerRoman"/>
      <w:lvlText w:val="%6."/>
      <w:lvlJc w:val="right"/>
      <w:pPr>
        <w:ind w:left="4752" w:hanging="180"/>
      </w:pPr>
    </w:lvl>
    <w:lvl w:ilvl="6" w:tplc="0C0A000F" w:tentative="1">
      <w:start w:val="1"/>
      <w:numFmt w:val="decimal"/>
      <w:lvlText w:val="%7."/>
      <w:lvlJc w:val="left"/>
      <w:pPr>
        <w:ind w:left="5472" w:hanging="360"/>
      </w:pPr>
    </w:lvl>
    <w:lvl w:ilvl="7" w:tplc="0C0A0019" w:tentative="1">
      <w:start w:val="1"/>
      <w:numFmt w:val="lowerLetter"/>
      <w:lvlText w:val="%8."/>
      <w:lvlJc w:val="left"/>
      <w:pPr>
        <w:ind w:left="6192" w:hanging="360"/>
      </w:pPr>
    </w:lvl>
    <w:lvl w:ilvl="8" w:tplc="0C0A001B" w:tentative="1">
      <w:start w:val="1"/>
      <w:numFmt w:val="lowerRoman"/>
      <w:lvlText w:val="%9."/>
      <w:lvlJc w:val="right"/>
      <w:pPr>
        <w:ind w:left="6912" w:hanging="180"/>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79B1C87"/>
    <w:multiLevelType w:val="multilevel"/>
    <w:tmpl w:val="FF529C1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9AF542D"/>
    <w:multiLevelType w:val="hybridMultilevel"/>
    <w:tmpl w:val="16484842"/>
    <w:lvl w:ilvl="0" w:tplc="6548F292">
      <w:start w:val="1"/>
      <w:numFmt w:val="lowerLetter"/>
      <w:pStyle w:val="Ttulo4"/>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7894B50"/>
    <w:multiLevelType w:val="hybridMultilevel"/>
    <w:tmpl w:val="708ADD50"/>
    <w:lvl w:ilvl="0" w:tplc="FA400454">
      <w:start w:val="1"/>
      <w:numFmt w:val="decimal"/>
      <w:pStyle w:val="NumberedList"/>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A877D64"/>
    <w:multiLevelType w:val="singleLevel"/>
    <w:tmpl w:val="C204B7A6"/>
    <w:lvl w:ilvl="0">
      <w:start w:val="1"/>
      <w:numFmt w:val="decimal"/>
      <w:pStyle w:val="References"/>
      <w:lvlText w:val="[%1]"/>
      <w:lvlJc w:val="left"/>
      <w:pPr>
        <w:ind w:left="360" w:hanging="360"/>
      </w:pPr>
      <w:rPr>
        <w:rFonts w:hint="default"/>
        <w:color w:val="0098CD"/>
      </w:rPr>
    </w:lvl>
  </w:abstractNum>
  <w:abstractNum w:abstractNumId="9" w15:restartNumberingAfterBreak="0">
    <w:nsid w:val="459A556A"/>
    <w:multiLevelType w:val="multilevel"/>
    <w:tmpl w:val="9BAECF82"/>
    <w:lvl w:ilvl="0">
      <w:start w:val="1"/>
      <w:numFmt w:val="upperRoman"/>
      <w:pStyle w:val="Ttulo1"/>
      <w:lvlText w:val="%1."/>
      <w:lvlJc w:val="center"/>
      <w:pPr>
        <w:ind w:left="170" w:hanging="170"/>
      </w:pPr>
      <w:rPr>
        <w:rFonts w:hint="default"/>
      </w:rPr>
    </w:lvl>
    <w:lvl w:ilvl="1">
      <w:start w:val="1"/>
      <w:numFmt w:val="upperLetter"/>
      <w:pStyle w:val="Ttulo2"/>
      <w:lvlText w:val="%2."/>
      <w:lvlJc w:val="left"/>
      <w:pPr>
        <w:ind w:left="227" w:hanging="227"/>
      </w:pPr>
      <w:rPr>
        <w:rFonts w:hint="default"/>
      </w:rPr>
    </w:lvl>
    <w:lvl w:ilvl="2">
      <w:start w:val="1"/>
      <w:numFmt w:val="none"/>
      <w:lvlText w:val=""/>
      <w:lvlJc w:val="right"/>
      <w:pPr>
        <w:ind w:left="0" w:firstLine="0"/>
      </w:pPr>
      <w:rPr>
        <w:rFonts w:hint="default"/>
      </w:rPr>
    </w:lvl>
    <w:lvl w:ilvl="3">
      <w:start w:val="1"/>
      <w:numFmt w:val="decimal"/>
      <w:lvlText w:val="%4)"/>
      <w:lvlJc w:val="left"/>
      <w:pPr>
        <w:ind w:left="227" w:hanging="22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9837D9B"/>
    <w:multiLevelType w:val="hybridMultilevel"/>
    <w:tmpl w:val="339C69F2"/>
    <w:lvl w:ilvl="0" w:tplc="D572241E">
      <w:start w:val="1"/>
      <w:numFmt w:val="bullet"/>
      <w:pStyle w:val="Lista1"/>
      <w:lvlText w:val=""/>
      <w:lvlJc w:val="left"/>
      <w:pPr>
        <w:ind w:left="570" w:hanging="360"/>
      </w:pPr>
      <w:rPr>
        <w:rFonts w:ascii="Symbol" w:hAnsi="Symbol" w:hint="default"/>
      </w:rPr>
    </w:lvl>
    <w:lvl w:ilvl="1" w:tplc="0C0A0003" w:tentative="1">
      <w:start w:val="1"/>
      <w:numFmt w:val="bullet"/>
      <w:lvlText w:val="o"/>
      <w:lvlJc w:val="left"/>
      <w:pPr>
        <w:ind w:left="1290" w:hanging="360"/>
      </w:pPr>
      <w:rPr>
        <w:rFonts w:ascii="Courier New" w:hAnsi="Courier New" w:cs="Courier New" w:hint="default"/>
      </w:rPr>
    </w:lvl>
    <w:lvl w:ilvl="2" w:tplc="0C0A0005" w:tentative="1">
      <w:start w:val="1"/>
      <w:numFmt w:val="bullet"/>
      <w:lvlText w:val=""/>
      <w:lvlJc w:val="left"/>
      <w:pPr>
        <w:ind w:left="2010" w:hanging="360"/>
      </w:pPr>
      <w:rPr>
        <w:rFonts w:ascii="Wingdings" w:hAnsi="Wingdings" w:hint="default"/>
      </w:rPr>
    </w:lvl>
    <w:lvl w:ilvl="3" w:tplc="0C0A0001" w:tentative="1">
      <w:start w:val="1"/>
      <w:numFmt w:val="bullet"/>
      <w:lvlText w:val=""/>
      <w:lvlJc w:val="left"/>
      <w:pPr>
        <w:ind w:left="2730" w:hanging="360"/>
      </w:pPr>
      <w:rPr>
        <w:rFonts w:ascii="Symbol" w:hAnsi="Symbol" w:hint="default"/>
      </w:rPr>
    </w:lvl>
    <w:lvl w:ilvl="4" w:tplc="0C0A0003" w:tentative="1">
      <w:start w:val="1"/>
      <w:numFmt w:val="bullet"/>
      <w:lvlText w:val="o"/>
      <w:lvlJc w:val="left"/>
      <w:pPr>
        <w:ind w:left="3450" w:hanging="360"/>
      </w:pPr>
      <w:rPr>
        <w:rFonts w:ascii="Courier New" w:hAnsi="Courier New" w:cs="Courier New" w:hint="default"/>
      </w:rPr>
    </w:lvl>
    <w:lvl w:ilvl="5" w:tplc="0C0A0005" w:tentative="1">
      <w:start w:val="1"/>
      <w:numFmt w:val="bullet"/>
      <w:lvlText w:val=""/>
      <w:lvlJc w:val="left"/>
      <w:pPr>
        <w:ind w:left="4170" w:hanging="360"/>
      </w:pPr>
      <w:rPr>
        <w:rFonts w:ascii="Wingdings" w:hAnsi="Wingdings" w:hint="default"/>
      </w:rPr>
    </w:lvl>
    <w:lvl w:ilvl="6" w:tplc="0C0A0001" w:tentative="1">
      <w:start w:val="1"/>
      <w:numFmt w:val="bullet"/>
      <w:lvlText w:val=""/>
      <w:lvlJc w:val="left"/>
      <w:pPr>
        <w:ind w:left="4890" w:hanging="360"/>
      </w:pPr>
      <w:rPr>
        <w:rFonts w:ascii="Symbol" w:hAnsi="Symbol" w:hint="default"/>
      </w:rPr>
    </w:lvl>
    <w:lvl w:ilvl="7" w:tplc="0C0A0003" w:tentative="1">
      <w:start w:val="1"/>
      <w:numFmt w:val="bullet"/>
      <w:lvlText w:val="o"/>
      <w:lvlJc w:val="left"/>
      <w:pPr>
        <w:ind w:left="5610" w:hanging="360"/>
      </w:pPr>
      <w:rPr>
        <w:rFonts w:ascii="Courier New" w:hAnsi="Courier New" w:cs="Courier New" w:hint="default"/>
      </w:rPr>
    </w:lvl>
    <w:lvl w:ilvl="8" w:tplc="0C0A0005" w:tentative="1">
      <w:start w:val="1"/>
      <w:numFmt w:val="bullet"/>
      <w:lvlText w:val=""/>
      <w:lvlJc w:val="left"/>
      <w:pPr>
        <w:ind w:left="6330" w:hanging="360"/>
      </w:pPr>
      <w:rPr>
        <w:rFonts w:ascii="Wingdings" w:hAnsi="Wingdings" w:hint="default"/>
      </w:rPr>
    </w:lvl>
  </w:abstractNum>
  <w:abstractNum w:abstractNumId="11" w15:restartNumberingAfterBreak="0">
    <w:nsid w:val="5C742049"/>
    <w:multiLevelType w:val="hybridMultilevel"/>
    <w:tmpl w:val="8B78E076"/>
    <w:lvl w:ilvl="0" w:tplc="0C0A0015">
      <w:start w:val="1"/>
      <w:numFmt w:val="upp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63B030FF"/>
    <w:multiLevelType w:val="hybridMultilevel"/>
    <w:tmpl w:val="A1C6BEE2"/>
    <w:lvl w:ilvl="0" w:tplc="48B488A0">
      <w:start w:val="1"/>
      <w:numFmt w:val="decimal"/>
      <w:pStyle w:val="Ttulo3"/>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4" w15:restartNumberingAfterBreak="0">
    <w:nsid w:val="7B0129D4"/>
    <w:multiLevelType w:val="hybridMultilevel"/>
    <w:tmpl w:val="D5AA65FA"/>
    <w:lvl w:ilvl="0" w:tplc="425054A6">
      <w:start w:val="1"/>
      <w:numFmt w:val="decimal"/>
      <w:lvlText w:val="%1)"/>
      <w:lvlJc w:val="left"/>
      <w:pPr>
        <w:ind w:left="1218" w:hanging="360"/>
      </w:pPr>
    </w:lvl>
    <w:lvl w:ilvl="1" w:tplc="0C0A0019" w:tentative="1">
      <w:start w:val="1"/>
      <w:numFmt w:val="lowerLetter"/>
      <w:lvlText w:val="%2."/>
      <w:lvlJc w:val="left"/>
      <w:pPr>
        <w:ind w:left="1938" w:hanging="360"/>
      </w:pPr>
    </w:lvl>
    <w:lvl w:ilvl="2" w:tplc="0C0A001B" w:tentative="1">
      <w:start w:val="1"/>
      <w:numFmt w:val="lowerRoman"/>
      <w:lvlText w:val="%3."/>
      <w:lvlJc w:val="right"/>
      <w:pPr>
        <w:ind w:left="2658" w:hanging="180"/>
      </w:pPr>
    </w:lvl>
    <w:lvl w:ilvl="3" w:tplc="0C0A000F" w:tentative="1">
      <w:start w:val="1"/>
      <w:numFmt w:val="decimal"/>
      <w:lvlText w:val="%4."/>
      <w:lvlJc w:val="left"/>
      <w:pPr>
        <w:ind w:left="3378" w:hanging="360"/>
      </w:pPr>
    </w:lvl>
    <w:lvl w:ilvl="4" w:tplc="0C0A0019" w:tentative="1">
      <w:start w:val="1"/>
      <w:numFmt w:val="lowerLetter"/>
      <w:lvlText w:val="%5."/>
      <w:lvlJc w:val="left"/>
      <w:pPr>
        <w:ind w:left="4098" w:hanging="360"/>
      </w:pPr>
    </w:lvl>
    <w:lvl w:ilvl="5" w:tplc="0C0A001B" w:tentative="1">
      <w:start w:val="1"/>
      <w:numFmt w:val="lowerRoman"/>
      <w:lvlText w:val="%6."/>
      <w:lvlJc w:val="right"/>
      <w:pPr>
        <w:ind w:left="4818" w:hanging="180"/>
      </w:pPr>
    </w:lvl>
    <w:lvl w:ilvl="6" w:tplc="0C0A000F" w:tentative="1">
      <w:start w:val="1"/>
      <w:numFmt w:val="decimal"/>
      <w:lvlText w:val="%7."/>
      <w:lvlJc w:val="left"/>
      <w:pPr>
        <w:ind w:left="5538" w:hanging="360"/>
      </w:pPr>
    </w:lvl>
    <w:lvl w:ilvl="7" w:tplc="0C0A0019" w:tentative="1">
      <w:start w:val="1"/>
      <w:numFmt w:val="lowerLetter"/>
      <w:lvlText w:val="%8."/>
      <w:lvlJc w:val="left"/>
      <w:pPr>
        <w:ind w:left="6258" w:hanging="360"/>
      </w:pPr>
    </w:lvl>
    <w:lvl w:ilvl="8" w:tplc="0C0A001B" w:tentative="1">
      <w:start w:val="1"/>
      <w:numFmt w:val="lowerRoman"/>
      <w:lvlText w:val="%9."/>
      <w:lvlJc w:val="right"/>
      <w:pPr>
        <w:ind w:left="6978" w:hanging="180"/>
      </w:pPr>
    </w:lvl>
  </w:abstractNum>
  <w:num w:numId="1" w16cid:durableId="1606693069">
    <w:abstractNumId w:val="0"/>
  </w:num>
  <w:num w:numId="2" w16cid:durableId="595797069">
    <w:abstractNumId w:val="8"/>
  </w:num>
  <w:num w:numId="3" w16cid:durableId="1380712474">
    <w:abstractNumId w:val="3"/>
  </w:num>
  <w:num w:numId="4" w16cid:durableId="1447961777">
    <w:abstractNumId w:val="13"/>
  </w:num>
  <w:num w:numId="5" w16cid:durableId="981693266">
    <w:abstractNumId w:val="9"/>
  </w:num>
  <w:num w:numId="6" w16cid:durableId="1839466094">
    <w:abstractNumId w:val="1"/>
  </w:num>
  <w:num w:numId="7" w16cid:durableId="1289775646">
    <w:abstractNumId w:val="11"/>
  </w:num>
  <w:num w:numId="8" w16cid:durableId="1152990357">
    <w:abstractNumId w:val="10"/>
  </w:num>
  <w:num w:numId="9" w16cid:durableId="583345298">
    <w:abstractNumId w:val="14"/>
  </w:num>
  <w:num w:numId="10" w16cid:durableId="1117604078">
    <w:abstractNumId w:val="2"/>
  </w:num>
  <w:num w:numId="11" w16cid:durableId="1700814602">
    <w:abstractNumId w:val="4"/>
  </w:num>
  <w:num w:numId="12" w16cid:durableId="1611084733">
    <w:abstractNumId w:val="7"/>
  </w:num>
  <w:num w:numId="13" w16cid:durableId="1922985449">
    <w:abstractNumId w:val="6"/>
    <w:lvlOverride w:ilvl="0">
      <w:lvl w:ilvl="0">
        <w:start w:val="1"/>
        <w:numFmt w:val="decimal"/>
        <w:lvlText w:val="%1."/>
        <w:legacy w:legacy="1" w:legacySpace="0" w:legacyIndent="360"/>
        <w:lvlJc w:val="left"/>
        <w:pPr>
          <w:ind w:left="360" w:hanging="360"/>
        </w:pPr>
      </w:lvl>
    </w:lvlOverride>
  </w:num>
  <w:num w:numId="14" w16cid:durableId="328562862">
    <w:abstractNumId w:val="8"/>
    <w:lvlOverride w:ilvl="0">
      <w:startOverride w:val="1"/>
    </w:lvlOverride>
  </w:num>
  <w:num w:numId="15" w16cid:durableId="1245258030">
    <w:abstractNumId w:val="8"/>
  </w:num>
  <w:num w:numId="16" w16cid:durableId="199516804">
    <w:abstractNumId w:val="12"/>
  </w:num>
  <w:num w:numId="17" w16cid:durableId="177043470">
    <w:abstractNumId w:val="12"/>
    <w:lvlOverride w:ilvl="0">
      <w:startOverride w:val="1"/>
    </w:lvlOverride>
  </w:num>
  <w:num w:numId="18" w16cid:durableId="7311214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stylePaneSortMethod w:val="000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E18"/>
    <w:rsid w:val="00057869"/>
    <w:rsid w:val="00057887"/>
    <w:rsid w:val="00061A88"/>
    <w:rsid w:val="00072EBD"/>
    <w:rsid w:val="00075BEB"/>
    <w:rsid w:val="0008070A"/>
    <w:rsid w:val="00085D5E"/>
    <w:rsid w:val="00091FA4"/>
    <w:rsid w:val="00092613"/>
    <w:rsid w:val="000B5F3E"/>
    <w:rsid w:val="000B64D9"/>
    <w:rsid w:val="000B6872"/>
    <w:rsid w:val="000C737F"/>
    <w:rsid w:val="000E0EC4"/>
    <w:rsid w:val="000E547C"/>
    <w:rsid w:val="00103C98"/>
    <w:rsid w:val="001103B4"/>
    <w:rsid w:val="0012543A"/>
    <w:rsid w:val="00135F6E"/>
    <w:rsid w:val="0013647A"/>
    <w:rsid w:val="00170026"/>
    <w:rsid w:val="00183E8A"/>
    <w:rsid w:val="001860B1"/>
    <w:rsid w:val="001B6A42"/>
    <w:rsid w:val="001C3F8F"/>
    <w:rsid w:val="001C4753"/>
    <w:rsid w:val="001F48C6"/>
    <w:rsid w:val="00207781"/>
    <w:rsid w:val="002310E0"/>
    <w:rsid w:val="002408B7"/>
    <w:rsid w:val="002426EE"/>
    <w:rsid w:val="00250744"/>
    <w:rsid w:val="00252AE3"/>
    <w:rsid w:val="002839A3"/>
    <w:rsid w:val="00284C1F"/>
    <w:rsid w:val="0028703D"/>
    <w:rsid w:val="002920F6"/>
    <w:rsid w:val="002E1E12"/>
    <w:rsid w:val="002E7174"/>
    <w:rsid w:val="0030293E"/>
    <w:rsid w:val="00321DBB"/>
    <w:rsid w:val="003262F1"/>
    <w:rsid w:val="00326F5C"/>
    <w:rsid w:val="00350C15"/>
    <w:rsid w:val="00362A22"/>
    <w:rsid w:val="00382149"/>
    <w:rsid w:val="003826F4"/>
    <w:rsid w:val="003A6050"/>
    <w:rsid w:val="003A69BC"/>
    <w:rsid w:val="003B4CAF"/>
    <w:rsid w:val="003B4CEF"/>
    <w:rsid w:val="003B4EAE"/>
    <w:rsid w:val="003B69FE"/>
    <w:rsid w:val="003D0BA1"/>
    <w:rsid w:val="003E0A65"/>
    <w:rsid w:val="003F55B1"/>
    <w:rsid w:val="004025B7"/>
    <w:rsid w:val="0042610C"/>
    <w:rsid w:val="0043241D"/>
    <w:rsid w:val="00451419"/>
    <w:rsid w:val="00461F93"/>
    <w:rsid w:val="004B223E"/>
    <w:rsid w:val="004D23E2"/>
    <w:rsid w:val="004D2F42"/>
    <w:rsid w:val="004F2C3A"/>
    <w:rsid w:val="005241A2"/>
    <w:rsid w:val="00581B02"/>
    <w:rsid w:val="00595256"/>
    <w:rsid w:val="005A5D01"/>
    <w:rsid w:val="005B135D"/>
    <w:rsid w:val="005B243B"/>
    <w:rsid w:val="005D2A6D"/>
    <w:rsid w:val="005D2F7C"/>
    <w:rsid w:val="00622A2B"/>
    <w:rsid w:val="00627E19"/>
    <w:rsid w:val="006365BA"/>
    <w:rsid w:val="006373A2"/>
    <w:rsid w:val="006533E1"/>
    <w:rsid w:val="0066749B"/>
    <w:rsid w:val="00677250"/>
    <w:rsid w:val="00691B50"/>
    <w:rsid w:val="006947B9"/>
    <w:rsid w:val="006D3DCC"/>
    <w:rsid w:val="006E1876"/>
    <w:rsid w:val="00701382"/>
    <w:rsid w:val="007018AF"/>
    <w:rsid w:val="00716389"/>
    <w:rsid w:val="00721E86"/>
    <w:rsid w:val="00746990"/>
    <w:rsid w:val="00757434"/>
    <w:rsid w:val="00771766"/>
    <w:rsid w:val="0077470C"/>
    <w:rsid w:val="00796FCF"/>
    <w:rsid w:val="007A7A87"/>
    <w:rsid w:val="007E792A"/>
    <w:rsid w:val="007F68D7"/>
    <w:rsid w:val="0080552A"/>
    <w:rsid w:val="00837E18"/>
    <w:rsid w:val="00844625"/>
    <w:rsid w:val="00851866"/>
    <w:rsid w:val="00852366"/>
    <w:rsid w:val="0086278C"/>
    <w:rsid w:val="0086389E"/>
    <w:rsid w:val="00872988"/>
    <w:rsid w:val="008766BA"/>
    <w:rsid w:val="00880BC2"/>
    <w:rsid w:val="00894E62"/>
    <w:rsid w:val="008B70D0"/>
    <w:rsid w:val="008C11CF"/>
    <w:rsid w:val="008C4B0B"/>
    <w:rsid w:val="008D23EC"/>
    <w:rsid w:val="008F3874"/>
    <w:rsid w:val="009347B9"/>
    <w:rsid w:val="00981AE2"/>
    <w:rsid w:val="00983094"/>
    <w:rsid w:val="009B39C6"/>
    <w:rsid w:val="009B7EEC"/>
    <w:rsid w:val="009C49F9"/>
    <w:rsid w:val="009D6D2B"/>
    <w:rsid w:val="009E604F"/>
    <w:rsid w:val="009E61D6"/>
    <w:rsid w:val="00A00797"/>
    <w:rsid w:val="00A039D2"/>
    <w:rsid w:val="00A03EE7"/>
    <w:rsid w:val="00A25CC8"/>
    <w:rsid w:val="00A32FE0"/>
    <w:rsid w:val="00A37E4B"/>
    <w:rsid w:val="00A6138F"/>
    <w:rsid w:val="00A61C31"/>
    <w:rsid w:val="00AB2F0A"/>
    <w:rsid w:val="00AB4895"/>
    <w:rsid w:val="00AD379D"/>
    <w:rsid w:val="00AD448E"/>
    <w:rsid w:val="00AE665B"/>
    <w:rsid w:val="00AF3A98"/>
    <w:rsid w:val="00B0053C"/>
    <w:rsid w:val="00B040A0"/>
    <w:rsid w:val="00B244D2"/>
    <w:rsid w:val="00B245DA"/>
    <w:rsid w:val="00B261C1"/>
    <w:rsid w:val="00B64618"/>
    <w:rsid w:val="00B64821"/>
    <w:rsid w:val="00B873FD"/>
    <w:rsid w:val="00B87A0C"/>
    <w:rsid w:val="00B95D63"/>
    <w:rsid w:val="00BA45FA"/>
    <w:rsid w:val="00BD6128"/>
    <w:rsid w:val="00BE216F"/>
    <w:rsid w:val="00BE22F7"/>
    <w:rsid w:val="00C04409"/>
    <w:rsid w:val="00C12B03"/>
    <w:rsid w:val="00C26C21"/>
    <w:rsid w:val="00C33812"/>
    <w:rsid w:val="00C536F8"/>
    <w:rsid w:val="00C56489"/>
    <w:rsid w:val="00C91160"/>
    <w:rsid w:val="00CB1493"/>
    <w:rsid w:val="00CB4799"/>
    <w:rsid w:val="00CC18D8"/>
    <w:rsid w:val="00CD3E5B"/>
    <w:rsid w:val="00CE0921"/>
    <w:rsid w:val="00D378F8"/>
    <w:rsid w:val="00D72099"/>
    <w:rsid w:val="00D728C1"/>
    <w:rsid w:val="00D822FC"/>
    <w:rsid w:val="00D97EAD"/>
    <w:rsid w:val="00DB78EC"/>
    <w:rsid w:val="00DC2265"/>
    <w:rsid w:val="00DC63BE"/>
    <w:rsid w:val="00DD3A76"/>
    <w:rsid w:val="00DE2D62"/>
    <w:rsid w:val="00DE3D8D"/>
    <w:rsid w:val="00E02262"/>
    <w:rsid w:val="00E20771"/>
    <w:rsid w:val="00E22E21"/>
    <w:rsid w:val="00E31DD6"/>
    <w:rsid w:val="00E36A6F"/>
    <w:rsid w:val="00E55633"/>
    <w:rsid w:val="00E66ED2"/>
    <w:rsid w:val="00E761D8"/>
    <w:rsid w:val="00E83693"/>
    <w:rsid w:val="00E95597"/>
    <w:rsid w:val="00EB5401"/>
    <w:rsid w:val="00EB6246"/>
    <w:rsid w:val="00EC0E0A"/>
    <w:rsid w:val="00EE7D87"/>
    <w:rsid w:val="00EF0B55"/>
    <w:rsid w:val="00F10C10"/>
    <w:rsid w:val="00F2297F"/>
    <w:rsid w:val="00F23865"/>
    <w:rsid w:val="00F33879"/>
    <w:rsid w:val="00F36E0A"/>
    <w:rsid w:val="00F428A0"/>
    <w:rsid w:val="00F52723"/>
    <w:rsid w:val="00F773FD"/>
    <w:rsid w:val="00F848C1"/>
    <w:rsid w:val="00F87497"/>
    <w:rsid w:val="00FB27A1"/>
    <w:rsid w:val="00FB7031"/>
    <w:rsid w:val="00FC28ED"/>
    <w:rsid w:val="00FD40A3"/>
    <w:rsid w:val="00FE2654"/>
    <w:rsid w:val="00FF6C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0B0F5B"/>
  <w15:chartTrackingRefBased/>
  <w15:docId w15:val="{0DE78B05-602D-4A94-B1E0-0B308904B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locked="1" w:semiHidden="1" w:uiPriority="0" w:unhideWhenUsed="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locked="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semiHidden="1" w:uiPriority="34" w:qFormat="1"/>
    <w:lsdException w:name="Quote" w:locked="1" w:semiHidden="1" w:uiPriority="29"/>
    <w:lsdException w:name="Intense Quote" w:locked="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2E1E12"/>
    <w:pPr>
      <w:widowControl w:val="0"/>
      <w:autoSpaceDE w:val="0"/>
      <w:autoSpaceDN w:val="0"/>
      <w:spacing w:after="57" w:line="240" w:lineRule="auto"/>
      <w:ind w:firstLine="210"/>
      <w:jc w:val="both"/>
    </w:pPr>
    <w:rPr>
      <w:rFonts w:ascii="Libertinus Serif" w:eastAsia="Times New Roman" w:hAnsi="Libertinus Serif" w:cs="Times New Roman"/>
      <w:sz w:val="18"/>
      <w:szCs w:val="20"/>
      <w:lang w:val="en-US"/>
    </w:rPr>
  </w:style>
  <w:style w:type="paragraph" w:styleId="Ttulo1">
    <w:name w:val="heading 1"/>
    <w:aliases w:val="Title 1"/>
    <w:basedOn w:val="Normal"/>
    <w:link w:val="Ttulo1Car"/>
    <w:qFormat/>
    <w:rsid w:val="002E1E12"/>
    <w:pPr>
      <w:numPr>
        <w:numId w:val="5"/>
      </w:numPr>
      <w:pBdr>
        <w:bottom w:val="single" w:sz="4" w:space="1" w:color="0098CD"/>
      </w:pBdr>
      <w:spacing w:before="227" w:after="170"/>
      <w:jc w:val="center"/>
      <w:outlineLvl w:val="0"/>
    </w:pPr>
    <w:rPr>
      <w:rFonts w:eastAsia="UnitOT"/>
      <w:smallCaps/>
      <w:color w:val="0098CD"/>
      <w:sz w:val="20"/>
      <w:szCs w:val="28"/>
    </w:rPr>
  </w:style>
  <w:style w:type="paragraph" w:styleId="Ttulo2">
    <w:name w:val="heading 2"/>
    <w:aliases w:val="Title 2"/>
    <w:basedOn w:val="Normal"/>
    <w:next w:val="Normal"/>
    <w:link w:val="Ttulo2Car"/>
    <w:qFormat/>
    <w:rsid w:val="003E0A65"/>
    <w:pPr>
      <w:keepNext/>
      <w:keepLines/>
      <w:numPr>
        <w:ilvl w:val="1"/>
        <w:numId w:val="5"/>
      </w:numPr>
      <w:jc w:val="left"/>
      <w:outlineLvl w:val="1"/>
    </w:pPr>
    <w:rPr>
      <w:rFonts w:eastAsiaTheme="majorEastAsia" w:cstheme="majorBidi"/>
      <w:i/>
      <w:color w:val="0098CD"/>
      <w:kern w:val="24"/>
      <w:sz w:val="20"/>
      <w:szCs w:val="26"/>
    </w:rPr>
  </w:style>
  <w:style w:type="paragraph" w:styleId="Ttulo3">
    <w:name w:val="heading 3"/>
    <w:aliases w:val="Title 3"/>
    <w:basedOn w:val="Normal"/>
    <w:next w:val="Normal"/>
    <w:link w:val="Ttulo3Car"/>
    <w:qFormat/>
    <w:rsid w:val="001B6A42"/>
    <w:pPr>
      <w:keepNext/>
      <w:numPr>
        <w:numId w:val="16"/>
      </w:numPr>
      <w:ind w:left="227" w:hanging="227"/>
      <w:jc w:val="left"/>
      <w:outlineLvl w:val="2"/>
    </w:pPr>
    <w:rPr>
      <w:i/>
      <w:iCs/>
      <w:color w:val="0098CD"/>
      <w:sz w:val="20"/>
    </w:rPr>
  </w:style>
  <w:style w:type="paragraph" w:styleId="Ttulo4">
    <w:name w:val="heading 4"/>
    <w:aliases w:val="Title 4"/>
    <w:basedOn w:val="Normal"/>
    <w:next w:val="Normal"/>
    <w:link w:val="Ttulo4Car"/>
    <w:qFormat/>
    <w:rsid w:val="002E1E12"/>
    <w:pPr>
      <w:keepNext/>
      <w:numPr>
        <w:numId w:val="18"/>
      </w:numPr>
      <w:ind w:left="227" w:hanging="227"/>
      <w:jc w:val="left"/>
      <w:outlineLvl w:val="3"/>
    </w:pPr>
    <w:rPr>
      <w:i/>
      <w:iCs/>
      <w:color w:val="0098CD"/>
      <w:szCs w:val="18"/>
    </w:rPr>
  </w:style>
  <w:style w:type="paragraph" w:styleId="Ttulo5">
    <w:name w:val="heading 5"/>
    <w:basedOn w:val="Normal"/>
    <w:next w:val="Normal"/>
    <w:link w:val="Ttulo5Car"/>
    <w:semiHidden/>
    <w:locked/>
    <w:rsid w:val="008F3874"/>
    <w:pPr>
      <w:spacing w:before="240" w:after="60"/>
      <w:ind w:left="1872" w:hanging="720"/>
      <w:outlineLvl w:val="4"/>
    </w:pPr>
    <w:rPr>
      <w:szCs w:val="18"/>
    </w:rPr>
  </w:style>
  <w:style w:type="paragraph" w:styleId="Ttulo6">
    <w:name w:val="heading 6"/>
    <w:basedOn w:val="Normal"/>
    <w:next w:val="Normal"/>
    <w:link w:val="Ttulo6Car"/>
    <w:semiHidden/>
    <w:qFormat/>
    <w:locked/>
    <w:rsid w:val="008F3874"/>
    <w:pPr>
      <w:spacing w:before="240" w:after="60"/>
      <w:ind w:left="2592" w:hanging="720"/>
      <w:outlineLvl w:val="5"/>
    </w:pPr>
    <w:rPr>
      <w:i/>
      <w:iCs/>
      <w:sz w:val="16"/>
      <w:szCs w:val="16"/>
    </w:rPr>
  </w:style>
  <w:style w:type="paragraph" w:styleId="Ttulo7">
    <w:name w:val="heading 7"/>
    <w:basedOn w:val="Normal"/>
    <w:next w:val="Normal"/>
    <w:link w:val="Ttulo7Car"/>
    <w:semiHidden/>
    <w:qFormat/>
    <w:locked/>
    <w:rsid w:val="008F3874"/>
    <w:pPr>
      <w:spacing w:before="240" w:after="60"/>
      <w:ind w:left="3312" w:hanging="720"/>
      <w:outlineLvl w:val="6"/>
    </w:pPr>
    <w:rPr>
      <w:sz w:val="16"/>
      <w:szCs w:val="16"/>
    </w:rPr>
  </w:style>
  <w:style w:type="paragraph" w:styleId="Ttulo8">
    <w:name w:val="heading 8"/>
    <w:basedOn w:val="Normal"/>
    <w:next w:val="Normal"/>
    <w:link w:val="Ttulo8Car"/>
    <w:semiHidden/>
    <w:qFormat/>
    <w:locked/>
    <w:rsid w:val="008F3874"/>
    <w:pPr>
      <w:spacing w:before="240" w:after="60"/>
      <w:ind w:left="4032" w:hanging="720"/>
      <w:outlineLvl w:val="7"/>
    </w:pPr>
    <w:rPr>
      <w:i/>
      <w:iCs/>
      <w:sz w:val="16"/>
      <w:szCs w:val="16"/>
    </w:rPr>
  </w:style>
  <w:style w:type="paragraph" w:styleId="Ttulo9">
    <w:name w:val="heading 9"/>
    <w:basedOn w:val="Normal"/>
    <w:next w:val="Normal"/>
    <w:link w:val="Ttulo9Car"/>
    <w:semiHidden/>
    <w:qFormat/>
    <w:locked/>
    <w:rsid w:val="008F3874"/>
    <w:pPr>
      <w:spacing w:before="240" w:after="60"/>
      <w:ind w:left="4752" w:hanging="72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E18"/>
    <w:pPr>
      <w:tabs>
        <w:tab w:val="center" w:pos="4252"/>
        <w:tab w:val="right" w:pos="8504"/>
      </w:tabs>
      <w:spacing w:after="0"/>
    </w:pPr>
  </w:style>
  <w:style w:type="character" w:customStyle="1" w:styleId="EncabezadoCar">
    <w:name w:val="Encabezado Car"/>
    <w:basedOn w:val="Fuentedeprrafopredeter"/>
    <w:link w:val="Encabezado"/>
    <w:uiPriority w:val="99"/>
    <w:rsid w:val="00837E18"/>
  </w:style>
  <w:style w:type="paragraph" w:styleId="Piedepgina">
    <w:name w:val="footer"/>
    <w:basedOn w:val="Normal"/>
    <w:link w:val="PiedepginaCar"/>
    <w:uiPriority w:val="99"/>
    <w:unhideWhenUsed/>
    <w:rsid w:val="00837E18"/>
    <w:pPr>
      <w:tabs>
        <w:tab w:val="center" w:pos="4252"/>
        <w:tab w:val="right" w:pos="8504"/>
      </w:tabs>
      <w:spacing w:after="0"/>
    </w:pPr>
  </w:style>
  <w:style w:type="character" w:customStyle="1" w:styleId="PiedepginaCar">
    <w:name w:val="Pie de página Car"/>
    <w:basedOn w:val="Fuentedeprrafopredeter"/>
    <w:link w:val="Piedepgina"/>
    <w:uiPriority w:val="99"/>
    <w:rsid w:val="00837E18"/>
  </w:style>
  <w:style w:type="paragraph" w:styleId="Ttulo">
    <w:name w:val="Title"/>
    <w:aliases w:val="Title"/>
    <w:next w:val="Author"/>
    <w:link w:val="TtuloCar"/>
    <w:uiPriority w:val="10"/>
    <w:qFormat/>
    <w:locked/>
    <w:rsid w:val="002E1E12"/>
    <w:pPr>
      <w:spacing w:after="200" w:line="240" w:lineRule="auto"/>
      <w:contextualSpacing/>
    </w:pPr>
    <w:rPr>
      <w:rFonts w:ascii="Libertinus Serif" w:eastAsiaTheme="majorEastAsia" w:hAnsi="Libertinus Serif" w:cstheme="majorBidi"/>
      <w:spacing w:val="-10"/>
      <w:kern w:val="28"/>
      <w:sz w:val="48"/>
      <w:szCs w:val="56"/>
    </w:rPr>
  </w:style>
  <w:style w:type="character" w:customStyle="1" w:styleId="TtuloCar">
    <w:name w:val="Título Car"/>
    <w:aliases w:val="Title Car"/>
    <w:basedOn w:val="Fuentedeprrafopredeter"/>
    <w:link w:val="Ttulo"/>
    <w:uiPriority w:val="10"/>
    <w:rsid w:val="002E1E12"/>
    <w:rPr>
      <w:rFonts w:ascii="Libertinus Serif" w:eastAsiaTheme="majorEastAsia" w:hAnsi="Libertinus Serif" w:cstheme="majorBidi"/>
      <w:spacing w:val="-10"/>
      <w:kern w:val="28"/>
      <w:sz w:val="48"/>
      <w:szCs w:val="56"/>
    </w:rPr>
  </w:style>
  <w:style w:type="paragraph" w:customStyle="1" w:styleId="Author">
    <w:name w:val="Author"/>
    <w:qFormat/>
    <w:rsid w:val="002E1E12"/>
    <w:pPr>
      <w:spacing w:after="227"/>
    </w:pPr>
    <w:rPr>
      <w:rFonts w:ascii="Libertinus Serif" w:eastAsia="Minion Pro" w:hAnsi="Libertinus Serif" w:cs="Times New Roman"/>
      <w:color w:val="0098CD"/>
      <w:spacing w:val="-6"/>
      <w:sz w:val="24"/>
      <w:szCs w:val="24"/>
      <w:lang w:val="en-US"/>
    </w:rPr>
  </w:style>
  <w:style w:type="character" w:customStyle="1" w:styleId="Ttulo1Car">
    <w:name w:val="Título 1 Car"/>
    <w:aliases w:val="Title 1 Car"/>
    <w:basedOn w:val="Fuentedeprrafopredeter"/>
    <w:link w:val="Ttulo1"/>
    <w:rsid w:val="002E1E12"/>
    <w:rPr>
      <w:rFonts w:ascii="Libertinus Serif" w:eastAsia="UnitOT" w:hAnsi="Libertinus Serif" w:cs="Times New Roman"/>
      <w:smallCaps/>
      <w:color w:val="0098CD"/>
      <w:sz w:val="20"/>
      <w:szCs w:val="28"/>
      <w:lang w:val="en-US"/>
    </w:rPr>
  </w:style>
  <w:style w:type="paragraph" w:customStyle="1" w:styleId="AbstractKeytitle">
    <w:name w:val="Abstract_Key_title"/>
    <w:link w:val="AbstractKeytitleCar"/>
    <w:qFormat/>
    <w:rsid w:val="00DE3D8D"/>
    <w:pPr>
      <w:pBdr>
        <w:bottom w:val="single" w:sz="4" w:space="1" w:color="0098CD"/>
      </w:pBdr>
      <w:tabs>
        <w:tab w:val="left" w:pos="8080"/>
      </w:tabs>
      <w:spacing w:after="227"/>
      <w:jc w:val="both"/>
    </w:pPr>
    <w:rPr>
      <w:rFonts w:ascii="Arial" w:eastAsia="UnitOT" w:hAnsi="Arial" w:cs="Arial"/>
      <w:b/>
      <w:smallCaps/>
      <w:color w:val="0097CD"/>
      <w:w w:val="115"/>
      <w:sz w:val="28"/>
      <w:szCs w:val="28"/>
      <w:lang w:val="en-US"/>
    </w:rPr>
  </w:style>
  <w:style w:type="paragraph" w:customStyle="1" w:styleId="Abstract">
    <w:name w:val="Abstract"/>
    <w:qFormat/>
    <w:rsid w:val="002E1E12"/>
    <w:pPr>
      <w:spacing w:after="57" w:line="216" w:lineRule="exact"/>
      <w:jc w:val="both"/>
    </w:pPr>
    <w:rPr>
      <w:rFonts w:ascii="Libertinus Serif" w:eastAsia="Times New Roman" w:hAnsi="Libertinus Serif" w:cs="Times New Roman"/>
      <w:sz w:val="18"/>
      <w:szCs w:val="18"/>
      <w:lang w:val="en-US"/>
    </w:rPr>
  </w:style>
  <w:style w:type="character" w:customStyle="1" w:styleId="AbstractKeytitleCar">
    <w:name w:val="Abstract_Key_title Car"/>
    <w:basedOn w:val="Ttulo1Car"/>
    <w:link w:val="AbstractKeytitle"/>
    <w:rsid w:val="00DE3D8D"/>
    <w:rPr>
      <w:rFonts w:ascii="Arial" w:eastAsia="UnitOT" w:hAnsi="Arial" w:cs="Arial"/>
      <w:b/>
      <w:smallCaps/>
      <w:color w:val="0097CD"/>
      <w:w w:val="115"/>
      <w:sz w:val="28"/>
      <w:szCs w:val="28"/>
      <w:lang w:val="en-US"/>
    </w:rPr>
  </w:style>
  <w:style w:type="paragraph" w:customStyle="1" w:styleId="Member">
    <w:name w:val="Member"/>
    <w:qFormat/>
    <w:rsid w:val="002E1E12"/>
    <w:pPr>
      <w:spacing w:after="227"/>
    </w:pPr>
    <w:rPr>
      <w:rFonts w:ascii="Libertinus Serif" w:eastAsia="Times New Roman" w:hAnsi="Libertinus Serif" w:cs="Times New Roman"/>
      <w:sz w:val="20"/>
      <w:szCs w:val="20"/>
      <w:lang w:val="en-US"/>
    </w:rPr>
  </w:style>
  <w:style w:type="paragraph" w:customStyle="1" w:styleId="Keywords">
    <w:name w:val="Keywords"/>
    <w:qFormat/>
    <w:rsid w:val="002E1E12"/>
    <w:rPr>
      <w:rFonts w:ascii="Libertinus Serif" w:eastAsia="Times New Roman" w:hAnsi="Libertinus Serif" w:cs="Times New Roman"/>
      <w:sz w:val="18"/>
      <w:szCs w:val="18"/>
      <w:lang w:val="en-US"/>
    </w:rPr>
  </w:style>
  <w:style w:type="character" w:styleId="Hipervnculo">
    <w:name w:val="Hyperlink"/>
    <w:basedOn w:val="Fuentedeprrafopredeter"/>
    <w:unhideWhenUsed/>
    <w:rsid w:val="00622A2B"/>
    <w:rPr>
      <w:color w:val="0563C1" w:themeColor="hyperlink"/>
      <w:u w:val="single"/>
    </w:rPr>
  </w:style>
  <w:style w:type="character" w:customStyle="1" w:styleId="Mencinsinresolver1">
    <w:name w:val="Mención sin resolver1"/>
    <w:basedOn w:val="Fuentedeprrafopredeter"/>
    <w:uiPriority w:val="99"/>
    <w:semiHidden/>
    <w:unhideWhenUsed/>
    <w:rsid w:val="00622A2B"/>
    <w:rPr>
      <w:color w:val="808080"/>
      <w:shd w:val="clear" w:color="auto" w:fill="E6E6E6"/>
    </w:rPr>
  </w:style>
  <w:style w:type="character" w:customStyle="1" w:styleId="Ttulo2Car">
    <w:name w:val="Título 2 Car"/>
    <w:aliases w:val="Title 2 Car"/>
    <w:basedOn w:val="Fuentedeprrafopredeter"/>
    <w:link w:val="Ttulo2"/>
    <w:rsid w:val="004025B7"/>
    <w:rPr>
      <w:rFonts w:ascii="Times New Roman" w:eastAsiaTheme="majorEastAsia" w:hAnsi="Times New Roman" w:cstheme="majorBidi"/>
      <w:i/>
      <w:color w:val="0098CD"/>
      <w:kern w:val="24"/>
      <w:sz w:val="20"/>
      <w:szCs w:val="26"/>
      <w:lang w:val="en-US"/>
    </w:rPr>
  </w:style>
  <w:style w:type="character" w:customStyle="1" w:styleId="Ttulo3Car">
    <w:name w:val="Título 3 Car"/>
    <w:aliases w:val="Title 3 Car"/>
    <w:basedOn w:val="Fuentedeprrafopredeter"/>
    <w:link w:val="Ttulo3"/>
    <w:rsid w:val="001B6A42"/>
    <w:rPr>
      <w:rFonts w:ascii="Times New Roman" w:eastAsia="Times New Roman" w:hAnsi="Times New Roman" w:cs="Times New Roman"/>
      <w:i/>
      <w:iCs/>
      <w:color w:val="0098CD"/>
      <w:sz w:val="20"/>
      <w:szCs w:val="20"/>
      <w:lang w:val="en-US"/>
    </w:rPr>
  </w:style>
  <w:style w:type="character" w:customStyle="1" w:styleId="Ttulo4Car">
    <w:name w:val="Título 4 Car"/>
    <w:aliases w:val="Title 4 Car"/>
    <w:basedOn w:val="Fuentedeprrafopredeter"/>
    <w:link w:val="Ttulo4"/>
    <w:rsid w:val="002E1E12"/>
    <w:rPr>
      <w:rFonts w:ascii="Libertinus Serif" w:eastAsia="Times New Roman" w:hAnsi="Libertinus Serif" w:cs="Times New Roman"/>
      <w:i/>
      <w:iCs/>
      <w:color w:val="0098CD"/>
      <w:sz w:val="18"/>
      <w:szCs w:val="18"/>
      <w:lang w:val="en-US"/>
    </w:rPr>
  </w:style>
  <w:style w:type="character" w:customStyle="1" w:styleId="Ttulo5Car">
    <w:name w:val="Título 5 Car"/>
    <w:basedOn w:val="Fuentedeprrafopredeter"/>
    <w:link w:val="Ttulo5"/>
    <w:semiHidden/>
    <w:rsid w:val="004025B7"/>
    <w:rPr>
      <w:rFonts w:ascii="Times New Roman" w:eastAsia="Times New Roman" w:hAnsi="Times New Roman" w:cs="Times New Roman"/>
      <w:sz w:val="18"/>
      <w:szCs w:val="18"/>
      <w:lang w:val="en-US"/>
    </w:rPr>
  </w:style>
  <w:style w:type="character" w:customStyle="1" w:styleId="Ttulo6Car">
    <w:name w:val="Título 6 Car"/>
    <w:basedOn w:val="Fuentedeprrafopredeter"/>
    <w:link w:val="Ttulo6"/>
    <w:semiHidden/>
    <w:rsid w:val="004025B7"/>
    <w:rPr>
      <w:rFonts w:ascii="Times New Roman" w:eastAsia="Times New Roman" w:hAnsi="Times New Roman" w:cs="Times New Roman"/>
      <w:i/>
      <w:iCs/>
      <w:sz w:val="16"/>
      <w:szCs w:val="16"/>
      <w:lang w:val="en-US"/>
    </w:rPr>
  </w:style>
  <w:style w:type="character" w:customStyle="1" w:styleId="Ttulo7Car">
    <w:name w:val="Título 7 Car"/>
    <w:basedOn w:val="Fuentedeprrafopredeter"/>
    <w:link w:val="Ttulo7"/>
    <w:semiHidden/>
    <w:rsid w:val="004025B7"/>
    <w:rPr>
      <w:rFonts w:ascii="Times New Roman" w:eastAsia="Times New Roman" w:hAnsi="Times New Roman" w:cs="Times New Roman"/>
      <w:sz w:val="16"/>
      <w:szCs w:val="16"/>
      <w:lang w:val="en-US"/>
    </w:rPr>
  </w:style>
  <w:style w:type="character" w:customStyle="1" w:styleId="Ttulo8Car">
    <w:name w:val="Título 8 Car"/>
    <w:basedOn w:val="Fuentedeprrafopredeter"/>
    <w:link w:val="Ttulo8"/>
    <w:semiHidden/>
    <w:rsid w:val="004025B7"/>
    <w:rPr>
      <w:rFonts w:ascii="Times New Roman" w:eastAsia="Times New Roman" w:hAnsi="Times New Roman" w:cs="Times New Roman"/>
      <w:i/>
      <w:iCs/>
      <w:sz w:val="16"/>
      <w:szCs w:val="16"/>
      <w:lang w:val="en-US"/>
    </w:rPr>
  </w:style>
  <w:style w:type="character" w:customStyle="1" w:styleId="Ttulo9Car">
    <w:name w:val="Título 9 Car"/>
    <w:basedOn w:val="Fuentedeprrafopredeter"/>
    <w:link w:val="Ttulo9"/>
    <w:semiHidden/>
    <w:rsid w:val="004025B7"/>
    <w:rPr>
      <w:rFonts w:ascii="Times New Roman" w:eastAsia="Times New Roman" w:hAnsi="Times New Roman" w:cs="Times New Roman"/>
      <w:sz w:val="16"/>
      <w:szCs w:val="16"/>
      <w:lang w:val="en-US"/>
    </w:rPr>
  </w:style>
  <w:style w:type="paragraph" w:styleId="Textonotapie">
    <w:name w:val="footnote text"/>
    <w:basedOn w:val="Normal"/>
    <w:link w:val="TextonotapieCar"/>
    <w:semiHidden/>
    <w:rsid w:val="008F3874"/>
    <w:pPr>
      <w:spacing w:after="0"/>
      <w:ind w:firstLine="202"/>
    </w:pPr>
    <w:rPr>
      <w:sz w:val="16"/>
      <w:szCs w:val="16"/>
    </w:rPr>
  </w:style>
  <w:style w:type="character" w:customStyle="1" w:styleId="TextonotapieCar">
    <w:name w:val="Texto nota pie Car"/>
    <w:basedOn w:val="Fuentedeprrafopredeter"/>
    <w:link w:val="Textonotapie"/>
    <w:semiHidden/>
    <w:rsid w:val="008F3874"/>
    <w:rPr>
      <w:rFonts w:ascii="Times New Roman" w:eastAsia="Times New Roman" w:hAnsi="Times New Roman" w:cs="Times New Roman"/>
      <w:sz w:val="16"/>
      <w:szCs w:val="16"/>
      <w:lang w:val="en-US"/>
    </w:rPr>
  </w:style>
  <w:style w:type="paragraph" w:customStyle="1" w:styleId="References">
    <w:name w:val="References"/>
    <w:basedOn w:val="Normal"/>
    <w:qFormat/>
    <w:rsid w:val="002E1E12"/>
    <w:pPr>
      <w:numPr>
        <w:numId w:val="2"/>
      </w:numPr>
      <w:spacing w:after="14"/>
    </w:pPr>
    <w:rPr>
      <w:sz w:val="16"/>
      <w:szCs w:val="16"/>
    </w:rPr>
  </w:style>
  <w:style w:type="character" w:styleId="Refdenotaalpie">
    <w:name w:val="footnote reference"/>
    <w:semiHidden/>
    <w:rsid w:val="008F3874"/>
    <w:rPr>
      <w:vertAlign w:val="superscript"/>
    </w:rPr>
  </w:style>
  <w:style w:type="paragraph" w:customStyle="1" w:styleId="Lista1">
    <w:name w:val="Lista1"/>
    <w:basedOn w:val="Normal"/>
    <w:qFormat/>
    <w:rsid w:val="002E1E12"/>
    <w:pPr>
      <w:numPr>
        <w:numId w:val="8"/>
      </w:numPr>
      <w:ind w:left="284" w:hanging="284"/>
      <w:contextualSpacing/>
    </w:pPr>
  </w:style>
  <w:style w:type="paragraph" w:customStyle="1" w:styleId="TableTitle">
    <w:name w:val="Table Title"/>
    <w:basedOn w:val="Normal"/>
    <w:qFormat/>
    <w:rsid w:val="002E1E12"/>
    <w:pPr>
      <w:spacing w:before="113"/>
      <w:ind w:firstLine="0"/>
      <w:jc w:val="center"/>
    </w:pPr>
    <w:rPr>
      <w:smallCaps/>
      <w:sz w:val="16"/>
      <w:szCs w:val="16"/>
    </w:rPr>
  </w:style>
  <w:style w:type="paragraph" w:customStyle="1" w:styleId="ReferenceHead">
    <w:name w:val="Reference Head"/>
    <w:basedOn w:val="Ttulo1"/>
    <w:link w:val="ReferenceHeadChar"/>
    <w:qFormat/>
    <w:rsid w:val="002E1E12"/>
    <w:pPr>
      <w:numPr>
        <w:numId w:val="0"/>
      </w:numPr>
    </w:pPr>
  </w:style>
  <w:style w:type="paragraph" w:customStyle="1" w:styleId="Equation">
    <w:name w:val="Equation"/>
    <w:basedOn w:val="Normal"/>
    <w:next w:val="Normal"/>
    <w:qFormat/>
    <w:rsid w:val="002E1E12"/>
    <w:pPr>
      <w:tabs>
        <w:tab w:val="right" w:pos="5040"/>
      </w:tabs>
      <w:spacing w:after="0" w:line="252" w:lineRule="auto"/>
    </w:pPr>
    <w:rPr>
      <w:sz w:val="20"/>
    </w:rPr>
  </w:style>
  <w:style w:type="paragraph" w:styleId="Revisin">
    <w:name w:val="Revision"/>
    <w:hidden/>
    <w:uiPriority w:val="99"/>
    <w:semiHidden/>
    <w:rsid w:val="00B87A0C"/>
    <w:pPr>
      <w:spacing w:after="0" w:line="240" w:lineRule="auto"/>
    </w:pPr>
    <w:rPr>
      <w:rFonts w:ascii="Times New Roman" w:eastAsia="Times New Roman" w:hAnsi="Times New Roman" w:cs="Times New Roman"/>
      <w:sz w:val="18"/>
      <w:szCs w:val="20"/>
      <w:lang w:val="en-US"/>
    </w:rPr>
  </w:style>
  <w:style w:type="paragraph" w:customStyle="1" w:styleId="FigureCaption">
    <w:name w:val="FigureCaption"/>
    <w:basedOn w:val="Normal"/>
    <w:qFormat/>
    <w:rsid w:val="002E1E12"/>
    <w:pPr>
      <w:spacing w:after="113"/>
      <w:ind w:firstLine="0"/>
      <w:jc w:val="left"/>
    </w:pPr>
    <w:rPr>
      <w:sz w:val="16"/>
    </w:rPr>
  </w:style>
  <w:style w:type="paragraph" w:customStyle="1" w:styleId="TableText">
    <w:name w:val="TableText"/>
    <w:basedOn w:val="Normal"/>
    <w:qFormat/>
    <w:rsid w:val="002E1E12"/>
    <w:pPr>
      <w:jc w:val="left"/>
    </w:pPr>
    <w:rPr>
      <w:sz w:val="16"/>
    </w:rPr>
  </w:style>
  <w:style w:type="character" w:styleId="Textodelmarcadordeposicin">
    <w:name w:val="Placeholder Text"/>
    <w:basedOn w:val="Fuentedeprrafopredeter"/>
    <w:uiPriority w:val="99"/>
    <w:semiHidden/>
    <w:rsid w:val="001C3F8F"/>
    <w:rPr>
      <w:color w:val="808080"/>
    </w:rPr>
  </w:style>
  <w:style w:type="paragraph" w:customStyle="1" w:styleId="NumberedList">
    <w:name w:val="NumberedList"/>
    <w:basedOn w:val="Normal"/>
    <w:qFormat/>
    <w:rsid w:val="002E1E12"/>
    <w:pPr>
      <w:numPr>
        <w:numId w:val="12"/>
      </w:numPr>
      <w:ind w:left="511" w:hanging="284"/>
    </w:pPr>
  </w:style>
  <w:style w:type="paragraph" w:customStyle="1" w:styleId="FigureCaption0">
    <w:name w:val="Figure Caption"/>
    <w:basedOn w:val="Normal"/>
    <w:rsid w:val="000B5F3E"/>
    <w:pPr>
      <w:widowControl/>
      <w:spacing w:after="0"/>
      <w:ind w:firstLine="0"/>
    </w:pPr>
    <w:rPr>
      <w:sz w:val="16"/>
      <w:szCs w:val="16"/>
    </w:rPr>
  </w:style>
  <w:style w:type="character" w:customStyle="1" w:styleId="bodytype">
    <w:name w:val="body type"/>
    <w:uiPriority w:val="99"/>
    <w:rsid w:val="003B4CAF"/>
    <w:rPr>
      <w:rFonts w:ascii="Formata-Regular" w:hAnsi="Formata-Regular" w:cs="Formata-Regular"/>
      <w:color w:val="000000"/>
      <w:sz w:val="22"/>
      <w:szCs w:val="22"/>
    </w:rPr>
  </w:style>
  <w:style w:type="character" w:styleId="Refdecomentario">
    <w:name w:val="annotation reference"/>
    <w:basedOn w:val="Fuentedeprrafopredeter"/>
    <w:uiPriority w:val="99"/>
    <w:semiHidden/>
    <w:unhideWhenUsed/>
    <w:rsid w:val="003B4CEF"/>
    <w:rPr>
      <w:sz w:val="16"/>
      <w:szCs w:val="16"/>
    </w:rPr>
  </w:style>
  <w:style w:type="paragraph" w:styleId="Textocomentario">
    <w:name w:val="annotation text"/>
    <w:basedOn w:val="Normal"/>
    <w:link w:val="TextocomentarioCar"/>
    <w:uiPriority w:val="99"/>
    <w:semiHidden/>
    <w:unhideWhenUsed/>
    <w:rsid w:val="003B4CEF"/>
    <w:rPr>
      <w:sz w:val="20"/>
    </w:rPr>
  </w:style>
  <w:style w:type="character" w:customStyle="1" w:styleId="TextocomentarioCar">
    <w:name w:val="Texto comentario Car"/>
    <w:basedOn w:val="Fuentedeprrafopredeter"/>
    <w:link w:val="Textocomentario"/>
    <w:uiPriority w:val="99"/>
    <w:semiHidden/>
    <w:rsid w:val="003B4CEF"/>
    <w:rPr>
      <w:rFonts w:ascii="Times New Roman" w:eastAsia="Times New Roman" w:hAnsi="Times New Roman" w:cs="Times New Roman"/>
      <w:sz w:val="20"/>
      <w:szCs w:val="20"/>
      <w:lang w:val="en-US"/>
    </w:rPr>
  </w:style>
  <w:style w:type="paragraph" w:styleId="Asuntodelcomentario">
    <w:name w:val="annotation subject"/>
    <w:basedOn w:val="Textocomentario"/>
    <w:next w:val="Textocomentario"/>
    <w:link w:val="AsuntodelcomentarioCar"/>
    <w:uiPriority w:val="99"/>
    <w:semiHidden/>
    <w:unhideWhenUsed/>
    <w:rsid w:val="003B4CEF"/>
    <w:rPr>
      <w:b/>
      <w:bCs/>
    </w:rPr>
  </w:style>
  <w:style w:type="character" w:customStyle="1" w:styleId="AsuntodelcomentarioCar">
    <w:name w:val="Asunto del comentario Car"/>
    <w:basedOn w:val="TextocomentarioCar"/>
    <w:link w:val="Asuntodelcomentario"/>
    <w:uiPriority w:val="99"/>
    <w:semiHidden/>
    <w:rsid w:val="003B4CEF"/>
    <w:rPr>
      <w:rFonts w:ascii="Times New Roman" w:eastAsia="Times New Roman" w:hAnsi="Times New Roman" w:cs="Times New Roman"/>
      <w:b/>
      <w:bCs/>
      <w:sz w:val="20"/>
      <w:szCs w:val="20"/>
      <w:lang w:val="en-US"/>
    </w:rPr>
  </w:style>
  <w:style w:type="paragraph" w:styleId="Textodeglobo">
    <w:name w:val="Balloon Text"/>
    <w:basedOn w:val="Normal"/>
    <w:link w:val="TextodegloboCar"/>
    <w:uiPriority w:val="99"/>
    <w:semiHidden/>
    <w:unhideWhenUsed/>
    <w:rsid w:val="003B4CEF"/>
    <w:pPr>
      <w:spacing w:after="0"/>
    </w:pPr>
    <w:rPr>
      <w:rFonts w:ascii="Segoe UI" w:hAnsi="Segoe UI" w:cs="Segoe UI"/>
      <w:szCs w:val="18"/>
    </w:rPr>
  </w:style>
  <w:style w:type="character" w:customStyle="1" w:styleId="TextodegloboCar">
    <w:name w:val="Texto de globo Car"/>
    <w:basedOn w:val="Fuentedeprrafopredeter"/>
    <w:link w:val="Textodeglobo"/>
    <w:uiPriority w:val="99"/>
    <w:semiHidden/>
    <w:rsid w:val="003B4CEF"/>
    <w:rPr>
      <w:rFonts w:ascii="Segoe UI" w:eastAsia="Times New Roman" w:hAnsi="Segoe UI" w:cs="Segoe UI"/>
      <w:sz w:val="18"/>
      <w:szCs w:val="18"/>
      <w:lang w:val="en-US"/>
    </w:rPr>
  </w:style>
  <w:style w:type="character" w:customStyle="1" w:styleId="BodyText2">
    <w:name w:val="Body Text2"/>
    <w:uiPriority w:val="99"/>
    <w:rsid w:val="003B4CEF"/>
    <w:rPr>
      <w:rFonts w:ascii="Verdana" w:hAnsi="Verdana" w:cs="Verdana"/>
      <w:color w:val="000000"/>
      <w:sz w:val="22"/>
      <w:szCs w:val="22"/>
    </w:rPr>
  </w:style>
  <w:style w:type="character" w:customStyle="1" w:styleId="ReferenceHeadChar">
    <w:name w:val="Reference Head Char"/>
    <w:link w:val="ReferenceHead"/>
    <w:rsid w:val="002E1E12"/>
    <w:rPr>
      <w:rFonts w:ascii="Libertinus Serif" w:eastAsia="UnitOT" w:hAnsi="Libertinus Serif" w:cs="Times New Roman"/>
      <w:smallCaps/>
      <w:color w:val="0098CD"/>
      <w:sz w:val="20"/>
      <w:szCs w:val="28"/>
      <w:lang w:val="en-US"/>
    </w:rPr>
  </w:style>
  <w:style w:type="character" w:styleId="Hipervnculovisitado">
    <w:name w:val="FollowedHyperlink"/>
    <w:basedOn w:val="Fuentedeprrafopredeter"/>
    <w:uiPriority w:val="99"/>
    <w:semiHidden/>
    <w:unhideWhenUsed/>
    <w:rsid w:val="003F55B1"/>
    <w:rPr>
      <w:color w:val="954F72" w:themeColor="followedHyperlink"/>
      <w:u w:val="single"/>
    </w:rPr>
  </w:style>
  <w:style w:type="character" w:customStyle="1" w:styleId="Mencinsinresolver2">
    <w:name w:val="Mención sin resolver2"/>
    <w:basedOn w:val="Fuentedeprrafopredeter"/>
    <w:uiPriority w:val="99"/>
    <w:semiHidden/>
    <w:unhideWhenUsed/>
    <w:rsid w:val="001B6A42"/>
    <w:rPr>
      <w:color w:val="605E5C"/>
      <w:shd w:val="clear" w:color="auto" w:fill="E1DFDD"/>
    </w:rPr>
  </w:style>
  <w:style w:type="character" w:styleId="Mencinsinresolver">
    <w:name w:val="Unresolved Mention"/>
    <w:basedOn w:val="Fuentedeprrafopredeter"/>
    <w:uiPriority w:val="99"/>
    <w:semiHidden/>
    <w:unhideWhenUsed/>
    <w:rsid w:val="00326F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8513">
      <w:bodyDiv w:val="1"/>
      <w:marLeft w:val="0"/>
      <w:marRight w:val="0"/>
      <w:marTop w:val="0"/>
      <w:marBottom w:val="0"/>
      <w:divBdr>
        <w:top w:val="none" w:sz="0" w:space="0" w:color="auto"/>
        <w:left w:val="none" w:sz="0" w:space="0" w:color="auto"/>
        <w:bottom w:val="none" w:sz="0" w:space="0" w:color="auto"/>
        <w:right w:val="none" w:sz="0" w:space="0" w:color="auto"/>
      </w:divBdr>
    </w:div>
    <w:div w:id="618532191">
      <w:bodyDiv w:val="1"/>
      <w:marLeft w:val="0"/>
      <w:marRight w:val="0"/>
      <w:marTop w:val="0"/>
      <w:marBottom w:val="0"/>
      <w:divBdr>
        <w:top w:val="none" w:sz="0" w:space="0" w:color="auto"/>
        <w:left w:val="none" w:sz="0" w:space="0" w:color="auto"/>
        <w:bottom w:val="none" w:sz="0" w:space="0" w:color="auto"/>
        <w:right w:val="none" w:sz="0" w:space="0" w:color="auto"/>
      </w:divBdr>
    </w:div>
    <w:div w:id="739408315">
      <w:bodyDiv w:val="1"/>
      <w:marLeft w:val="0"/>
      <w:marRight w:val="0"/>
      <w:marTop w:val="0"/>
      <w:marBottom w:val="0"/>
      <w:divBdr>
        <w:top w:val="none" w:sz="0" w:space="0" w:color="auto"/>
        <w:left w:val="none" w:sz="0" w:space="0" w:color="auto"/>
        <w:bottom w:val="none" w:sz="0" w:space="0" w:color="auto"/>
        <w:right w:val="none" w:sz="0" w:space="0" w:color="auto"/>
      </w:divBdr>
    </w:div>
    <w:div w:id="789280100">
      <w:bodyDiv w:val="1"/>
      <w:marLeft w:val="0"/>
      <w:marRight w:val="0"/>
      <w:marTop w:val="0"/>
      <w:marBottom w:val="0"/>
      <w:divBdr>
        <w:top w:val="none" w:sz="0" w:space="0" w:color="auto"/>
        <w:left w:val="none" w:sz="0" w:space="0" w:color="auto"/>
        <w:bottom w:val="none" w:sz="0" w:space="0" w:color="auto"/>
        <w:right w:val="none" w:sz="0" w:space="0" w:color="auto"/>
      </w:divBdr>
    </w:div>
    <w:div w:id="1333608326">
      <w:bodyDiv w:val="1"/>
      <w:marLeft w:val="0"/>
      <w:marRight w:val="0"/>
      <w:marTop w:val="0"/>
      <w:marBottom w:val="0"/>
      <w:divBdr>
        <w:top w:val="none" w:sz="0" w:space="0" w:color="auto"/>
        <w:left w:val="none" w:sz="0" w:space="0" w:color="auto"/>
        <w:bottom w:val="none" w:sz="0" w:space="0" w:color="auto"/>
        <w:right w:val="none" w:sz="0" w:space="0" w:color="auto"/>
      </w:divBdr>
      <w:divsChild>
        <w:div w:id="204172711">
          <w:marLeft w:val="0"/>
          <w:marRight w:val="0"/>
          <w:marTop w:val="0"/>
          <w:marBottom w:val="0"/>
          <w:divBdr>
            <w:top w:val="none" w:sz="0" w:space="0" w:color="auto"/>
            <w:left w:val="none" w:sz="0" w:space="0" w:color="auto"/>
            <w:bottom w:val="none" w:sz="0" w:space="0" w:color="auto"/>
            <w:right w:val="none" w:sz="0" w:space="0" w:color="auto"/>
          </w:divBdr>
          <w:divsChild>
            <w:div w:id="42096356">
              <w:marLeft w:val="0"/>
              <w:marRight w:val="0"/>
              <w:marTop w:val="0"/>
              <w:marBottom w:val="0"/>
              <w:divBdr>
                <w:top w:val="none" w:sz="0" w:space="0" w:color="auto"/>
                <w:left w:val="none" w:sz="0" w:space="0" w:color="auto"/>
                <w:bottom w:val="none" w:sz="0" w:space="0" w:color="auto"/>
                <w:right w:val="none" w:sz="0" w:space="0" w:color="auto"/>
              </w:divBdr>
              <w:divsChild>
                <w:div w:id="173476889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99212025">
      <w:bodyDiv w:val="1"/>
      <w:marLeft w:val="0"/>
      <w:marRight w:val="0"/>
      <w:marTop w:val="0"/>
      <w:marBottom w:val="0"/>
      <w:divBdr>
        <w:top w:val="none" w:sz="0" w:space="0" w:color="auto"/>
        <w:left w:val="none" w:sz="0" w:space="0" w:color="auto"/>
        <w:bottom w:val="none" w:sz="0" w:space="0" w:color="auto"/>
        <w:right w:val="none" w:sz="0" w:space="0" w:color="auto"/>
      </w:divBdr>
      <w:divsChild>
        <w:div w:id="316687467">
          <w:marLeft w:val="0"/>
          <w:marRight w:val="0"/>
          <w:marTop w:val="0"/>
          <w:marBottom w:val="0"/>
          <w:divBdr>
            <w:top w:val="none" w:sz="0" w:space="0" w:color="auto"/>
            <w:left w:val="none" w:sz="0" w:space="0" w:color="auto"/>
            <w:bottom w:val="none" w:sz="0" w:space="0" w:color="auto"/>
            <w:right w:val="none" w:sz="0" w:space="0" w:color="auto"/>
          </w:divBdr>
          <w:divsChild>
            <w:div w:id="986208706">
              <w:marLeft w:val="0"/>
              <w:marRight w:val="0"/>
              <w:marTop w:val="0"/>
              <w:marBottom w:val="0"/>
              <w:divBdr>
                <w:top w:val="none" w:sz="0" w:space="0" w:color="auto"/>
                <w:left w:val="none" w:sz="0" w:space="0" w:color="auto"/>
                <w:bottom w:val="none" w:sz="0" w:space="0" w:color="auto"/>
                <w:right w:val="none" w:sz="0" w:space="0" w:color="auto"/>
              </w:divBdr>
              <w:divsChild>
                <w:div w:id="196006726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63120767">
      <w:bodyDiv w:val="1"/>
      <w:marLeft w:val="0"/>
      <w:marRight w:val="0"/>
      <w:marTop w:val="0"/>
      <w:marBottom w:val="0"/>
      <w:divBdr>
        <w:top w:val="none" w:sz="0" w:space="0" w:color="auto"/>
        <w:left w:val="none" w:sz="0" w:space="0" w:color="auto"/>
        <w:bottom w:val="none" w:sz="0" w:space="0" w:color="auto"/>
        <w:right w:val="none" w:sz="0" w:space="0" w:color="auto"/>
      </w:divBdr>
      <w:divsChild>
        <w:div w:id="243491522">
          <w:marLeft w:val="0"/>
          <w:marRight w:val="0"/>
          <w:marTop w:val="0"/>
          <w:marBottom w:val="0"/>
          <w:divBdr>
            <w:top w:val="none" w:sz="0" w:space="0" w:color="auto"/>
            <w:left w:val="none" w:sz="0" w:space="0" w:color="auto"/>
            <w:bottom w:val="none" w:sz="0" w:space="0" w:color="auto"/>
            <w:right w:val="none" w:sz="0" w:space="0" w:color="auto"/>
          </w:divBdr>
          <w:divsChild>
            <w:div w:id="1439444185">
              <w:marLeft w:val="0"/>
              <w:marRight w:val="0"/>
              <w:marTop w:val="0"/>
              <w:marBottom w:val="0"/>
              <w:divBdr>
                <w:top w:val="none" w:sz="0" w:space="0" w:color="auto"/>
                <w:left w:val="none" w:sz="0" w:space="0" w:color="auto"/>
                <w:bottom w:val="none" w:sz="0" w:space="0" w:color="auto"/>
                <w:right w:val="none" w:sz="0" w:space="0" w:color="auto"/>
              </w:divBdr>
              <w:divsChild>
                <w:div w:id="212402900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132359126">
      <w:bodyDiv w:val="1"/>
      <w:marLeft w:val="0"/>
      <w:marRight w:val="0"/>
      <w:marTop w:val="0"/>
      <w:marBottom w:val="0"/>
      <w:divBdr>
        <w:top w:val="none" w:sz="0" w:space="0" w:color="auto"/>
        <w:left w:val="none" w:sz="0" w:space="0" w:color="auto"/>
        <w:bottom w:val="none" w:sz="0" w:space="0" w:color="auto"/>
        <w:right w:val="none" w:sz="0" w:space="0" w:color="auto"/>
      </w:divBdr>
      <w:divsChild>
        <w:div w:id="1145124571">
          <w:marLeft w:val="0"/>
          <w:marRight w:val="0"/>
          <w:marTop w:val="0"/>
          <w:marBottom w:val="0"/>
          <w:divBdr>
            <w:top w:val="none" w:sz="0" w:space="0" w:color="auto"/>
            <w:left w:val="none" w:sz="0" w:space="0" w:color="auto"/>
            <w:bottom w:val="none" w:sz="0" w:space="0" w:color="auto"/>
            <w:right w:val="none" w:sz="0" w:space="0" w:color="auto"/>
          </w:divBdr>
          <w:divsChild>
            <w:div w:id="779956683">
              <w:marLeft w:val="0"/>
              <w:marRight w:val="0"/>
              <w:marTop w:val="0"/>
              <w:marBottom w:val="0"/>
              <w:divBdr>
                <w:top w:val="none" w:sz="0" w:space="0" w:color="auto"/>
                <w:left w:val="none" w:sz="0" w:space="0" w:color="auto"/>
                <w:bottom w:val="none" w:sz="0" w:space="0" w:color="auto"/>
                <w:right w:val="none" w:sz="0" w:space="0" w:color="auto"/>
              </w:divBdr>
              <w:divsChild>
                <w:div w:id="52286635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AEA28-517F-49EE-83EC-742CE01F7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2376</TotalTime>
  <Pages>6</Pages>
  <Words>3986</Words>
  <Characters>21924</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Ainhoa - UNIR</dc:creator>
  <cp:keywords/>
  <dc:description/>
  <cp:lastModifiedBy>ELENA VERDU PEREZ</cp:lastModifiedBy>
  <cp:revision>68</cp:revision>
  <cp:lastPrinted>2017-07-07T10:06:00Z</cp:lastPrinted>
  <dcterms:created xsi:type="dcterms:W3CDTF">2018-08-31T12:28:00Z</dcterms:created>
  <dcterms:modified xsi:type="dcterms:W3CDTF">2025-12-18T16:31:00Z</dcterms:modified>
</cp:coreProperties>
</file>