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LEMBAR KEGIATAN MAHASISWA (LKM)</w:t>
      </w:r>
    </w:p>
    <w:p>
      <w:pPr>
        <w:jc w:val="center"/>
      </w:pPr>
      <w:r>
        <w:rPr>
          <w:b/>
          <w:sz w:val="24"/>
        </w:rPr>
        <w:t>Mata Kuliah: Bisnis Inteligent</w:t>
      </w:r>
    </w:p>
    <w:p>
      <w:pPr>
        <w:pBdr>
          <w:bottom w:val="single" w:sz="6" w:space="1" w:color="2E75B6"/>
        </w:pBdr>
      </w:pPr>
    </w:p>
    <w:p/>
    <w:p>
      <w:r>
        <w:rPr>
          <w:b/>
          <w:color w:val="1F497D"/>
          <w:sz w:val="28"/>
        </w:rPr>
        <w:t>IDENTITAS KEGIATAN</w:t>
      </w:r>
    </w:p>
    <w:p/>
    <w:tbl>
      <w:tblPr>
        <w:tblStyle w:val="TableGrid"/>
        <w:tblW w:type="auto" w:w="0"/>
        <w:jc w:val="center"/>
        <w:tblLook w:firstColumn="1" w:firstRow="1" w:lastColumn="0" w:lastRow="0" w:noHBand="0" w:noVBand="1" w:val="04A0"/>
      </w:tblPr>
      <w:tblGrid>
        <w:gridCol w:w="4255"/>
        <w:gridCol w:w="4255"/>
      </w:tblGrid>
      <w:tr>
        <w:tc>
          <w:tcPr>
            <w:tcW w:type="dxa" w:w="4255"/>
            <w:shd w:val="clear" w:color="auto" w:fill="1F497D"/>
          </w:tcPr>
          <w:p>
            <w:pPr>
              <w:jc w:val="center"/>
            </w:pPr>
            <w:r>
              <w:rPr>
                <w:b/>
                <w:color w:val="FFFFFF"/>
                <w:sz w:val="20"/>
              </w:rPr>
              <w:t>KOMPONEN</w:t>
            </w:r>
          </w:p>
        </w:tc>
        <w:tc>
          <w:tcPr>
            <w:tcW w:type="dxa" w:w="4255"/>
            <w:shd w:val="clear" w:color="auto" w:fill="1F497D"/>
          </w:tcPr>
          <w:p>
            <w:pPr>
              <w:jc w:val="center"/>
            </w:pPr>
            <w:r>
              <w:rPr>
                <w:b/>
                <w:color w:val="FFFFFF"/>
                <w:sz w:val="20"/>
              </w:rPr>
              <w:t>KETERANGAN</w:t>
            </w:r>
          </w:p>
        </w:tc>
      </w:tr>
      <w:tr>
        <w:tc>
          <w:tcPr>
            <w:tcW w:type="dxa" w:w="4255"/>
            <w:shd w:val="clear" w:color="auto" w:fill="DAEAF8"/>
          </w:tcPr>
          <w:p>
            <w:r>
              <w:rPr>
                <w:b/>
                <w:sz w:val="20"/>
              </w:rPr>
              <w:t>Nama Mata Kuliah</w:t>
            </w:r>
          </w:p>
        </w:tc>
        <w:tc>
          <w:tcPr>
            <w:tcW w:type="dxa" w:w="4255"/>
            <w:shd w:val="clear" w:color="auto" w:fill="EBF3FB"/>
          </w:tcPr>
          <w:p>
            <w:r>
              <w:rPr>
                <w:sz w:val="20"/>
              </w:rPr>
              <w:t>Bisnis Inteligent</w:t>
            </w:r>
          </w:p>
        </w:tc>
      </w:tr>
      <w:tr>
        <w:tc>
          <w:tcPr>
            <w:tcW w:type="dxa" w:w="4255"/>
            <w:shd w:val="clear" w:color="auto" w:fill="DAEAF8"/>
          </w:tcPr>
          <w:p>
            <w:r>
              <w:rPr>
                <w:b/>
                <w:sz w:val="20"/>
              </w:rPr>
              <w:t>Kode Mata Kuliah</w:t>
            </w:r>
          </w:p>
        </w:tc>
        <w:tc>
          <w:tcPr>
            <w:tcW w:type="dxa" w:w="4255"/>
            <w:shd w:val="clear" w:color="auto" w:fill="FFFFFF"/>
          </w:tcPr>
          <w:p>
            <w:r>
              <w:rPr>
                <w:sz w:val="20"/>
              </w:rPr>
              <w:t>MBI-502</w:t>
            </w:r>
          </w:p>
        </w:tc>
      </w:tr>
      <w:tr>
        <w:tc>
          <w:tcPr>
            <w:tcW w:type="dxa" w:w="4255"/>
            <w:shd w:val="clear" w:color="auto" w:fill="DAEAF8"/>
          </w:tcPr>
          <w:p>
            <w:r>
              <w:rPr>
                <w:b/>
                <w:sz w:val="20"/>
              </w:rPr>
              <w:t>Program Studi</w:t>
            </w:r>
          </w:p>
        </w:tc>
        <w:tc>
          <w:tcPr>
            <w:tcW w:type="dxa" w:w="4255"/>
            <w:shd w:val="clear" w:color="auto" w:fill="EBF3FB"/>
          </w:tcPr>
          <w:p>
            <w:r>
              <w:rPr>
                <w:sz w:val="20"/>
              </w:rPr>
              <w:t>Magister Manajemen (S2)</w:t>
            </w:r>
          </w:p>
        </w:tc>
      </w:tr>
      <w:tr>
        <w:tc>
          <w:tcPr>
            <w:tcW w:type="dxa" w:w="4255"/>
            <w:shd w:val="clear" w:color="auto" w:fill="DAEAF8"/>
          </w:tcPr>
          <w:p>
            <w:r>
              <w:rPr>
                <w:b/>
                <w:sz w:val="20"/>
              </w:rPr>
              <w:t>Institusi</w:t>
            </w:r>
          </w:p>
        </w:tc>
        <w:tc>
          <w:tcPr>
            <w:tcW w:type="dxa" w:w="4255"/>
            <w:shd w:val="clear" w:color="auto" w:fill="FFFFFF"/>
          </w:tcPr>
          <w:p>
            <w:r>
              <w:rPr>
                <w:sz w:val="20"/>
              </w:rPr>
              <w:t>Universitas Nusa Putra</w:t>
            </w:r>
          </w:p>
        </w:tc>
      </w:tr>
      <w:tr>
        <w:tc>
          <w:tcPr>
            <w:tcW w:type="dxa" w:w="4255"/>
            <w:shd w:val="clear" w:color="auto" w:fill="DAEAF8"/>
          </w:tcPr>
          <w:p>
            <w:r>
              <w:rPr>
                <w:b/>
                <w:sz w:val="20"/>
              </w:rPr>
              <w:t>Semester</w:t>
            </w:r>
          </w:p>
        </w:tc>
        <w:tc>
          <w:tcPr>
            <w:tcW w:type="dxa" w:w="4255"/>
            <w:shd w:val="clear" w:color="auto" w:fill="EBF3FB"/>
          </w:tcPr>
          <w:p>
            <w:r>
              <w:rPr>
                <w:sz w:val="20"/>
              </w:rPr>
              <w:t>Semester 2 (Genap 2025/2026)</w:t>
            </w:r>
          </w:p>
        </w:tc>
      </w:tr>
      <w:tr>
        <w:tc>
          <w:tcPr>
            <w:tcW w:type="dxa" w:w="4255"/>
            <w:shd w:val="clear" w:color="auto" w:fill="DAEAF8"/>
          </w:tcPr>
          <w:p>
            <w:r>
              <w:rPr>
                <w:b/>
                <w:sz w:val="20"/>
              </w:rPr>
              <w:t>Topik Penelitian</w:t>
            </w:r>
          </w:p>
        </w:tc>
        <w:tc>
          <w:tcPr>
            <w:tcW w:type="dxa" w:w="4255"/>
            <w:shd w:val="clear" w:color="auto" w:fill="FFFFFF"/>
          </w:tcPr>
          <w:p>
            <w:r>
              <w:rPr>
                <w:sz w:val="20"/>
              </w:rPr>
              <w:t>Analisis dan Prediksi Nilai Tukar Rupiah (USD/IDR) Menggunakan Deep Learning Berbasis Indikator Makroekonomi</w:t>
            </w:r>
          </w:p>
        </w:tc>
      </w:tr>
      <w:tr>
        <w:tc>
          <w:tcPr>
            <w:tcW w:type="dxa" w:w="4255"/>
            <w:shd w:val="clear" w:color="auto" w:fill="DAEAF8"/>
          </w:tcPr>
          <w:p>
            <w:r>
              <w:rPr>
                <w:b/>
                <w:sz w:val="20"/>
              </w:rPr>
              <w:t>Waktu Kegiatan</w:t>
            </w:r>
          </w:p>
        </w:tc>
        <w:tc>
          <w:tcPr>
            <w:tcW w:type="dxa" w:w="4255"/>
            <w:shd w:val="clear" w:color="auto" w:fill="EBF3FB"/>
          </w:tcPr>
          <w:p>
            <w:r>
              <w:rPr>
                <w:sz w:val="20"/>
              </w:rPr>
              <w:t>±6 Jam (Teori + Praktikum)</w:t>
            </w:r>
          </w:p>
        </w:tc>
      </w:tr>
      <w:tr>
        <w:tc>
          <w:tcPr>
            <w:tcW w:type="dxa" w:w="4255"/>
            <w:shd w:val="clear" w:color="auto" w:fill="DAEAF8"/>
          </w:tcPr>
          <w:p>
            <w:r>
              <w:rPr>
                <w:b/>
                <w:sz w:val="20"/>
              </w:rPr>
              <w:t>Jenis Kegiatan</w:t>
            </w:r>
          </w:p>
        </w:tc>
        <w:tc>
          <w:tcPr>
            <w:tcW w:type="dxa" w:w="4255"/>
            <w:shd w:val="clear" w:color="auto" w:fill="FFFFFF"/>
          </w:tcPr>
          <w:p>
            <w:r>
              <w:rPr>
                <w:sz w:val="20"/>
              </w:rPr>
              <w:t>Praktikum Individual / Kelompok</w:t>
            </w:r>
          </w:p>
        </w:tc>
      </w:tr>
    </w:tbl>
    <w:p/>
    <w:p>
      <w:pPr>
        <w:pBdr>
          <w:bottom w:val="single" w:sz="6" w:space="1" w:color="2E75B6"/>
        </w:pBdr>
      </w:pPr>
    </w:p>
    <w:p/>
    <w:p>
      <w:r>
        <w:rPr>
          <w:b/>
          <w:color w:val="1F497D"/>
          <w:sz w:val="28"/>
        </w:rPr>
        <w:t>BAGIAN 1: CAPAIAN PEMBELAJARAN</w:t>
      </w:r>
    </w:p>
    <w:p/>
    <w:p>
      <w:r>
        <w:rPr>
          <w:b w:val="0"/>
          <w:i w:val="0"/>
          <w:sz w:val="21"/>
        </w:rPr>
        <w:t>Setelah menyelesaikan kegiatan ini, mahasiswa diharapkan mampu memenuhi capaian pembelajaran berikut sesuai dengan kompetensi Program Studi Magister Manajemen dalam bidang Bisnis Inteligent:</w:t>
      </w:r>
    </w:p>
    <w:p/>
    <w:p>
      <w:r>
        <w:rPr>
          <w:b/>
          <w:color w:val="2E75B6"/>
          <w:sz w:val="24"/>
        </w:rPr>
        <w:t>1.1 Capaian Pengetahuan (Knowledge)</w:t>
      </w:r>
    </w:p>
    <w:p>
      <w:pPr>
        <w:pStyle w:val="ListBullet"/>
        <w:ind w:left="432"/>
      </w:pPr>
      <w:r>
        <w:rPr>
          <w:sz w:val="21"/>
        </w:rPr>
        <w:t>Memahami konsep dan teori dasar Business Intelligence (BI) dalam konteks analisis keuangan dan ekonomi makro.</w:t>
      </w:r>
    </w:p>
    <w:p>
      <w:pPr>
        <w:pStyle w:val="ListBullet"/>
        <w:ind w:left="432"/>
      </w:pPr>
      <w:r>
        <w:rPr>
          <w:sz w:val="21"/>
        </w:rPr>
        <w:t>Mendeskripsikan karakteristik time-series data keuangan (non-stationarity, volatility clustering, seasonality) yang mempengaruhi pemilihan metode forecasting.</w:t>
      </w:r>
    </w:p>
    <w:p>
      <w:pPr>
        <w:pStyle w:val="ListBullet"/>
        <w:ind w:left="432"/>
      </w:pPr>
      <w:r>
        <w:rPr>
          <w:sz w:val="21"/>
        </w:rPr>
        <w:t>Menjelaskan arsitektur dan mekanisme kerja empat model Deep Learning utama: LSTM, Bidirectional LSTM (BiLSTM), GRU, dan CNN-LSTM.</w:t>
      </w:r>
    </w:p>
    <w:p>
      <w:pPr>
        <w:pStyle w:val="ListBullet"/>
        <w:ind w:left="432"/>
      </w:pPr>
      <w:r>
        <w:rPr>
          <w:sz w:val="21"/>
        </w:rPr>
        <w:t>Memahami konsep Feature Engineering berbasis indikator teknikal keuangan (SMA, RSI, MACD, Bollinger Bands) dan lag features.</w:t>
      </w:r>
    </w:p>
    <w:p>
      <w:pPr>
        <w:pStyle w:val="ListBullet"/>
        <w:ind w:left="432"/>
      </w:pPr>
      <w:r>
        <w:rPr>
          <w:sz w:val="21"/>
        </w:rPr>
        <w:t>Menjelaskan metrik evaluasi model regresi: RMSE, MAE, MAPE, dan R-Squared Score.</w:t>
      </w:r>
    </w:p>
    <w:p>
      <w:pPr>
        <w:pStyle w:val="ListBullet"/>
        <w:ind w:left="432"/>
      </w:pPr>
      <w:r>
        <w:rPr>
          <w:sz w:val="21"/>
        </w:rPr>
        <w:t>Memahami prinsip dan pentingnya Business Intelligence Dashboard untuk pengambilan keputusan strategis berbasis data.</w:t>
      </w:r>
    </w:p>
    <w:p/>
    <w:p>
      <w:r>
        <w:rPr>
          <w:b/>
          <w:color w:val="2E75B6"/>
          <w:sz w:val="24"/>
        </w:rPr>
        <w:t>1.2 Capaian Keterampilan (Skills)</w:t>
      </w:r>
    </w:p>
    <w:p>
      <w:pPr>
        <w:pStyle w:val="ListBullet"/>
        <w:ind w:left="432"/>
      </w:pPr>
      <w:r>
        <w:rPr>
          <w:sz w:val="21"/>
        </w:rPr>
        <w:t>Melakukan akuisisi data keuangan secara otomatis dari Yahoo Finance API menggunakan library yfinance.</w:t>
      </w:r>
    </w:p>
    <w:p>
      <w:pPr>
        <w:pStyle w:val="ListBullet"/>
        <w:ind w:left="432"/>
      </w:pPr>
      <w:r>
        <w:rPr>
          <w:sz w:val="21"/>
        </w:rPr>
        <w:t>Menerapkan pipeline preprocessing data: forward fill, backward fill, interpolasi linear, dan normalisasi MinMaxScaler.</w:t>
      </w:r>
    </w:p>
    <w:p>
      <w:pPr>
        <w:pStyle w:val="ListBullet"/>
        <w:ind w:left="432"/>
      </w:pPr>
      <w:r>
        <w:rPr>
          <w:sz w:val="21"/>
        </w:rPr>
        <w:t>Mengimplementasikan Feature Engineering: membuat 42 fitur dari 9 instrumen keuangan termasuk indikator teknikal dan lag features.</w:t>
      </w:r>
    </w:p>
    <w:p>
      <w:pPr>
        <w:pStyle w:val="ListBullet"/>
        <w:ind w:left="432"/>
      </w:pPr>
      <w:r>
        <w:rPr>
          <w:sz w:val="21"/>
        </w:rPr>
        <w:t>Membangun, melatih, dan mengoptimalkan arsitektur Deep Learning (LSTM, BiLSTM, GRU, CNN-LSTM) menggunakan Keras/TensorFlow.</w:t>
      </w:r>
    </w:p>
    <w:p>
      <w:pPr>
        <w:pStyle w:val="ListBullet"/>
        <w:ind w:left="432"/>
      </w:pPr>
      <w:r>
        <w:rPr>
          <w:sz w:val="21"/>
        </w:rPr>
        <w:t>Melakukan evaluasi performa model secara komprehensif dan menentukan model terbaik berdasarkan metrik kuantitatif.</w:t>
      </w:r>
    </w:p>
    <w:p>
      <w:pPr>
        <w:pStyle w:val="ListBullet"/>
        <w:ind w:left="432"/>
      </w:pPr>
      <w:r>
        <w:rPr>
          <w:sz w:val="21"/>
        </w:rPr>
        <w:t>Membuat visualisasi data dan dashboard interaktif menggunakan Plotly untuk keperluan Business Intelligence.</w:t>
      </w:r>
    </w:p>
    <w:p>
      <w:pPr>
        <w:pStyle w:val="ListBullet"/>
        <w:ind w:left="432"/>
      </w:pPr>
      <w:r>
        <w:rPr>
          <w:sz w:val="21"/>
        </w:rPr>
        <w:t>Menginterpretasikan hasil analisis Feature Importance (XGBoost) untuk mengidentifikasi faktor pendorong utama nilai tukar Rupiah.</w:t>
      </w:r>
    </w:p>
    <w:p/>
    <w:p>
      <w:r>
        <w:rPr>
          <w:b/>
          <w:color w:val="2E75B6"/>
          <w:sz w:val="24"/>
        </w:rPr>
        <w:t>1.3 Capaian Sikap &amp; Karakter (Attitude)</w:t>
      </w:r>
    </w:p>
    <w:p>
      <w:pPr>
        <w:pStyle w:val="ListBullet"/>
        <w:ind w:left="432"/>
      </w:pPr>
      <w:r>
        <w:rPr>
          <w:sz w:val="21"/>
        </w:rPr>
        <w:t>Menunjukkan kemampuan berpikir kritis dan analitis dalam menginterpretasikan hasil prediksi model terhadap kondisi ekonomi riil Indonesia.</w:t>
      </w:r>
    </w:p>
    <w:p>
      <w:pPr>
        <w:pStyle w:val="ListBullet"/>
        <w:ind w:left="432"/>
      </w:pPr>
      <w:r>
        <w:rPr>
          <w:sz w:val="21"/>
        </w:rPr>
        <w:t>Mengembangkan sikap ilmiah dalam penarikan kesimpulan berbasis data dan bukti empiris.</w:t>
      </w:r>
    </w:p>
    <w:p>
      <w:pPr>
        <w:pStyle w:val="ListBullet"/>
        <w:ind w:left="432"/>
      </w:pPr>
      <w:r>
        <w:rPr>
          <w:sz w:val="21"/>
        </w:rPr>
        <w:t>Mampu mengkomunikasikan temuan analitik secara sistematis dan profesional dalam format laporan akademik.</w:t>
      </w:r>
    </w:p>
    <w:p/>
    <w:p>
      <w:pPr>
        <w:pBdr>
          <w:bottom w:val="single" w:sz="6" w:space="1" w:color="2E75B6"/>
        </w:pBdr>
      </w:pPr>
    </w:p>
    <w:p/>
    <w:p>
      <w:r>
        <w:rPr>
          <w:b/>
          <w:color w:val="1F497D"/>
          <w:sz w:val="28"/>
        </w:rPr>
        <w:t>BAGIAN 2: ALAT DAN BAHAN (TECH STACK)</w:t>
      </w:r>
    </w:p>
    <w:p/>
    <w:p>
      <w:r>
        <w:rPr>
          <w:b w:val="0"/>
          <w:i w:val="0"/>
          <w:sz w:val="21"/>
        </w:rPr>
        <w:t>Kegiatan praktikum ini memerlukan perangkat keras dan lunak sebagaimana dijelaskan pada tabel di bawah ini. Seluruh library bersifat open-source dan dapat dijalankan pada lingkungan Google Colab maupun Jupyter Notebook lokal.</w:t>
      </w:r>
    </w:p>
    <w:p/>
    <w:p>
      <w:r>
        <w:rPr>
          <w:b/>
          <w:color w:val="2E75B6"/>
          <w:sz w:val="24"/>
        </w:rPr>
        <w:t>2.1 Perangkat Keras (Hardware)</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2E75B6"/>
          </w:tcPr>
          <w:p>
            <w:pPr>
              <w:jc w:val="center"/>
            </w:pPr>
            <w:r>
              <w:rPr>
                <w:b/>
                <w:color w:val="FFFFFF"/>
                <w:sz w:val="20"/>
              </w:rPr>
              <w:t>No.</w:t>
            </w:r>
          </w:p>
        </w:tc>
        <w:tc>
          <w:tcPr>
            <w:tcW w:type="dxa" w:w="2837"/>
            <w:shd w:val="clear" w:color="auto" w:fill="2E75B6"/>
          </w:tcPr>
          <w:p>
            <w:pPr>
              <w:jc w:val="center"/>
            </w:pPr>
            <w:r>
              <w:rPr>
                <w:b/>
                <w:color w:val="FFFFFF"/>
                <w:sz w:val="20"/>
              </w:rPr>
              <w:t>Perangkat</w:t>
            </w:r>
          </w:p>
        </w:tc>
        <w:tc>
          <w:tcPr>
            <w:tcW w:type="dxa" w:w="2837"/>
            <w:shd w:val="clear" w:color="auto" w:fill="2E75B6"/>
          </w:tcPr>
          <w:p>
            <w:pPr>
              <w:jc w:val="center"/>
            </w:pPr>
            <w:r>
              <w:rPr>
                <w:b/>
                <w:color w:val="FFFFFF"/>
                <w:sz w:val="20"/>
              </w:rPr>
              <w:t>Spesifikasi Minimum</w:t>
            </w:r>
          </w:p>
        </w:tc>
      </w:tr>
      <w:tr>
        <w:tc>
          <w:tcPr>
            <w:tcW w:type="dxa" w:w="2837"/>
            <w:shd w:val="clear" w:color="auto" w:fill="FFFFFF"/>
          </w:tcPr>
          <w:p>
            <w:pPr>
              <w:jc w:val="center"/>
            </w:pPr>
            <w:r>
              <w:rPr>
                <w:sz w:val="20"/>
              </w:rPr>
              <w:t>1</w:t>
            </w:r>
          </w:p>
        </w:tc>
        <w:tc>
          <w:tcPr>
            <w:tcW w:type="dxa" w:w="2837"/>
            <w:shd w:val="clear" w:color="auto" w:fill="FFFFFF"/>
          </w:tcPr>
          <w:p>
            <w:r>
              <w:rPr>
                <w:sz w:val="20"/>
              </w:rPr>
              <w:t>Komputer / Laptop</w:t>
            </w:r>
          </w:p>
        </w:tc>
        <w:tc>
          <w:tcPr>
            <w:tcW w:type="dxa" w:w="2837"/>
            <w:shd w:val="clear" w:color="auto" w:fill="FFFFFF"/>
          </w:tcPr>
          <w:p>
            <w:r>
              <w:rPr>
                <w:sz w:val="20"/>
              </w:rPr>
              <w:t>RAM 8 GB, CPU Intel Core i5 / AMD Ryzen 5, atau GPU NVIDIA (direkomendasikan)</w:t>
            </w:r>
          </w:p>
        </w:tc>
      </w:tr>
      <w:tr>
        <w:tc>
          <w:tcPr>
            <w:tcW w:type="dxa" w:w="2837"/>
            <w:shd w:val="clear" w:color="auto" w:fill="EBF3FB"/>
          </w:tcPr>
          <w:p>
            <w:pPr>
              <w:jc w:val="center"/>
            </w:pPr>
            <w:r>
              <w:rPr>
                <w:sz w:val="20"/>
              </w:rPr>
              <w:t>2</w:t>
            </w:r>
          </w:p>
        </w:tc>
        <w:tc>
          <w:tcPr>
            <w:tcW w:type="dxa" w:w="2837"/>
            <w:shd w:val="clear" w:color="auto" w:fill="EBF3FB"/>
          </w:tcPr>
          <w:p>
            <w:r>
              <w:rPr>
                <w:sz w:val="20"/>
              </w:rPr>
              <w:t>Koneksi Internet</w:t>
            </w:r>
          </w:p>
        </w:tc>
        <w:tc>
          <w:tcPr>
            <w:tcW w:type="dxa" w:w="2837"/>
            <w:shd w:val="clear" w:color="auto" w:fill="EBF3FB"/>
          </w:tcPr>
          <w:p>
            <w:r>
              <w:rPr>
                <w:sz w:val="20"/>
              </w:rPr>
              <w:t>Minimal 10 Mbps (untuk download dataset dari Yahoo Finance API)</w:t>
            </w:r>
          </w:p>
        </w:tc>
      </w:tr>
      <w:tr>
        <w:tc>
          <w:tcPr>
            <w:tcW w:type="dxa" w:w="2837"/>
            <w:shd w:val="clear" w:color="auto" w:fill="FFFFFF"/>
          </w:tcPr>
          <w:p>
            <w:pPr>
              <w:jc w:val="center"/>
            </w:pPr>
            <w:r>
              <w:rPr>
                <w:sz w:val="20"/>
              </w:rPr>
              <w:t>3</w:t>
            </w:r>
          </w:p>
        </w:tc>
        <w:tc>
          <w:tcPr>
            <w:tcW w:type="dxa" w:w="2837"/>
            <w:shd w:val="clear" w:color="auto" w:fill="FFFFFF"/>
          </w:tcPr>
          <w:p>
            <w:r>
              <w:rPr>
                <w:sz w:val="20"/>
              </w:rPr>
              <w:t>Penyimpanan</w:t>
            </w:r>
          </w:p>
        </w:tc>
        <w:tc>
          <w:tcPr>
            <w:tcW w:type="dxa" w:w="2837"/>
            <w:shd w:val="clear" w:color="auto" w:fill="FFFFFF"/>
          </w:tcPr>
          <w:p>
            <w:r>
              <w:rPr>
                <w:sz w:val="20"/>
              </w:rPr>
              <w:t>Minimal 5 GB ruang disk kosong untuk menyimpan dataset, model, dan output</w:t>
            </w:r>
          </w:p>
        </w:tc>
      </w:tr>
      <w:tr>
        <w:tc>
          <w:tcPr>
            <w:tcW w:type="dxa" w:w="2837"/>
            <w:shd w:val="clear" w:color="auto" w:fill="EBF3FB"/>
          </w:tcPr>
          <w:p>
            <w:pPr>
              <w:jc w:val="center"/>
            </w:pPr>
            <w:r>
              <w:rPr>
                <w:sz w:val="20"/>
              </w:rPr>
              <w:t>4</w:t>
            </w:r>
          </w:p>
        </w:tc>
        <w:tc>
          <w:tcPr>
            <w:tcW w:type="dxa" w:w="2837"/>
            <w:shd w:val="clear" w:color="auto" w:fill="EBF3FB"/>
          </w:tcPr>
          <w:p>
            <w:r>
              <w:rPr>
                <w:sz w:val="20"/>
              </w:rPr>
              <w:t>GPU (Opsional)</w:t>
            </w:r>
          </w:p>
        </w:tc>
        <w:tc>
          <w:tcPr>
            <w:tcW w:type="dxa" w:w="2837"/>
            <w:shd w:val="clear" w:color="auto" w:fill="EBF3FB"/>
          </w:tcPr>
          <w:p>
            <w:r>
              <w:rPr>
                <w:sz w:val="20"/>
              </w:rPr>
              <w:t>NVIDIA CUDA-compatible GPU untuk mempercepat training Deep Learning (atau gunakan Google Colab GPU)</w:t>
            </w:r>
          </w:p>
        </w:tc>
      </w:tr>
    </w:tbl>
    <w:p/>
    <w:p>
      <w:r>
        <w:rPr>
          <w:b/>
          <w:color w:val="2E75B6"/>
          <w:sz w:val="24"/>
        </w:rPr>
        <w:t>2.2 Perangkat Lunak dan Library (Software &amp; Tech Stack)</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497D"/>
          </w:tcPr>
          <w:p>
            <w:pPr>
              <w:jc w:val="center"/>
            </w:pPr>
            <w:r>
              <w:rPr>
                <w:b/>
                <w:color w:val="FFFFFF"/>
                <w:sz w:val="19"/>
              </w:rPr>
              <w:t>No.</w:t>
            </w:r>
          </w:p>
        </w:tc>
        <w:tc>
          <w:tcPr>
            <w:tcW w:type="dxa" w:w="2128"/>
            <w:shd w:val="clear" w:color="auto" w:fill="1F497D"/>
          </w:tcPr>
          <w:p>
            <w:pPr>
              <w:jc w:val="center"/>
            </w:pPr>
            <w:r>
              <w:rPr>
                <w:b/>
                <w:color w:val="FFFFFF"/>
                <w:sz w:val="19"/>
              </w:rPr>
              <w:t>Library / Tools</w:t>
            </w:r>
          </w:p>
        </w:tc>
        <w:tc>
          <w:tcPr>
            <w:tcW w:type="dxa" w:w="2128"/>
            <w:shd w:val="clear" w:color="auto" w:fill="1F497D"/>
          </w:tcPr>
          <w:p>
            <w:pPr>
              <w:jc w:val="center"/>
            </w:pPr>
            <w:r>
              <w:rPr>
                <w:b/>
                <w:color w:val="FFFFFF"/>
                <w:sz w:val="19"/>
              </w:rPr>
              <w:t>Versi</w:t>
            </w:r>
          </w:p>
        </w:tc>
        <w:tc>
          <w:tcPr>
            <w:tcW w:type="dxa" w:w="2128"/>
            <w:shd w:val="clear" w:color="auto" w:fill="1F497D"/>
          </w:tcPr>
          <w:p>
            <w:pPr>
              <w:jc w:val="center"/>
            </w:pPr>
            <w:r>
              <w:rPr>
                <w:b/>
                <w:color w:val="FFFFFF"/>
                <w:sz w:val="19"/>
              </w:rPr>
              <w:t>Fungsi dalam Penelitian</w:t>
            </w:r>
          </w:p>
        </w:tc>
      </w:tr>
      <w:tr>
        <w:tc>
          <w:tcPr>
            <w:tcW w:type="dxa" w:w="2128"/>
            <w:shd w:val="clear" w:color="auto" w:fill="FFFFFF"/>
          </w:tcPr>
          <w:p>
            <w:pPr>
              <w:jc w:val="center"/>
            </w:pPr>
            <w:r>
              <w:rPr>
                <w:sz w:val="19"/>
              </w:rPr>
              <w:t>1</w:t>
            </w:r>
          </w:p>
        </w:tc>
        <w:tc>
          <w:tcPr>
            <w:tcW w:type="dxa" w:w="2128"/>
            <w:shd w:val="clear" w:color="auto" w:fill="FFFFFF"/>
          </w:tcPr>
          <w:p>
            <w:r>
              <w:rPr>
                <w:b/>
                <w:sz w:val="19"/>
              </w:rPr>
              <w:t>Python</w:t>
            </w:r>
          </w:p>
        </w:tc>
        <w:tc>
          <w:tcPr>
            <w:tcW w:type="dxa" w:w="2128"/>
            <w:shd w:val="clear" w:color="auto" w:fill="FFFFFF"/>
          </w:tcPr>
          <w:p>
            <w:r>
              <w:rPr>
                <w:sz w:val="19"/>
              </w:rPr>
              <w:t>3.10+</w:t>
            </w:r>
          </w:p>
        </w:tc>
        <w:tc>
          <w:tcPr>
            <w:tcW w:type="dxa" w:w="2128"/>
            <w:shd w:val="clear" w:color="auto" w:fill="FFFFFF"/>
          </w:tcPr>
          <w:p>
            <w:r>
              <w:rPr>
                <w:sz w:val="19"/>
              </w:rPr>
              <w:t>Bahasa pemrograman utama</w:t>
            </w:r>
          </w:p>
        </w:tc>
      </w:tr>
      <w:tr>
        <w:tc>
          <w:tcPr>
            <w:tcW w:type="dxa" w:w="2128"/>
            <w:shd w:val="clear" w:color="auto" w:fill="EBF3FB"/>
          </w:tcPr>
          <w:p>
            <w:pPr>
              <w:jc w:val="center"/>
            </w:pPr>
            <w:r>
              <w:rPr>
                <w:sz w:val="19"/>
              </w:rPr>
              <w:t>2</w:t>
            </w:r>
          </w:p>
        </w:tc>
        <w:tc>
          <w:tcPr>
            <w:tcW w:type="dxa" w:w="2128"/>
            <w:shd w:val="clear" w:color="auto" w:fill="EBF3FB"/>
          </w:tcPr>
          <w:p>
            <w:r>
              <w:rPr>
                <w:b/>
                <w:sz w:val="19"/>
              </w:rPr>
              <w:t>Jupyter Notebook</w:t>
            </w:r>
          </w:p>
        </w:tc>
        <w:tc>
          <w:tcPr>
            <w:tcW w:type="dxa" w:w="2128"/>
            <w:shd w:val="clear" w:color="auto" w:fill="EBF3FB"/>
          </w:tcPr>
          <w:p>
            <w:r>
              <w:rPr>
                <w:sz w:val="19"/>
              </w:rPr>
              <w:t>7.x / Colab</w:t>
            </w:r>
          </w:p>
        </w:tc>
        <w:tc>
          <w:tcPr>
            <w:tcW w:type="dxa" w:w="2128"/>
            <w:shd w:val="clear" w:color="auto" w:fill="EBF3FB"/>
          </w:tcPr>
          <w:p>
            <w:r>
              <w:rPr>
                <w:sz w:val="19"/>
              </w:rPr>
              <w:t>Environment pengembangan interaktif</w:t>
            </w:r>
          </w:p>
        </w:tc>
      </w:tr>
      <w:tr>
        <w:tc>
          <w:tcPr>
            <w:tcW w:type="dxa" w:w="2128"/>
            <w:shd w:val="clear" w:color="auto" w:fill="FFFFFF"/>
          </w:tcPr>
          <w:p>
            <w:pPr>
              <w:jc w:val="center"/>
            </w:pPr>
            <w:r>
              <w:rPr>
                <w:sz w:val="19"/>
              </w:rPr>
              <w:t>3</w:t>
            </w:r>
          </w:p>
        </w:tc>
        <w:tc>
          <w:tcPr>
            <w:tcW w:type="dxa" w:w="2128"/>
            <w:shd w:val="clear" w:color="auto" w:fill="FFFFFF"/>
          </w:tcPr>
          <w:p>
            <w:r>
              <w:rPr>
                <w:b/>
                <w:sz w:val="19"/>
              </w:rPr>
              <w:t>pandas</w:t>
            </w:r>
          </w:p>
        </w:tc>
        <w:tc>
          <w:tcPr>
            <w:tcW w:type="dxa" w:w="2128"/>
            <w:shd w:val="clear" w:color="auto" w:fill="FFFFFF"/>
          </w:tcPr>
          <w:p>
            <w:r>
              <w:rPr>
                <w:sz w:val="19"/>
              </w:rPr>
              <w:t>2.x</w:t>
            </w:r>
          </w:p>
        </w:tc>
        <w:tc>
          <w:tcPr>
            <w:tcW w:type="dxa" w:w="2128"/>
            <w:shd w:val="clear" w:color="auto" w:fill="FFFFFF"/>
          </w:tcPr>
          <w:p>
            <w:r>
              <w:rPr>
                <w:sz w:val="19"/>
              </w:rPr>
              <w:t>Manipulasi dan analisis data tabular</w:t>
            </w:r>
          </w:p>
        </w:tc>
      </w:tr>
      <w:tr>
        <w:tc>
          <w:tcPr>
            <w:tcW w:type="dxa" w:w="2128"/>
            <w:shd w:val="clear" w:color="auto" w:fill="EBF3FB"/>
          </w:tcPr>
          <w:p>
            <w:pPr>
              <w:jc w:val="center"/>
            </w:pPr>
            <w:r>
              <w:rPr>
                <w:sz w:val="19"/>
              </w:rPr>
              <w:t>4</w:t>
            </w:r>
          </w:p>
        </w:tc>
        <w:tc>
          <w:tcPr>
            <w:tcW w:type="dxa" w:w="2128"/>
            <w:shd w:val="clear" w:color="auto" w:fill="EBF3FB"/>
          </w:tcPr>
          <w:p>
            <w:r>
              <w:rPr>
                <w:b/>
                <w:sz w:val="19"/>
              </w:rPr>
              <w:t>numpy</w:t>
            </w:r>
          </w:p>
        </w:tc>
        <w:tc>
          <w:tcPr>
            <w:tcW w:type="dxa" w:w="2128"/>
            <w:shd w:val="clear" w:color="auto" w:fill="EBF3FB"/>
          </w:tcPr>
          <w:p>
            <w:r>
              <w:rPr>
                <w:sz w:val="19"/>
              </w:rPr>
              <w:t>1.24+</w:t>
            </w:r>
          </w:p>
        </w:tc>
        <w:tc>
          <w:tcPr>
            <w:tcW w:type="dxa" w:w="2128"/>
            <w:shd w:val="clear" w:color="auto" w:fill="EBF3FB"/>
          </w:tcPr>
          <w:p>
            <w:r>
              <w:rPr>
                <w:sz w:val="19"/>
              </w:rPr>
              <w:t>Komputasi numerik dan array multidimensi</w:t>
            </w:r>
          </w:p>
        </w:tc>
      </w:tr>
      <w:tr>
        <w:tc>
          <w:tcPr>
            <w:tcW w:type="dxa" w:w="2128"/>
            <w:shd w:val="clear" w:color="auto" w:fill="FFFFFF"/>
          </w:tcPr>
          <w:p>
            <w:pPr>
              <w:jc w:val="center"/>
            </w:pPr>
            <w:r>
              <w:rPr>
                <w:sz w:val="19"/>
              </w:rPr>
              <w:t>5</w:t>
            </w:r>
          </w:p>
        </w:tc>
        <w:tc>
          <w:tcPr>
            <w:tcW w:type="dxa" w:w="2128"/>
            <w:shd w:val="clear" w:color="auto" w:fill="FFFFFF"/>
          </w:tcPr>
          <w:p>
            <w:r>
              <w:rPr>
                <w:b/>
                <w:sz w:val="19"/>
              </w:rPr>
              <w:t>yfinance</w:t>
            </w:r>
          </w:p>
        </w:tc>
        <w:tc>
          <w:tcPr>
            <w:tcW w:type="dxa" w:w="2128"/>
            <w:shd w:val="clear" w:color="auto" w:fill="FFFFFF"/>
          </w:tcPr>
          <w:p>
            <w:r>
              <w:rPr>
                <w:sz w:val="19"/>
              </w:rPr>
              <w:t>0.2+</w:t>
            </w:r>
          </w:p>
        </w:tc>
        <w:tc>
          <w:tcPr>
            <w:tcW w:type="dxa" w:w="2128"/>
            <w:shd w:val="clear" w:color="auto" w:fill="FFFFFF"/>
          </w:tcPr>
          <w:p>
            <w:r>
              <w:rPr>
                <w:sz w:val="19"/>
              </w:rPr>
              <w:t>Akuisisi data keuangan dari Yahoo Finance API</w:t>
            </w:r>
          </w:p>
        </w:tc>
      </w:tr>
      <w:tr>
        <w:tc>
          <w:tcPr>
            <w:tcW w:type="dxa" w:w="2128"/>
            <w:shd w:val="clear" w:color="auto" w:fill="EBF3FB"/>
          </w:tcPr>
          <w:p>
            <w:pPr>
              <w:jc w:val="center"/>
            </w:pPr>
            <w:r>
              <w:rPr>
                <w:sz w:val="19"/>
              </w:rPr>
              <w:t>6</w:t>
            </w:r>
          </w:p>
        </w:tc>
        <w:tc>
          <w:tcPr>
            <w:tcW w:type="dxa" w:w="2128"/>
            <w:shd w:val="clear" w:color="auto" w:fill="EBF3FB"/>
          </w:tcPr>
          <w:p>
            <w:r>
              <w:rPr>
                <w:b/>
                <w:sz w:val="19"/>
              </w:rPr>
              <w:t>scikit-learn</w:t>
            </w:r>
          </w:p>
        </w:tc>
        <w:tc>
          <w:tcPr>
            <w:tcW w:type="dxa" w:w="2128"/>
            <w:shd w:val="clear" w:color="auto" w:fill="EBF3FB"/>
          </w:tcPr>
          <w:p>
            <w:r>
              <w:rPr>
                <w:sz w:val="19"/>
              </w:rPr>
              <w:t>1.3+</w:t>
            </w:r>
          </w:p>
        </w:tc>
        <w:tc>
          <w:tcPr>
            <w:tcW w:type="dxa" w:w="2128"/>
            <w:shd w:val="clear" w:color="auto" w:fill="EBF3FB"/>
          </w:tcPr>
          <w:p>
            <w:r>
              <w:rPr>
                <w:sz w:val="19"/>
              </w:rPr>
              <w:t>Preprocessing (MinMaxScaler), Evaluasi Metrik</w:t>
            </w:r>
          </w:p>
        </w:tc>
      </w:tr>
      <w:tr>
        <w:tc>
          <w:tcPr>
            <w:tcW w:type="dxa" w:w="2128"/>
            <w:shd w:val="clear" w:color="auto" w:fill="FFFFFF"/>
          </w:tcPr>
          <w:p>
            <w:pPr>
              <w:jc w:val="center"/>
            </w:pPr>
            <w:r>
              <w:rPr>
                <w:sz w:val="19"/>
              </w:rPr>
              <w:t>7</w:t>
            </w:r>
          </w:p>
        </w:tc>
        <w:tc>
          <w:tcPr>
            <w:tcW w:type="dxa" w:w="2128"/>
            <w:shd w:val="clear" w:color="auto" w:fill="FFFFFF"/>
          </w:tcPr>
          <w:p>
            <w:r>
              <w:rPr>
                <w:b/>
                <w:sz w:val="19"/>
              </w:rPr>
              <w:t>keras / TF</w:t>
            </w:r>
          </w:p>
        </w:tc>
        <w:tc>
          <w:tcPr>
            <w:tcW w:type="dxa" w:w="2128"/>
            <w:shd w:val="clear" w:color="auto" w:fill="FFFFFF"/>
          </w:tcPr>
          <w:p>
            <w:r>
              <w:rPr>
                <w:sz w:val="19"/>
              </w:rPr>
              <w:t>3.x / 2.x</w:t>
            </w:r>
          </w:p>
        </w:tc>
        <w:tc>
          <w:tcPr>
            <w:tcW w:type="dxa" w:w="2128"/>
            <w:shd w:val="clear" w:color="auto" w:fill="FFFFFF"/>
          </w:tcPr>
          <w:p>
            <w:r>
              <w:rPr>
                <w:sz w:val="19"/>
              </w:rPr>
              <w:t>Membangun &amp; melatih model Deep Learning (LSTM, GRU, dll)</w:t>
            </w:r>
          </w:p>
        </w:tc>
      </w:tr>
      <w:tr>
        <w:tc>
          <w:tcPr>
            <w:tcW w:type="dxa" w:w="2128"/>
            <w:shd w:val="clear" w:color="auto" w:fill="EBF3FB"/>
          </w:tcPr>
          <w:p>
            <w:pPr>
              <w:jc w:val="center"/>
            </w:pPr>
            <w:r>
              <w:rPr>
                <w:sz w:val="19"/>
              </w:rPr>
              <w:t>8</w:t>
            </w:r>
          </w:p>
        </w:tc>
        <w:tc>
          <w:tcPr>
            <w:tcW w:type="dxa" w:w="2128"/>
            <w:shd w:val="clear" w:color="auto" w:fill="EBF3FB"/>
          </w:tcPr>
          <w:p>
            <w:r>
              <w:rPr>
                <w:b/>
                <w:sz w:val="19"/>
              </w:rPr>
              <w:t>xgboost</w:t>
            </w:r>
          </w:p>
        </w:tc>
        <w:tc>
          <w:tcPr>
            <w:tcW w:type="dxa" w:w="2128"/>
            <w:shd w:val="clear" w:color="auto" w:fill="EBF3FB"/>
          </w:tcPr>
          <w:p>
            <w:r>
              <w:rPr>
                <w:sz w:val="19"/>
              </w:rPr>
              <w:t>2.x</w:t>
            </w:r>
          </w:p>
        </w:tc>
        <w:tc>
          <w:tcPr>
            <w:tcW w:type="dxa" w:w="2128"/>
            <w:shd w:val="clear" w:color="auto" w:fill="EBF3FB"/>
          </w:tcPr>
          <w:p>
            <w:r>
              <w:rPr>
                <w:sz w:val="19"/>
              </w:rPr>
              <w:t>Model baseline ML &amp; Feature Importance Analysis</w:t>
            </w:r>
          </w:p>
        </w:tc>
      </w:tr>
      <w:tr>
        <w:tc>
          <w:tcPr>
            <w:tcW w:type="dxa" w:w="2128"/>
            <w:shd w:val="clear" w:color="auto" w:fill="FFFFFF"/>
          </w:tcPr>
          <w:p>
            <w:pPr>
              <w:jc w:val="center"/>
            </w:pPr>
            <w:r>
              <w:rPr>
                <w:sz w:val="19"/>
              </w:rPr>
              <w:t>9</w:t>
            </w:r>
          </w:p>
        </w:tc>
        <w:tc>
          <w:tcPr>
            <w:tcW w:type="dxa" w:w="2128"/>
            <w:shd w:val="clear" w:color="auto" w:fill="FFFFFF"/>
          </w:tcPr>
          <w:p>
            <w:r>
              <w:rPr>
                <w:b/>
                <w:sz w:val="19"/>
              </w:rPr>
              <w:t>ta</w:t>
            </w:r>
          </w:p>
        </w:tc>
        <w:tc>
          <w:tcPr>
            <w:tcW w:type="dxa" w:w="2128"/>
            <w:shd w:val="clear" w:color="auto" w:fill="FFFFFF"/>
          </w:tcPr>
          <w:p>
            <w:r>
              <w:rPr>
                <w:sz w:val="19"/>
              </w:rPr>
              <w:t>0.11+</w:t>
            </w:r>
          </w:p>
        </w:tc>
        <w:tc>
          <w:tcPr>
            <w:tcW w:type="dxa" w:w="2128"/>
            <w:shd w:val="clear" w:color="auto" w:fill="FFFFFF"/>
          </w:tcPr>
          <w:p>
            <w:r>
              <w:rPr>
                <w:sz w:val="19"/>
              </w:rPr>
              <w:t>Kalkulasi indikator teknikal keuangan (SMA, RSI, MACD)</w:t>
            </w:r>
          </w:p>
        </w:tc>
      </w:tr>
      <w:tr>
        <w:tc>
          <w:tcPr>
            <w:tcW w:type="dxa" w:w="2128"/>
            <w:shd w:val="clear" w:color="auto" w:fill="EBF3FB"/>
          </w:tcPr>
          <w:p>
            <w:pPr>
              <w:jc w:val="center"/>
            </w:pPr>
            <w:r>
              <w:rPr>
                <w:sz w:val="19"/>
              </w:rPr>
              <w:t>10</w:t>
            </w:r>
          </w:p>
        </w:tc>
        <w:tc>
          <w:tcPr>
            <w:tcW w:type="dxa" w:w="2128"/>
            <w:shd w:val="clear" w:color="auto" w:fill="EBF3FB"/>
          </w:tcPr>
          <w:p>
            <w:r>
              <w:rPr>
                <w:b/>
                <w:sz w:val="19"/>
              </w:rPr>
              <w:t>matplotlib</w:t>
            </w:r>
          </w:p>
        </w:tc>
        <w:tc>
          <w:tcPr>
            <w:tcW w:type="dxa" w:w="2128"/>
            <w:shd w:val="clear" w:color="auto" w:fill="EBF3FB"/>
          </w:tcPr>
          <w:p>
            <w:r>
              <w:rPr>
                <w:sz w:val="19"/>
              </w:rPr>
              <w:t>3.7+</w:t>
            </w:r>
          </w:p>
        </w:tc>
        <w:tc>
          <w:tcPr>
            <w:tcW w:type="dxa" w:w="2128"/>
            <w:shd w:val="clear" w:color="auto" w:fill="EBF3FB"/>
          </w:tcPr>
          <w:p>
            <w:r>
              <w:rPr>
                <w:sz w:val="19"/>
              </w:rPr>
              <w:t>Visualisasi grafik statis</w:t>
            </w:r>
          </w:p>
        </w:tc>
      </w:tr>
      <w:tr>
        <w:tc>
          <w:tcPr>
            <w:tcW w:type="dxa" w:w="2128"/>
            <w:shd w:val="clear" w:color="auto" w:fill="FFFFFF"/>
          </w:tcPr>
          <w:p>
            <w:pPr>
              <w:jc w:val="center"/>
            </w:pPr>
            <w:r>
              <w:rPr>
                <w:sz w:val="19"/>
              </w:rPr>
              <w:t>11</w:t>
            </w:r>
          </w:p>
        </w:tc>
        <w:tc>
          <w:tcPr>
            <w:tcW w:type="dxa" w:w="2128"/>
            <w:shd w:val="clear" w:color="auto" w:fill="FFFFFF"/>
          </w:tcPr>
          <w:p>
            <w:r>
              <w:rPr>
                <w:b/>
                <w:sz w:val="19"/>
              </w:rPr>
              <w:t>seaborn</w:t>
            </w:r>
          </w:p>
        </w:tc>
        <w:tc>
          <w:tcPr>
            <w:tcW w:type="dxa" w:w="2128"/>
            <w:shd w:val="clear" w:color="auto" w:fill="FFFFFF"/>
          </w:tcPr>
          <w:p>
            <w:r>
              <w:rPr>
                <w:sz w:val="19"/>
              </w:rPr>
              <w:t>0.12+</w:t>
            </w:r>
          </w:p>
        </w:tc>
        <w:tc>
          <w:tcPr>
            <w:tcW w:type="dxa" w:w="2128"/>
            <w:shd w:val="clear" w:color="auto" w:fill="FFFFFF"/>
          </w:tcPr>
          <w:p>
            <w:r>
              <w:rPr>
                <w:sz w:val="19"/>
              </w:rPr>
              <w:t>Visualisasi statistik (Correlation Heatmap)</w:t>
            </w:r>
          </w:p>
        </w:tc>
      </w:tr>
      <w:tr>
        <w:tc>
          <w:tcPr>
            <w:tcW w:type="dxa" w:w="2128"/>
            <w:shd w:val="clear" w:color="auto" w:fill="EBF3FB"/>
          </w:tcPr>
          <w:p>
            <w:pPr>
              <w:jc w:val="center"/>
            </w:pPr>
            <w:r>
              <w:rPr>
                <w:sz w:val="19"/>
              </w:rPr>
              <w:t>12</w:t>
            </w:r>
          </w:p>
        </w:tc>
        <w:tc>
          <w:tcPr>
            <w:tcW w:type="dxa" w:w="2128"/>
            <w:shd w:val="clear" w:color="auto" w:fill="EBF3FB"/>
          </w:tcPr>
          <w:p>
            <w:r>
              <w:rPr>
                <w:b/>
                <w:sz w:val="19"/>
              </w:rPr>
              <w:t>plotly</w:t>
            </w:r>
          </w:p>
        </w:tc>
        <w:tc>
          <w:tcPr>
            <w:tcW w:type="dxa" w:w="2128"/>
            <w:shd w:val="clear" w:color="auto" w:fill="EBF3FB"/>
          </w:tcPr>
          <w:p>
            <w:r>
              <w:rPr>
                <w:sz w:val="19"/>
              </w:rPr>
              <w:t>5.x</w:t>
            </w:r>
          </w:p>
        </w:tc>
        <w:tc>
          <w:tcPr>
            <w:tcW w:type="dxa" w:w="2128"/>
            <w:shd w:val="clear" w:color="auto" w:fill="EBF3FB"/>
          </w:tcPr>
          <w:p>
            <w:r>
              <w:rPr>
                <w:sz w:val="19"/>
              </w:rPr>
              <w:t>Dashboard interaktif Business Intelligence</w:t>
            </w:r>
          </w:p>
        </w:tc>
      </w:tr>
      <w:tr>
        <w:tc>
          <w:tcPr>
            <w:tcW w:type="dxa" w:w="2128"/>
            <w:shd w:val="clear" w:color="auto" w:fill="FFFFFF"/>
          </w:tcPr>
          <w:p>
            <w:pPr>
              <w:jc w:val="center"/>
            </w:pPr>
            <w:r>
              <w:rPr>
                <w:sz w:val="19"/>
              </w:rPr>
              <w:t>13</w:t>
            </w:r>
          </w:p>
        </w:tc>
        <w:tc>
          <w:tcPr>
            <w:tcW w:type="dxa" w:w="2128"/>
            <w:shd w:val="clear" w:color="auto" w:fill="FFFFFF"/>
          </w:tcPr>
          <w:p>
            <w:r>
              <w:rPr>
                <w:b/>
                <w:sz w:val="19"/>
              </w:rPr>
              <w:t>torch (PyTorch)</w:t>
            </w:r>
          </w:p>
        </w:tc>
        <w:tc>
          <w:tcPr>
            <w:tcW w:type="dxa" w:w="2128"/>
            <w:shd w:val="clear" w:color="auto" w:fill="FFFFFF"/>
          </w:tcPr>
          <w:p>
            <w:r>
              <w:rPr>
                <w:sz w:val="19"/>
              </w:rPr>
              <w:t>2.x</w:t>
            </w:r>
          </w:p>
        </w:tc>
        <w:tc>
          <w:tcPr>
            <w:tcW w:type="dxa" w:w="2128"/>
            <w:shd w:val="clear" w:color="auto" w:fill="FFFFFF"/>
          </w:tcPr>
          <w:p>
            <w:r>
              <w:rPr>
                <w:sz w:val="19"/>
              </w:rPr>
              <w:t>Backend deep learning untuk Keras</w:t>
            </w:r>
          </w:p>
        </w:tc>
      </w:tr>
      <w:tr>
        <w:tc>
          <w:tcPr>
            <w:tcW w:type="dxa" w:w="2128"/>
            <w:shd w:val="clear" w:color="auto" w:fill="EBF3FB"/>
          </w:tcPr>
          <w:p>
            <w:pPr>
              <w:jc w:val="center"/>
            </w:pPr>
            <w:r>
              <w:rPr>
                <w:sz w:val="19"/>
              </w:rPr>
              <w:t>14</w:t>
            </w:r>
          </w:p>
        </w:tc>
        <w:tc>
          <w:tcPr>
            <w:tcW w:type="dxa" w:w="2128"/>
            <w:shd w:val="clear" w:color="auto" w:fill="EBF3FB"/>
          </w:tcPr>
          <w:p>
            <w:r>
              <w:rPr>
                <w:b/>
                <w:sz w:val="19"/>
              </w:rPr>
              <w:t>fredapi</w:t>
            </w:r>
          </w:p>
        </w:tc>
        <w:tc>
          <w:tcPr>
            <w:tcW w:type="dxa" w:w="2128"/>
            <w:shd w:val="clear" w:color="auto" w:fill="EBF3FB"/>
          </w:tcPr>
          <w:p>
            <w:r>
              <w:rPr>
                <w:sz w:val="19"/>
              </w:rPr>
              <w:t>0.5+</w:t>
            </w:r>
          </w:p>
        </w:tc>
        <w:tc>
          <w:tcPr>
            <w:tcW w:type="dxa" w:w="2128"/>
            <w:shd w:val="clear" w:color="auto" w:fill="EBF3FB"/>
          </w:tcPr>
          <w:p>
            <w:r>
              <w:rPr>
                <w:sz w:val="19"/>
              </w:rPr>
              <w:t>Akses data makroekonomi dari FRED (Federal Reserve)</w:t>
            </w:r>
          </w:p>
        </w:tc>
      </w:tr>
    </w:tbl>
    <w:p/>
    <w:p>
      <w:pPr>
        <w:pBdr>
          <w:bottom w:val="single" w:sz="6" w:space="1" w:color="2E75B6"/>
        </w:pBdr>
      </w:pPr>
    </w:p>
    <w:p/>
    <w:p>
      <w:r>
        <w:rPr>
          <w:b/>
          <w:color w:val="1F497D"/>
          <w:sz w:val="28"/>
        </w:rPr>
        <w:t>BAGIAN 3: DESKRIPSI TOPIK DAN LATAR BELAKANG</w:t>
      </w:r>
    </w:p>
    <w:p/>
    <w:p>
      <w:r>
        <w:rPr>
          <w:b/>
          <w:color w:val="2E75B6"/>
          <w:sz w:val="24"/>
        </w:rPr>
        <w:t>3.1 Latar Belakang Penelitian</w:t>
      </w:r>
    </w:p>
    <w:p>
      <w:r>
        <w:rPr>
          <w:b w:val="0"/>
          <w:i w:val="0"/>
          <w:sz w:val="21"/>
        </w:rPr>
        <w:t>Nilai tukar Rupiah Indonesia (IDR) terhadap Dolar AS (USD) merupakan salah satu indikator makroekonomi yang paling kritis. Fluktuasi nilai tukar ini dipengaruhi oleh berbagai faktor kompleks yang saling berinteraksi, mulai dari inflasi domestik, suku bunga Bank Indonesia, harga komoditas global (minyak, emas), hingga dinamika pasar ekuitas internasional (Nasdaq, S&amp;P 500, Dow Jones).</w:t>
      </w:r>
    </w:p>
    <w:p>
      <w:r>
        <w:rPr>
          <w:b w:val="0"/>
          <w:i w:val="0"/>
          <w:sz w:val="21"/>
        </w:rPr>
        <w:t>Metode konvensional seperti ARIMA dan VAR seringkali tidak mampu menangkap pola non-linear yang kompleks dalam data keuangan. Kehadiran Deep Learning —khususnya arsitektur berbasis sequence memory seperti LSTM dan GRU— membuka peluang baru untuk memodelkan dependensi temporal jangka panjang pada data time-series finansial dengan akurasi yang lebih tinggi.</w:t>
      </w:r>
    </w:p>
    <w:p/>
    <w:p>
      <w:r>
        <w:rPr>
          <w:b/>
          <w:color w:val="2E75B6"/>
          <w:sz w:val="24"/>
        </w:rPr>
        <w:t>3.2 Dataset dan Sumber Data</w:t>
      </w:r>
    </w:p>
    <w:p>
      <w:r>
        <w:rPr>
          <w:b w:val="0"/>
          <w:i w:val="0"/>
          <w:sz w:val="21"/>
        </w:rPr>
        <w:t>Data yang digunakan dalam penelitian ini dirangkum pada tabel berikut:</w:t>
      </w:r>
    </w:p>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02"/>
            <w:shd w:val="clear" w:color="auto" w:fill="2E75B6"/>
          </w:tcPr>
          <w:p>
            <w:pPr>
              <w:jc w:val="center"/>
            </w:pPr>
            <w:r>
              <w:rPr>
                <w:b/>
                <w:color w:val="FFFFFF"/>
                <w:sz w:val="19"/>
              </w:rPr>
              <w:t>No.</w:t>
            </w:r>
          </w:p>
        </w:tc>
        <w:tc>
          <w:tcPr>
            <w:tcW w:type="dxa" w:w="1702"/>
            <w:shd w:val="clear" w:color="auto" w:fill="2E75B6"/>
          </w:tcPr>
          <w:p>
            <w:pPr>
              <w:jc w:val="center"/>
            </w:pPr>
            <w:r>
              <w:rPr>
                <w:b/>
                <w:color w:val="FFFFFF"/>
                <w:sz w:val="19"/>
              </w:rPr>
              <w:t>Instrumen</w:t>
            </w:r>
          </w:p>
        </w:tc>
        <w:tc>
          <w:tcPr>
            <w:tcW w:type="dxa" w:w="1702"/>
            <w:shd w:val="clear" w:color="auto" w:fill="2E75B6"/>
          </w:tcPr>
          <w:p>
            <w:pPr>
              <w:jc w:val="center"/>
            </w:pPr>
            <w:r>
              <w:rPr>
                <w:b/>
                <w:color w:val="FFFFFF"/>
                <w:sz w:val="19"/>
              </w:rPr>
              <w:t>Ticker Yahoo Finance</w:t>
            </w:r>
          </w:p>
        </w:tc>
        <w:tc>
          <w:tcPr>
            <w:tcW w:type="dxa" w:w="1702"/>
            <w:shd w:val="clear" w:color="auto" w:fill="2E75B6"/>
          </w:tcPr>
          <w:p>
            <w:pPr>
              <w:jc w:val="center"/>
            </w:pPr>
            <w:r>
              <w:rPr>
                <w:b/>
                <w:color w:val="FFFFFF"/>
                <w:sz w:val="19"/>
              </w:rPr>
              <w:t>Periode</w:t>
            </w:r>
          </w:p>
        </w:tc>
        <w:tc>
          <w:tcPr>
            <w:tcW w:type="dxa" w:w="1702"/>
            <w:shd w:val="clear" w:color="auto" w:fill="2E75B6"/>
          </w:tcPr>
          <w:p>
            <w:pPr>
              <w:jc w:val="center"/>
            </w:pPr>
            <w:r>
              <w:rPr>
                <w:b/>
                <w:color w:val="FFFFFF"/>
                <w:sz w:val="19"/>
              </w:rPr>
              <w:t>Kategori</w:t>
            </w:r>
          </w:p>
        </w:tc>
      </w:tr>
      <w:tr>
        <w:tc>
          <w:tcPr>
            <w:tcW w:type="dxa" w:w="1702"/>
            <w:shd w:val="clear" w:color="auto" w:fill="FFFFFF"/>
          </w:tcPr>
          <w:p>
            <w:pPr>
              <w:jc w:val="center"/>
            </w:pPr>
            <w:r>
              <w:rPr>
                <w:sz w:val="19"/>
              </w:rPr>
              <w:t>1</w:t>
            </w:r>
          </w:p>
        </w:tc>
        <w:tc>
          <w:tcPr>
            <w:tcW w:type="dxa" w:w="1702"/>
            <w:shd w:val="clear" w:color="auto" w:fill="FFFFFF"/>
          </w:tcPr>
          <w:p>
            <w:r>
              <w:rPr>
                <w:sz w:val="19"/>
              </w:rPr>
              <w:t>USD/IDR Exchange Rate</w:t>
            </w:r>
          </w:p>
        </w:tc>
        <w:tc>
          <w:tcPr>
            <w:tcW w:type="dxa" w:w="1702"/>
            <w:shd w:val="clear" w:color="auto" w:fill="FFFFFF"/>
          </w:tcPr>
          <w:p>
            <w:r>
              <w:rPr>
                <w:b/>
                <w:sz w:val="19"/>
              </w:rPr>
              <w:t>USDIDR=X</w:t>
            </w:r>
          </w:p>
        </w:tc>
        <w:tc>
          <w:tcPr>
            <w:tcW w:type="dxa" w:w="1702"/>
            <w:shd w:val="clear" w:color="auto" w:fill="FFFFFF"/>
          </w:tcPr>
          <w:p>
            <w:r>
              <w:rPr>
                <w:sz w:val="19"/>
              </w:rPr>
              <w:t>2016–2026</w:t>
            </w:r>
          </w:p>
        </w:tc>
        <w:tc>
          <w:tcPr>
            <w:tcW w:type="dxa" w:w="1702"/>
            <w:shd w:val="clear" w:color="auto" w:fill="FFFFFF"/>
          </w:tcPr>
          <w:p>
            <w:r>
              <w:rPr>
                <w:sz w:val="19"/>
              </w:rPr>
              <w:t>Target Variable</w:t>
            </w:r>
          </w:p>
        </w:tc>
      </w:tr>
      <w:tr>
        <w:tc>
          <w:tcPr>
            <w:tcW w:type="dxa" w:w="1702"/>
            <w:shd w:val="clear" w:color="auto" w:fill="EBF3FB"/>
          </w:tcPr>
          <w:p>
            <w:pPr>
              <w:jc w:val="center"/>
            </w:pPr>
            <w:r>
              <w:rPr>
                <w:sz w:val="19"/>
              </w:rPr>
              <w:t>2</w:t>
            </w:r>
          </w:p>
        </w:tc>
        <w:tc>
          <w:tcPr>
            <w:tcW w:type="dxa" w:w="1702"/>
            <w:shd w:val="clear" w:color="auto" w:fill="EBF3FB"/>
          </w:tcPr>
          <w:p>
            <w:r>
              <w:rPr>
                <w:sz w:val="19"/>
              </w:rPr>
              <w:t>IHSG (Jakarta Composite)</w:t>
            </w:r>
          </w:p>
        </w:tc>
        <w:tc>
          <w:tcPr>
            <w:tcW w:type="dxa" w:w="1702"/>
            <w:shd w:val="clear" w:color="auto" w:fill="EBF3FB"/>
          </w:tcPr>
          <w:p>
            <w:r>
              <w:rPr>
                <w:b/>
                <w:sz w:val="19"/>
              </w:rPr>
              <w:t>^JKSE</w:t>
            </w:r>
          </w:p>
        </w:tc>
        <w:tc>
          <w:tcPr>
            <w:tcW w:type="dxa" w:w="1702"/>
            <w:shd w:val="clear" w:color="auto" w:fill="EBF3FB"/>
          </w:tcPr>
          <w:p>
            <w:r>
              <w:rPr>
                <w:sz w:val="19"/>
              </w:rPr>
              <w:t>2016–2026</w:t>
            </w:r>
          </w:p>
        </w:tc>
        <w:tc>
          <w:tcPr>
            <w:tcW w:type="dxa" w:w="1702"/>
            <w:shd w:val="clear" w:color="auto" w:fill="EBF3FB"/>
          </w:tcPr>
          <w:p>
            <w:r>
              <w:rPr>
                <w:sz w:val="19"/>
              </w:rPr>
              <w:t>Pasar Saham Domestik</w:t>
            </w:r>
          </w:p>
        </w:tc>
      </w:tr>
      <w:tr>
        <w:tc>
          <w:tcPr>
            <w:tcW w:type="dxa" w:w="1702"/>
            <w:shd w:val="clear" w:color="auto" w:fill="FFFFFF"/>
          </w:tcPr>
          <w:p>
            <w:pPr>
              <w:jc w:val="center"/>
            </w:pPr>
            <w:r>
              <w:rPr>
                <w:sz w:val="19"/>
              </w:rPr>
              <w:t>3</w:t>
            </w:r>
          </w:p>
        </w:tc>
        <w:tc>
          <w:tcPr>
            <w:tcW w:type="dxa" w:w="1702"/>
            <w:shd w:val="clear" w:color="auto" w:fill="FFFFFF"/>
          </w:tcPr>
          <w:p>
            <w:r>
              <w:rPr>
                <w:sz w:val="19"/>
              </w:rPr>
              <w:t>Emas (Gold)</w:t>
            </w:r>
          </w:p>
        </w:tc>
        <w:tc>
          <w:tcPr>
            <w:tcW w:type="dxa" w:w="1702"/>
            <w:shd w:val="clear" w:color="auto" w:fill="FFFFFF"/>
          </w:tcPr>
          <w:p>
            <w:r>
              <w:rPr>
                <w:b/>
                <w:sz w:val="19"/>
              </w:rPr>
              <w:t>GC=F</w:t>
            </w:r>
          </w:p>
        </w:tc>
        <w:tc>
          <w:tcPr>
            <w:tcW w:type="dxa" w:w="1702"/>
            <w:shd w:val="clear" w:color="auto" w:fill="FFFFFF"/>
          </w:tcPr>
          <w:p>
            <w:r>
              <w:rPr>
                <w:sz w:val="19"/>
              </w:rPr>
              <w:t>2016–2026</w:t>
            </w:r>
          </w:p>
        </w:tc>
        <w:tc>
          <w:tcPr>
            <w:tcW w:type="dxa" w:w="1702"/>
            <w:shd w:val="clear" w:color="auto" w:fill="FFFFFF"/>
          </w:tcPr>
          <w:p>
            <w:r>
              <w:rPr>
                <w:sz w:val="19"/>
              </w:rPr>
              <w:t>Komoditas Global</w:t>
            </w:r>
          </w:p>
        </w:tc>
      </w:tr>
      <w:tr>
        <w:tc>
          <w:tcPr>
            <w:tcW w:type="dxa" w:w="1702"/>
            <w:shd w:val="clear" w:color="auto" w:fill="EBF3FB"/>
          </w:tcPr>
          <w:p>
            <w:pPr>
              <w:jc w:val="center"/>
            </w:pPr>
            <w:r>
              <w:rPr>
                <w:sz w:val="19"/>
              </w:rPr>
              <w:t>4</w:t>
            </w:r>
          </w:p>
        </w:tc>
        <w:tc>
          <w:tcPr>
            <w:tcW w:type="dxa" w:w="1702"/>
            <w:shd w:val="clear" w:color="auto" w:fill="EBF3FB"/>
          </w:tcPr>
          <w:p>
            <w:r>
              <w:rPr>
                <w:sz w:val="19"/>
              </w:rPr>
              <w:t>Minyak Mentah (Crude Oil)</w:t>
            </w:r>
          </w:p>
        </w:tc>
        <w:tc>
          <w:tcPr>
            <w:tcW w:type="dxa" w:w="1702"/>
            <w:shd w:val="clear" w:color="auto" w:fill="EBF3FB"/>
          </w:tcPr>
          <w:p>
            <w:r>
              <w:rPr>
                <w:b/>
                <w:sz w:val="19"/>
              </w:rPr>
              <w:t>CL=F</w:t>
            </w:r>
          </w:p>
        </w:tc>
        <w:tc>
          <w:tcPr>
            <w:tcW w:type="dxa" w:w="1702"/>
            <w:shd w:val="clear" w:color="auto" w:fill="EBF3FB"/>
          </w:tcPr>
          <w:p>
            <w:r>
              <w:rPr>
                <w:sz w:val="19"/>
              </w:rPr>
              <w:t>2016–2026</w:t>
            </w:r>
          </w:p>
        </w:tc>
        <w:tc>
          <w:tcPr>
            <w:tcW w:type="dxa" w:w="1702"/>
            <w:shd w:val="clear" w:color="auto" w:fill="EBF3FB"/>
          </w:tcPr>
          <w:p>
            <w:r>
              <w:rPr>
                <w:sz w:val="19"/>
              </w:rPr>
              <w:t>Komoditas Energi</w:t>
            </w:r>
          </w:p>
        </w:tc>
      </w:tr>
      <w:tr>
        <w:tc>
          <w:tcPr>
            <w:tcW w:type="dxa" w:w="1702"/>
            <w:shd w:val="clear" w:color="auto" w:fill="FFFFFF"/>
          </w:tcPr>
          <w:p>
            <w:pPr>
              <w:jc w:val="center"/>
            </w:pPr>
            <w:r>
              <w:rPr>
                <w:sz w:val="19"/>
              </w:rPr>
              <w:t>5</w:t>
            </w:r>
          </w:p>
        </w:tc>
        <w:tc>
          <w:tcPr>
            <w:tcW w:type="dxa" w:w="1702"/>
            <w:shd w:val="clear" w:color="auto" w:fill="FFFFFF"/>
          </w:tcPr>
          <w:p>
            <w:r>
              <w:rPr>
                <w:sz w:val="19"/>
              </w:rPr>
              <w:t>Nasdaq Composite</w:t>
            </w:r>
          </w:p>
        </w:tc>
        <w:tc>
          <w:tcPr>
            <w:tcW w:type="dxa" w:w="1702"/>
            <w:shd w:val="clear" w:color="auto" w:fill="FFFFFF"/>
          </w:tcPr>
          <w:p>
            <w:r>
              <w:rPr>
                <w:b/>
                <w:sz w:val="19"/>
              </w:rPr>
              <w:t>^IXIC</w:t>
            </w:r>
          </w:p>
        </w:tc>
        <w:tc>
          <w:tcPr>
            <w:tcW w:type="dxa" w:w="1702"/>
            <w:shd w:val="clear" w:color="auto" w:fill="FFFFFF"/>
          </w:tcPr>
          <w:p>
            <w:r>
              <w:rPr>
                <w:sz w:val="19"/>
              </w:rPr>
              <w:t>2016–2026</w:t>
            </w:r>
          </w:p>
        </w:tc>
        <w:tc>
          <w:tcPr>
            <w:tcW w:type="dxa" w:w="1702"/>
            <w:shd w:val="clear" w:color="auto" w:fill="FFFFFF"/>
          </w:tcPr>
          <w:p>
            <w:r>
              <w:rPr>
                <w:sz w:val="19"/>
              </w:rPr>
              <w:t>Pasar Saham AS</w:t>
            </w:r>
          </w:p>
        </w:tc>
      </w:tr>
      <w:tr>
        <w:tc>
          <w:tcPr>
            <w:tcW w:type="dxa" w:w="1702"/>
            <w:shd w:val="clear" w:color="auto" w:fill="EBF3FB"/>
          </w:tcPr>
          <w:p>
            <w:pPr>
              <w:jc w:val="center"/>
            </w:pPr>
            <w:r>
              <w:rPr>
                <w:sz w:val="19"/>
              </w:rPr>
              <w:t>6</w:t>
            </w:r>
          </w:p>
        </w:tc>
        <w:tc>
          <w:tcPr>
            <w:tcW w:type="dxa" w:w="1702"/>
            <w:shd w:val="clear" w:color="auto" w:fill="EBF3FB"/>
          </w:tcPr>
          <w:p>
            <w:r>
              <w:rPr>
                <w:sz w:val="19"/>
              </w:rPr>
              <w:t>S&amp;P 500</w:t>
            </w:r>
          </w:p>
        </w:tc>
        <w:tc>
          <w:tcPr>
            <w:tcW w:type="dxa" w:w="1702"/>
            <w:shd w:val="clear" w:color="auto" w:fill="EBF3FB"/>
          </w:tcPr>
          <w:p>
            <w:r>
              <w:rPr>
                <w:b/>
                <w:sz w:val="19"/>
              </w:rPr>
              <w:t>^GSPC</w:t>
            </w:r>
          </w:p>
        </w:tc>
        <w:tc>
          <w:tcPr>
            <w:tcW w:type="dxa" w:w="1702"/>
            <w:shd w:val="clear" w:color="auto" w:fill="EBF3FB"/>
          </w:tcPr>
          <w:p>
            <w:r>
              <w:rPr>
                <w:sz w:val="19"/>
              </w:rPr>
              <w:t>2016–2026</w:t>
            </w:r>
          </w:p>
        </w:tc>
        <w:tc>
          <w:tcPr>
            <w:tcW w:type="dxa" w:w="1702"/>
            <w:shd w:val="clear" w:color="auto" w:fill="EBF3FB"/>
          </w:tcPr>
          <w:p>
            <w:r>
              <w:rPr>
                <w:sz w:val="19"/>
              </w:rPr>
              <w:t>Pasar Saham AS</w:t>
            </w:r>
          </w:p>
        </w:tc>
      </w:tr>
      <w:tr>
        <w:tc>
          <w:tcPr>
            <w:tcW w:type="dxa" w:w="1702"/>
            <w:shd w:val="clear" w:color="auto" w:fill="FFFFFF"/>
          </w:tcPr>
          <w:p>
            <w:pPr>
              <w:jc w:val="center"/>
            </w:pPr>
            <w:r>
              <w:rPr>
                <w:sz w:val="19"/>
              </w:rPr>
              <w:t>7</w:t>
            </w:r>
          </w:p>
        </w:tc>
        <w:tc>
          <w:tcPr>
            <w:tcW w:type="dxa" w:w="1702"/>
            <w:shd w:val="clear" w:color="auto" w:fill="FFFFFF"/>
          </w:tcPr>
          <w:p>
            <w:r>
              <w:rPr>
                <w:sz w:val="19"/>
              </w:rPr>
              <w:t>Dow Jones Industrial</w:t>
            </w:r>
          </w:p>
        </w:tc>
        <w:tc>
          <w:tcPr>
            <w:tcW w:type="dxa" w:w="1702"/>
            <w:shd w:val="clear" w:color="auto" w:fill="FFFFFF"/>
          </w:tcPr>
          <w:p>
            <w:r>
              <w:rPr>
                <w:b/>
                <w:sz w:val="19"/>
              </w:rPr>
              <w:t>^DJI</w:t>
            </w:r>
          </w:p>
        </w:tc>
        <w:tc>
          <w:tcPr>
            <w:tcW w:type="dxa" w:w="1702"/>
            <w:shd w:val="clear" w:color="auto" w:fill="FFFFFF"/>
          </w:tcPr>
          <w:p>
            <w:r>
              <w:rPr>
                <w:sz w:val="19"/>
              </w:rPr>
              <w:t>2016–2026</w:t>
            </w:r>
          </w:p>
        </w:tc>
        <w:tc>
          <w:tcPr>
            <w:tcW w:type="dxa" w:w="1702"/>
            <w:shd w:val="clear" w:color="auto" w:fill="FFFFFF"/>
          </w:tcPr>
          <w:p>
            <w:r>
              <w:rPr>
                <w:sz w:val="19"/>
              </w:rPr>
              <w:t>Pasar Saham AS</w:t>
            </w:r>
          </w:p>
        </w:tc>
      </w:tr>
      <w:tr>
        <w:tc>
          <w:tcPr>
            <w:tcW w:type="dxa" w:w="1702"/>
            <w:shd w:val="clear" w:color="auto" w:fill="EBF3FB"/>
          </w:tcPr>
          <w:p>
            <w:pPr>
              <w:jc w:val="center"/>
            </w:pPr>
            <w:r>
              <w:rPr>
                <w:sz w:val="19"/>
              </w:rPr>
              <w:t>8</w:t>
            </w:r>
          </w:p>
        </w:tc>
        <w:tc>
          <w:tcPr>
            <w:tcW w:type="dxa" w:w="1702"/>
            <w:shd w:val="clear" w:color="auto" w:fill="EBF3FB"/>
          </w:tcPr>
          <w:p>
            <w:r>
              <w:rPr>
                <w:sz w:val="19"/>
              </w:rPr>
              <w:t>Bitcoin</w:t>
            </w:r>
          </w:p>
        </w:tc>
        <w:tc>
          <w:tcPr>
            <w:tcW w:type="dxa" w:w="1702"/>
            <w:shd w:val="clear" w:color="auto" w:fill="EBF3FB"/>
          </w:tcPr>
          <w:p>
            <w:r>
              <w:rPr>
                <w:b/>
                <w:sz w:val="19"/>
              </w:rPr>
              <w:t>BTC-USD</w:t>
            </w:r>
          </w:p>
        </w:tc>
        <w:tc>
          <w:tcPr>
            <w:tcW w:type="dxa" w:w="1702"/>
            <w:shd w:val="clear" w:color="auto" w:fill="EBF3FB"/>
          </w:tcPr>
          <w:p>
            <w:r>
              <w:rPr>
                <w:sz w:val="19"/>
              </w:rPr>
              <w:t>2016–2026</w:t>
            </w:r>
          </w:p>
        </w:tc>
        <w:tc>
          <w:tcPr>
            <w:tcW w:type="dxa" w:w="1702"/>
            <w:shd w:val="clear" w:color="auto" w:fill="EBF3FB"/>
          </w:tcPr>
          <w:p>
            <w:r>
              <w:rPr>
                <w:sz w:val="19"/>
              </w:rPr>
              <w:t>Aset Digital/Kripto</w:t>
            </w:r>
          </w:p>
        </w:tc>
      </w:tr>
      <w:tr>
        <w:tc>
          <w:tcPr>
            <w:tcW w:type="dxa" w:w="1702"/>
            <w:shd w:val="clear" w:color="auto" w:fill="FFFFFF"/>
          </w:tcPr>
          <w:p>
            <w:pPr>
              <w:jc w:val="center"/>
            </w:pPr>
            <w:r>
              <w:rPr>
                <w:sz w:val="19"/>
              </w:rPr>
              <w:t>9</w:t>
            </w:r>
          </w:p>
        </w:tc>
        <w:tc>
          <w:tcPr>
            <w:tcW w:type="dxa" w:w="1702"/>
            <w:shd w:val="clear" w:color="auto" w:fill="FFFFFF"/>
          </w:tcPr>
          <w:p>
            <w:r>
              <w:rPr>
                <w:sz w:val="19"/>
              </w:rPr>
              <w:t>Brent Oil</w:t>
            </w:r>
          </w:p>
        </w:tc>
        <w:tc>
          <w:tcPr>
            <w:tcW w:type="dxa" w:w="1702"/>
            <w:shd w:val="clear" w:color="auto" w:fill="FFFFFF"/>
          </w:tcPr>
          <w:p>
            <w:r>
              <w:rPr>
                <w:b/>
                <w:sz w:val="19"/>
              </w:rPr>
              <w:t>BZ=F</w:t>
            </w:r>
          </w:p>
        </w:tc>
        <w:tc>
          <w:tcPr>
            <w:tcW w:type="dxa" w:w="1702"/>
            <w:shd w:val="clear" w:color="auto" w:fill="FFFFFF"/>
          </w:tcPr>
          <w:p>
            <w:r>
              <w:rPr>
                <w:sz w:val="19"/>
              </w:rPr>
              <w:t>2016–2026</w:t>
            </w:r>
          </w:p>
        </w:tc>
        <w:tc>
          <w:tcPr>
            <w:tcW w:type="dxa" w:w="1702"/>
            <w:shd w:val="clear" w:color="auto" w:fill="FFFFFF"/>
          </w:tcPr>
          <w:p>
            <w:r>
              <w:rPr>
                <w:sz w:val="19"/>
              </w:rPr>
              <w:t>Komoditas Energi</w:t>
            </w:r>
          </w:p>
        </w:tc>
      </w:tr>
    </w:tbl>
    <w:p/>
    <w:p>
      <w:r>
        <w:rPr>
          <w:b w:val="0"/>
          <w:i/>
          <w:sz w:val="20"/>
        </w:rPr>
        <w:t>Total data: ±2.610 observasi hari perdagangan (Juni 2016 – Juni 2026), dengan frekuensi harian.</w:t>
      </w:r>
    </w:p>
    <w:p/>
    <w:p>
      <w:pPr>
        <w:jc w:val="center"/>
      </w:pPr>
      <w:r>
        <w:drawing>
          <wp:inline xmlns:a="http://schemas.openxmlformats.org/drawingml/2006/main" xmlns:pic="http://schemas.openxmlformats.org/drawingml/2006/picture">
            <wp:extent cx="5669280" cy="1989221"/>
            <wp:docPr id="1" name="Picture 1"/>
            <wp:cNvGraphicFramePr>
              <a:graphicFrameLocks noChangeAspect="1"/>
            </wp:cNvGraphicFramePr>
            <a:graphic>
              <a:graphicData uri="http://schemas.openxmlformats.org/drawingml/2006/picture">
                <pic:pic>
                  <pic:nvPicPr>
                    <pic:cNvPr id="0" name="fig1_usdidr_trend.png"/>
                    <pic:cNvPicPr/>
                  </pic:nvPicPr>
                  <pic:blipFill>
                    <a:blip r:embed="rId9"/>
                    <a:stretch>
                      <a:fillRect/>
                    </a:stretch>
                  </pic:blipFill>
                  <pic:spPr>
                    <a:xfrm>
                      <a:off x="0" y="0"/>
                      <a:ext cx="5669280" cy="1989221"/>
                    </a:xfrm>
                    <a:prstGeom prst="rect"/>
                  </pic:spPr>
                </pic:pic>
              </a:graphicData>
            </a:graphic>
          </wp:inline>
        </w:drawing>
      </w:r>
    </w:p>
    <w:p>
      <w:pPr>
        <w:jc w:val="center"/>
      </w:pPr>
      <w:r>
        <w:rPr>
          <w:i/>
          <w:color w:val="404040"/>
          <w:sz w:val="19"/>
        </w:rPr>
        <w:t>Gambar 1. Tren Historis Nilai Tukar USD/IDR (2015–2026) dengan Anotasi Rezim Makroekonomi Kunci</w:t>
      </w:r>
    </w:p>
    <w:p/>
    <w:p>
      <w:r>
        <w:rPr>
          <w:b w:val="0"/>
          <w:i/>
          <w:sz w:val="20"/>
        </w:rPr>
        <w:t>Gambar 1 menunjukkan volatilitas signifikan USD/IDR selama periode 2015–2026. Dua periode guncangan utama teridentifikasi: (1) Pandemi COVID-19 (2020) yang menyebabkan pelemahan Rupiah hingga Rp 16.500/USD, dan (2) Siklus pengetatan moneter AS (Fed Tightening 2022–2023) yang mendorong nilai tukar ke level Rp 15.500–16.000/USD.</w:t>
      </w:r>
    </w:p>
    <w:p/>
    <w:p>
      <w:pPr>
        <w:pBdr>
          <w:bottom w:val="single" w:sz="6" w:space="1" w:color="2E75B6"/>
        </w:pBdr>
      </w:pPr>
    </w:p>
    <w:p/>
    <w:p>
      <w:r>
        <w:rPr>
          <w:b/>
          <w:color w:val="1F497D"/>
          <w:sz w:val="28"/>
        </w:rPr>
        <w:t>BAGIAN 4: FRAMEWORK DAN ARSITEKTUR PENELITIAN</w:t>
      </w:r>
    </w:p>
    <w:p/>
    <w:p>
      <w:r>
        <w:rPr>
          <w:b w:val="0"/>
          <w:i w:val="0"/>
          <w:sz w:val="21"/>
        </w:rPr>
        <w:t>Penelitian ini menggunakan framework Business Intelligence yang dirancang secara end-to-end, mulai dari akuisisi data hingga penyajian dashboard prediktif. Framework ini terdiri dari 5 lapisan utama sebagaimana ditunjukkan pada gambar berikut:</w:t>
      </w:r>
    </w:p>
    <w:p/>
    <w:p>
      <w:pPr>
        <w:jc w:val="center"/>
      </w:pPr>
      <w:r>
        <w:drawing>
          <wp:inline xmlns:a="http://schemas.openxmlformats.org/drawingml/2006/main" xmlns:pic="http://schemas.openxmlformats.org/drawingml/2006/picture">
            <wp:extent cx="5669280" cy="2808072"/>
            <wp:docPr id="2" name="Picture 2"/>
            <wp:cNvGraphicFramePr>
              <a:graphicFrameLocks noChangeAspect="1"/>
            </wp:cNvGraphicFramePr>
            <a:graphic>
              <a:graphicData uri="http://schemas.openxmlformats.org/drawingml/2006/picture">
                <pic:pic>
                  <pic:nvPicPr>
                    <pic:cNvPr id="0" name="fig3_framework_architecture.png"/>
                    <pic:cNvPicPr/>
                  </pic:nvPicPr>
                  <pic:blipFill>
                    <a:blip r:embed="rId10"/>
                    <a:stretch>
                      <a:fillRect/>
                    </a:stretch>
                  </pic:blipFill>
                  <pic:spPr>
                    <a:xfrm>
                      <a:off x="0" y="0"/>
                      <a:ext cx="5669280" cy="2808072"/>
                    </a:xfrm>
                    <a:prstGeom prst="rect"/>
                  </pic:spPr>
                </pic:pic>
              </a:graphicData>
            </a:graphic>
          </wp:inline>
        </w:drawing>
      </w:r>
    </w:p>
    <w:p>
      <w:pPr>
        <w:jc w:val="center"/>
      </w:pPr>
      <w:r>
        <w:rPr>
          <w:i/>
          <w:color w:val="404040"/>
          <w:sz w:val="19"/>
        </w:rPr>
        <w:t>Gambar 2. Arsitektur Framework Business Intelligence untuk Prediksi Nilai Tukar USD/IDR</w:t>
      </w:r>
    </w:p>
    <w:p/>
    <w:p>
      <w:pPr>
        <w:jc w:val="center"/>
      </w:pPr>
      <w:r>
        <w:drawing>
          <wp:inline xmlns:a="http://schemas.openxmlformats.org/drawingml/2006/main" xmlns:pic="http://schemas.openxmlformats.org/drawingml/2006/picture">
            <wp:extent cx="5029200" cy="2743199"/>
            <wp:docPr id="3" name="Picture 3"/>
            <wp:cNvGraphicFramePr>
              <a:graphicFrameLocks noChangeAspect="1"/>
            </wp:cNvGraphicFramePr>
            <a:graphic>
              <a:graphicData uri="http://schemas.openxmlformats.org/drawingml/2006/picture">
                <pic:pic>
                  <pic:nvPicPr>
                    <pic:cNvPr id="0" name="Multivariate Deep Learning.jpg"/>
                    <pic:cNvPicPr/>
                  </pic:nvPicPr>
                  <pic:blipFill>
                    <a:blip r:embed="rId11"/>
                    <a:stretch>
                      <a:fillRect/>
                    </a:stretch>
                  </pic:blipFill>
                  <pic:spPr>
                    <a:xfrm>
                      <a:off x="0" y="0"/>
                      <a:ext cx="5029200" cy="2743199"/>
                    </a:xfrm>
                    <a:prstGeom prst="rect"/>
                  </pic:spPr>
                </pic:pic>
              </a:graphicData>
            </a:graphic>
          </wp:inline>
        </w:drawing>
      </w:r>
    </w:p>
    <w:p>
      <w:pPr>
        <w:jc w:val="center"/>
      </w:pPr>
      <w:r>
        <w:rPr>
          <w:i/>
          <w:color w:val="404040"/>
          <w:sz w:val="19"/>
        </w:rPr>
        <w:t>Gambar 3. Pipeline Multivariate Deep Learning untuk Prediksi Nilai Tukar</w:t>
      </w:r>
    </w:p>
    <w:p/>
    <w:p>
      <w:r>
        <w:rPr>
          <w:b w:val="0"/>
          <w:i/>
          <w:sz w:val="20"/>
        </w:rPr>
        <w:t>Framework di atas menggambarkan alur kerja penelitian yang terdiri dari: (1) Data Collection dari Yahoo Finance API, (2) Data Partitioning (Train 80%, Val 10%, Test 20%), (3) Preprocessing &amp; Feature Engineering (42 fitur, sliding window 30 hari), (4) Deep Learning Models (LSTM, BiLSTM, GRU, CNN-LSTM), dan (5) Evaluasi dengan RMSE &amp; MAPE.</w:t>
      </w:r>
    </w:p>
    <w:p/>
    <w:p>
      <w:pPr>
        <w:pBdr>
          <w:bottom w:val="single" w:sz="6" w:space="1" w:color="2E75B6"/>
        </w:pBdr>
      </w:pPr>
    </w:p>
    <w:p/>
    <w:p>
      <w:r>
        <w:rPr>
          <w:b/>
          <w:color w:val="1F497D"/>
          <w:sz w:val="28"/>
        </w:rPr>
        <w:t>BAGIAN 5: LANGKAH-LANGKAH KEGIATAN</w:t>
      </w:r>
    </w:p>
    <w:p/>
    <w:p>
      <w:r>
        <w:rPr>
          <w:b/>
          <w:color w:val="2E75B6"/>
          <w:sz w:val="24"/>
        </w:rPr>
        <w:t>Fase 1: Akuisisi Data &amp; Preprocessing</w:t>
      </w:r>
    </w:p>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497D"/>
          </w:tcPr>
          <w:p>
            <w:pPr>
              <w:jc w:val="center"/>
            </w:pPr>
            <w:r>
              <w:rPr>
                <w:b/>
                <w:color w:val="FFFFFF"/>
                <w:sz w:val="20"/>
              </w:rPr>
              <w:t>Langkah</w:t>
            </w:r>
          </w:p>
        </w:tc>
        <w:tc>
          <w:tcPr>
            <w:tcW w:type="dxa" w:w="2837"/>
            <w:shd w:val="clear" w:color="auto" w:fill="1F497D"/>
          </w:tcPr>
          <w:p>
            <w:pPr>
              <w:jc w:val="center"/>
            </w:pPr>
            <w:r>
              <w:rPr>
                <w:b/>
                <w:color w:val="FFFFFF"/>
                <w:sz w:val="20"/>
              </w:rPr>
              <w:t>Aktivitas</w:t>
            </w:r>
          </w:p>
        </w:tc>
        <w:tc>
          <w:tcPr>
            <w:tcW w:type="dxa" w:w="2837"/>
            <w:shd w:val="clear" w:color="auto" w:fill="1F497D"/>
          </w:tcPr>
          <w:p>
            <w:pPr>
              <w:jc w:val="center"/>
            </w:pPr>
            <w:r>
              <w:rPr>
                <w:b/>
                <w:color w:val="FFFFFF"/>
                <w:sz w:val="20"/>
              </w:rPr>
              <w:t>Output</w:t>
            </w:r>
          </w:p>
        </w:tc>
      </w:tr>
      <w:tr>
        <w:tc>
          <w:tcPr>
            <w:tcW w:type="dxa" w:w="2837"/>
            <w:shd w:val="clear" w:color="auto" w:fill="EBF3FB"/>
          </w:tcPr>
          <w:p>
            <w:pPr>
              <w:jc w:val="center"/>
            </w:pPr>
            <w:r>
              <w:rPr>
                <w:b/>
                <w:sz w:val="19"/>
              </w:rPr>
              <w:t>1.1</w:t>
            </w:r>
          </w:p>
        </w:tc>
        <w:tc>
          <w:tcPr>
            <w:tcW w:type="dxa" w:w="2837"/>
            <w:shd w:val="clear" w:color="auto" w:fill="EBF3FB"/>
          </w:tcPr>
          <w:p>
            <w:r>
              <w:rPr>
                <w:sz w:val="19"/>
              </w:rPr>
              <w:t>Inisialisasi Environment</w:t>
              <w:br/>
              <w:t>Instal seluruh library yang diperlukan: pandas, numpy, yfinance, keras, plotly, ta, xgboost, scikit-learn.</w:t>
            </w:r>
          </w:p>
        </w:tc>
        <w:tc>
          <w:tcPr>
            <w:tcW w:type="dxa" w:w="2837"/>
            <w:shd w:val="clear" w:color="auto" w:fill="EBF3FB"/>
          </w:tcPr>
          <w:p>
            <w:r>
              <w:rPr>
                <w:sz w:val="19"/>
              </w:rPr>
              <w:t>Environment siap digunakan, semua library terkonfirmasi terinstal.</w:t>
            </w:r>
          </w:p>
        </w:tc>
      </w:tr>
      <w:tr>
        <w:tc>
          <w:tcPr>
            <w:tcW w:type="dxa" w:w="2837"/>
            <w:shd w:val="clear" w:color="auto" w:fill="FFFFFF"/>
          </w:tcPr>
          <w:p>
            <w:pPr>
              <w:jc w:val="center"/>
            </w:pPr>
            <w:r>
              <w:rPr>
                <w:b/>
                <w:sz w:val="19"/>
              </w:rPr>
              <w:t>1.2</w:t>
            </w:r>
          </w:p>
        </w:tc>
        <w:tc>
          <w:tcPr>
            <w:tcW w:type="dxa" w:w="2837"/>
            <w:shd w:val="clear" w:color="auto" w:fill="FFFFFF"/>
          </w:tcPr>
          <w:p>
            <w:r>
              <w:rPr>
                <w:sz w:val="19"/>
              </w:rPr>
              <w:t>Import Library &amp; Konfigurasi</w:t>
              <w:br/>
              <w:t>Import semua modul, set random seed (42) untuk reproduksibilitas, dan konfigurasi gaya visualisasi.</w:t>
            </w:r>
          </w:p>
        </w:tc>
        <w:tc>
          <w:tcPr>
            <w:tcW w:type="dxa" w:w="2837"/>
            <w:shd w:val="clear" w:color="auto" w:fill="FFFFFF"/>
          </w:tcPr>
          <w:p>
            <w:r>
              <w:rPr>
                <w:sz w:val="19"/>
              </w:rPr>
              <w:t>Konsistensi hasil eksperimen terjamin. GPU availability terdeteksi.</w:t>
            </w:r>
          </w:p>
        </w:tc>
      </w:tr>
      <w:tr>
        <w:tc>
          <w:tcPr>
            <w:tcW w:type="dxa" w:w="2837"/>
            <w:shd w:val="clear" w:color="auto" w:fill="EBF3FB"/>
          </w:tcPr>
          <w:p>
            <w:pPr>
              <w:jc w:val="center"/>
            </w:pPr>
            <w:r>
              <w:rPr>
                <w:b/>
                <w:sz w:val="19"/>
              </w:rPr>
              <w:t>1.3</w:t>
            </w:r>
          </w:p>
        </w:tc>
        <w:tc>
          <w:tcPr>
            <w:tcW w:type="dxa" w:w="2837"/>
            <w:shd w:val="clear" w:color="auto" w:fill="EBF3FB"/>
          </w:tcPr>
          <w:p>
            <w:r>
              <w:rPr>
                <w:sz w:val="19"/>
              </w:rPr>
              <w:t>Pengambilan Data (Data Collection)</w:t>
              <w:br/>
              <w:t>Gunakan yfinance untuk download 9 instrumen keuangan (USDIDR=X, ^JKSE, GC=F, CL=F, dll.) periode Jun 2016–Jun 2026.</w:t>
            </w:r>
          </w:p>
        </w:tc>
        <w:tc>
          <w:tcPr>
            <w:tcW w:type="dxa" w:w="2837"/>
            <w:shd w:val="clear" w:color="auto" w:fill="EBF3FB"/>
          </w:tcPr>
          <w:p>
            <w:r>
              <w:rPr>
                <w:sz w:val="19"/>
              </w:rPr>
              <w:t>DataFrame gabungan berisi closing price harian dari 9 instrumen keuangan.</w:t>
            </w:r>
          </w:p>
        </w:tc>
      </w:tr>
      <w:tr>
        <w:tc>
          <w:tcPr>
            <w:tcW w:type="dxa" w:w="2837"/>
            <w:shd w:val="clear" w:color="auto" w:fill="FFFFFF"/>
          </w:tcPr>
          <w:p>
            <w:pPr>
              <w:jc w:val="center"/>
            </w:pPr>
            <w:r>
              <w:rPr>
                <w:b/>
                <w:sz w:val="19"/>
              </w:rPr>
              <w:t>1.4</w:t>
            </w:r>
          </w:p>
        </w:tc>
        <w:tc>
          <w:tcPr>
            <w:tcW w:type="dxa" w:w="2837"/>
            <w:shd w:val="clear" w:color="auto" w:fill="FFFFFF"/>
          </w:tcPr>
          <w:p>
            <w:r>
              <w:rPr>
                <w:sz w:val="19"/>
              </w:rPr>
              <w:t>Data Cleaning</w:t>
              <w:br/>
              <w:t>Terapkan: (1) Forward Fill – untuk hari libur pasar, (2) Backward Fill – untuk nilai awal, (3) Linear Interpolation – missing sporadic, (4) dropna().</w:t>
            </w:r>
          </w:p>
        </w:tc>
        <w:tc>
          <w:tcPr>
            <w:tcW w:type="dxa" w:w="2837"/>
            <w:shd w:val="clear" w:color="auto" w:fill="FFFFFF"/>
          </w:tcPr>
          <w:p>
            <w:r>
              <w:rPr>
                <w:sz w:val="19"/>
              </w:rPr>
              <w:t>Dataset bersih disimpan sebagai 'indonesian_economic_indicators.csv'.</w:t>
            </w:r>
          </w:p>
        </w:tc>
      </w:tr>
      <w:tr>
        <w:tc>
          <w:tcPr>
            <w:tcW w:type="dxa" w:w="2837"/>
            <w:shd w:val="clear" w:color="auto" w:fill="EBF3FB"/>
          </w:tcPr>
          <w:p>
            <w:pPr>
              <w:jc w:val="center"/>
            </w:pPr>
            <w:r>
              <w:rPr>
                <w:b/>
                <w:sz w:val="19"/>
              </w:rPr>
              <w:t>1.5</w:t>
            </w:r>
          </w:p>
        </w:tc>
        <w:tc>
          <w:tcPr>
            <w:tcW w:type="dxa" w:w="2837"/>
            <w:shd w:val="clear" w:color="auto" w:fill="EBF3FB"/>
          </w:tcPr>
          <w:p>
            <w:r>
              <w:rPr>
                <w:sz w:val="19"/>
              </w:rPr>
              <w:t>Exploratory Data Analysis (EDA)</w:t>
              <w:br/>
              <w:t>Buat visualisasi: tren USD/IDR, tren ternormalisasi multi-instrumen, correlation heatmap, dan analisis volatilitas 30-hari.</w:t>
            </w:r>
          </w:p>
        </w:tc>
        <w:tc>
          <w:tcPr>
            <w:tcW w:type="dxa" w:w="2837"/>
            <w:shd w:val="clear" w:color="auto" w:fill="EBF3FB"/>
          </w:tcPr>
          <w:p>
            <w:r>
              <w:rPr>
                <w:sz w:val="19"/>
              </w:rPr>
              <w:t>Pemahaman mendalam tentang pola data dan hubungan antar instrumen.</w:t>
            </w:r>
          </w:p>
        </w:tc>
      </w:tr>
    </w:tbl>
    <w:p/>
    <w:p>
      <w:r>
        <w:rPr>
          <w:b/>
          <w:i w:val="0"/>
          <w:sz w:val="21"/>
        </w:rPr>
        <w:t>Detail Teknis Fase 1:</w:t>
      </w:r>
    </w:p>
    <w:p>
      <w:pPr>
        <w:ind w:left="432"/>
      </w:pPr>
      <w:r>
        <w:rPr>
          <w:b/>
          <w:sz w:val="19"/>
        </w:rPr>
        <w:t xml:space="preserve">Konfigurasi Ticker: </w:t>
      </w:r>
      <w:r>
        <w:rPr>
          <w:rFonts w:ascii="Courier New" w:hAnsi="Courier New"/>
          <w:color w:val="196919"/>
          <w:sz w:val="17"/>
        </w:rPr>
        <w:t>YF_TICKERS = {</w:t>
        <w:br/>
        <w:t xml:space="preserve">  'USD_IDR': 'USDIDR=X', 'IHSG': '^JKSE',</w:t>
        <w:br/>
        <w:t xml:space="preserve">  'Gold': 'GC=F', 'Crude_Oil': 'CL=F', 'Nasdaq': '^IXIC',</w:t>
        <w:br/>
        <w:t xml:space="preserve">  'SP500': '^GSPC', 'Dow_Jones': '^DJI',</w:t>
        <w:br/>
        <w:t xml:space="preserve">  'Bitcoin': 'BTC-USD', 'Brent_Oil': 'BZ=F'</w:t>
        <w:br/>
        <w:t>}</w:t>
      </w:r>
    </w:p>
    <w:p>
      <w:pPr>
        <w:ind w:left="432"/>
      </w:pPr>
      <w:r>
        <w:rPr>
          <w:b/>
          <w:sz w:val="19"/>
        </w:rPr>
        <w:t xml:space="preserve">Data Cleaning: </w:t>
      </w:r>
      <w:r>
        <w:rPr>
          <w:rFonts w:ascii="Courier New" w:hAnsi="Courier New"/>
          <w:color w:val="196919"/>
          <w:sz w:val="17"/>
        </w:rPr>
        <w:t>df = df.ffill().bfill().interpolate(method='linear')</w:t>
        <w:br/>
        <w:t>df.dropna(inplace=True)</w:t>
      </w:r>
    </w:p>
    <w:p>
      <w:pPr>
        <w:ind w:left="432"/>
      </w:pPr>
      <w:r>
        <w:rPr>
          <w:b/>
          <w:sz w:val="19"/>
        </w:rPr>
        <w:t xml:space="preserve">Volatilitas: </w:t>
      </w:r>
      <w:r>
        <w:rPr>
          <w:rFonts w:ascii="Courier New" w:hAnsi="Courier New"/>
          <w:color w:val="196919"/>
          <w:sz w:val="17"/>
        </w:rPr>
        <w:t>df['Volatility'] = df['USD_IDR'].pct_change().rolling(30).std() * np.sqrt(252)</w:t>
      </w:r>
    </w:p>
    <w:p/>
    <w:p>
      <w:pPr>
        <w:jc w:val="center"/>
      </w:pPr>
      <w:r>
        <w:drawing>
          <wp:inline xmlns:a="http://schemas.openxmlformats.org/drawingml/2006/main" xmlns:pic="http://schemas.openxmlformats.org/drawingml/2006/picture">
            <wp:extent cx="5029200" cy="4501115"/>
            <wp:docPr id="4" name="Picture 4"/>
            <wp:cNvGraphicFramePr>
              <a:graphicFrameLocks noChangeAspect="1"/>
            </wp:cNvGraphicFramePr>
            <a:graphic>
              <a:graphicData uri="http://schemas.openxmlformats.org/drawingml/2006/picture">
                <pic:pic>
                  <pic:nvPicPr>
                    <pic:cNvPr id="0" name="fig2_correlation_heatmap.png"/>
                    <pic:cNvPicPr/>
                  </pic:nvPicPr>
                  <pic:blipFill>
                    <a:blip r:embed="rId12"/>
                    <a:stretch>
                      <a:fillRect/>
                    </a:stretch>
                  </pic:blipFill>
                  <pic:spPr>
                    <a:xfrm>
                      <a:off x="0" y="0"/>
                      <a:ext cx="5029200" cy="4501115"/>
                    </a:xfrm>
                    <a:prstGeom prst="rect"/>
                  </pic:spPr>
                </pic:pic>
              </a:graphicData>
            </a:graphic>
          </wp:inline>
        </w:drawing>
      </w:r>
    </w:p>
    <w:p>
      <w:pPr>
        <w:jc w:val="center"/>
      </w:pPr>
      <w:r>
        <w:rPr>
          <w:i/>
          <w:color w:val="404040"/>
          <w:sz w:val="19"/>
        </w:rPr>
        <w:t>Gambar 4. Pearson Correlation Heatmap Indikator Makroekonomi (2015–2026)</w:t>
      </w:r>
    </w:p>
    <w:p/>
    <w:p>
      <w:r>
        <w:rPr>
          <w:b w:val="0"/>
          <w:i/>
          <w:sz w:val="20"/>
        </w:rPr>
        <w:t>Dari Gambar 4, teridentifikasi bahwa Gold (r=0.84), S&amp;P 500 (r=0.89), dan Dow Jones (r=0.88) memiliki korelasi positif tertinggi dengan USD/IDR, mengindikasikan bahwa kenaikan indeks saham AS dan harga emas bergerak searah dengan pelemahan Rupiah.</w:t>
      </w:r>
    </w:p>
    <w:p/>
    <w:p>
      <w:r>
        <w:rPr>
          <w:b/>
          <w:color w:val="2E75B6"/>
          <w:sz w:val="24"/>
        </w:rPr>
        <w:t>Fase 2: Feature Engineering &amp; Persiapan Data Model</w:t>
      </w:r>
    </w:p>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375623"/>
          </w:tcPr>
          <w:p>
            <w:pPr>
              <w:jc w:val="center"/>
            </w:pPr>
            <w:r>
              <w:rPr>
                <w:b/>
                <w:color w:val="FFFFFF"/>
                <w:sz w:val="20"/>
              </w:rPr>
              <w:t>Langkah</w:t>
            </w:r>
          </w:p>
        </w:tc>
        <w:tc>
          <w:tcPr>
            <w:tcW w:type="dxa" w:w="2837"/>
            <w:shd w:val="clear" w:color="auto" w:fill="375623"/>
          </w:tcPr>
          <w:p>
            <w:pPr>
              <w:jc w:val="center"/>
            </w:pPr>
            <w:r>
              <w:rPr>
                <w:b/>
                <w:color w:val="FFFFFF"/>
                <w:sz w:val="20"/>
              </w:rPr>
              <w:t>Aktivitas</w:t>
            </w:r>
          </w:p>
        </w:tc>
        <w:tc>
          <w:tcPr>
            <w:tcW w:type="dxa" w:w="2837"/>
            <w:shd w:val="clear" w:color="auto" w:fill="375623"/>
          </w:tcPr>
          <w:p>
            <w:pPr>
              <w:jc w:val="center"/>
            </w:pPr>
            <w:r>
              <w:rPr>
                <w:b/>
                <w:color w:val="FFFFFF"/>
                <w:sz w:val="20"/>
              </w:rPr>
              <w:t>Output</w:t>
            </w:r>
          </w:p>
        </w:tc>
      </w:tr>
      <w:tr>
        <w:tc>
          <w:tcPr>
            <w:tcW w:type="dxa" w:w="2837"/>
            <w:shd w:val="clear" w:color="auto" w:fill="E2EFDA"/>
          </w:tcPr>
          <w:p>
            <w:pPr>
              <w:jc w:val="center"/>
            </w:pPr>
            <w:r>
              <w:rPr>
                <w:b/>
                <w:sz w:val="19"/>
              </w:rPr>
              <w:t>2.1</w:t>
            </w:r>
          </w:p>
        </w:tc>
        <w:tc>
          <w:tcPr>
            <w:tcW w:type="dxa" w:w="2837"/>
            <w:shd w:val="clear" w:color="auto" w:fill="E2EFDA"/>
          </w:tcPr>
          <w:p>
            <w:r>
              <w:rPr>
                <w:sz w:val="19"/>
              </w:rPr>
              <w:t>Pembuatan Target Variable</w:t>
              <w:br/>
              <w:t>Buat target prediksi: nilai USD/IDR hari berikutnya menggunakan shift(-1).</w:t>
            </w:r>
          </w:p>
        </w:tc>
        <w:tc>
          <w:tcPr>
            <w:tcW w:type="dxa" w:w="2837"/>
            <w:shd w:val="clear" w:color="auto" w:fill="E2EFDA"/>
          </w:tcPr>
          <w:p>
            <w:r>
              <w:rPr>
                <w:sz w:val="19"/>
              </w:rPr>
              <w:t>Kolom 'Target' siap untuk supervised learning.</w:t>
            </w:r>
          </w:p>
        </w:tc>
      </w:tr>
      <w:tr>
        <w:tc>
          <w:tcPr>
            <w:tcW w:type="dxa" w:w="2837"/>
            <w:shd w:val="clear" w:color="auto" w:fill="FFFFFF"/>
          </w:tcPr>
          <w:p>
            <w:pPr>
              <w:jc w:val="center"/>
            </w:pPr>
            <w:r>
              <w:rPr>
                <w:b/>
                <w:sz w:val="19"/>
              </w:rPr>
              <w:t>2.2</w:t>
            </w:r>
          </w:p>
        </w:tc>
        <w:tc>
          <w:tcPr>
            <w:tcW w:type="dxa" w:w="2837"/>
            <w:shd w:val="clear" w:color="auto" w:fill="FFFFFF"/>
          </w:tcPr>
          <w:p>
            <w:r>
              <w:rPr>
                <w:sz w:val="19"/>
              </w:rPr>
              <w:t>Technical Indicators</w:t>
              <w:br/>
              <w:t>Hitung: SMA-14, SMA-50, RSI-14, MACD, Bollinger High, Bollinger Low untuk USD/IDR.</w:t>
            </w:r>
          </w:p>
        </w:tc>
        <w:tc>
          <w:tcPr>
            <w:tcW w:type="dxa" w:w="2837"/>
            <w:shd w:val="clear" w:color="auto" w:fill="FFFFFF"/>
          </w:tcPr>
          <w:p>
            <w:r>
              <w:rPr>
                <w:sz w:val="19"/>
              </w:rPr>
              <w:t>6 fitur indikator teknikal keuangan baru.</w:t>
            </w:r>
          </w:p>
        </w:tc>
      </w:tr>
      <w:tr>
        <w:tc>
          <w:tcPr>
            <w:tcW w:type="dxa" w:w="2837"/>
            <w:shd w:val="clear" w:color="auto" w:fill="E2EFDA"/>
          </w:tcPr>
          <w:p>
            <w:pPr>
              <w:jc w:val="center"/>
            </w:pPr>
            <w:r>
              <w:rPr>
                <w:b/>
                <w:sz w:val="19"/>
              </w:rPr>
              <w:t>2.3</w:t>
            </w:r>
          </w:p>
        </w:tc>
        <w:tc>
          <w:tcPr>
            <w:tcW w:type="dxa" w:w="2837"/>
            <w:shd w:val="clear" w:color="auto" w:fill="E2EFDA"/>
          </w:tcPr>
          <w:p>
            <w:r>
              <w:rPr>
                <w:sz w:val="19"/>
              </w:rPr>
              <w:t>Lag Features</w:t>
              <w:br/>
              <w:t>Buat fitur lag 1 hari (t-1) dan 7 hari (t-7) untuk semua 9 instrumen keuangan.</w:t>
            </w:r>
          </w:p>
        </w:tc>
        <w:tc>
          <w:tcPr>
            <w:tcW w:type="dxa" w:w="2837"/>
            <w:shd w:val="clear" w:color="auto" w:fill="E2EFDA"/>
          </w:tcPr>
          <w:p>
            <w:r>
              <w:rPr>
                <w:sz w:val="19"/>
              </w:rPr>
              <w:t>18 fitur lag yang menangkap memory temporal pasar.</w:t>
            </w:r>
          </w:p>
        </w:tc>
      </w:tr>
      <w:tr>
        <w:tc>
          <w:tcPr>
            <w:tcW w:type="dxa" w:w="2837"/>
            <w:shd w:val="clear" w:color="auto" w:fill="FFFFFF"/>
          </w:tcPr>
          <w:p>
            <w:pPr>
              <w:jc w:val="center"/>
            </w:pPr>
            <w:r>
              <w:rPr>
                <w:b/>
                <w:sz w:val="19"/>
              </w:rPr>
              <w:t>2.4</w:t>
            </w:r>
          </w:p>
        </w:tc>
        <w:tc>
          <w:tcPr>
            <w:tcW w:type="dxa" w:w="2837"/>
            <w:shd w:val="clear" w:color="auto" w:fill="FFFFFF"/>
          </w:tcPr>
          <w:p>
            <w:r>
              <w:rPr>
                <w:sz w:val="19"/>
              </w:rPr>
              <w:t>Return &amp; Volatility Features</w:t>
              <w:br/>
              <w:t>Hitung % daily return dan rolling 30-day volatility untuk USD/IDR dan IHSG.</w:t>
            </w:r>
          </w:p>
        </w:tc>
        <w:tc>
          <w:tcPr>
            <w:tcW w:type="dxa" w:w="2837"/>
            <w:shd w:val="clear" w:color="auto" w:fill="FFFFFF"/>
          </w:tcPr>
          <w:p>
            <w:r>
              <w:rPr>
                <w:sz w:val="19"/>
              </w:rPr>
              <w:t>Fitur momentum dan volatilitas pasar.</w:t>
            </w:r>
          </w:p>
        </w:tc>
      </w:tr>
      <w:tr>
        <w:tc>
          <w:tcPr>
            <w:tcW w:type="dxa" w:w="2837"/>
            <w:shd w:val="clear" w:color="auto" w:fill="E2EFDA"/>
          </w:tcPr>
          <w:p>
            <w:pPr>
              <w:jc w:val="center"/>
            </w:pPr>
            <w:r>
              <w:rPr>
                <w:b/>
                <w:sz w:val="19"/>
              </w:rPr>
              <w:t>2.5</w:t>
            </w:r>
          </w:p>
        </w:tc>
        <w:tc>
          <w:tcPr>
            <w:tcW w:type="dxa" w:w="2837"/>
            <w:shd w:val="clear" w:color="auto" w:fill="E2EFDA"/>
          </w:tcPr>
          <w:p>
            <w:r>
              <w:rPr>
                <w:sz w:val="19"/>
              </w:rPr>
              <w:t>MinMax Normalisasi</w:t>
              <w:br/>
              <w:t>Normalisasi fitur X (0–1) dan target y (0–1) menggunakan MinMaxScaler.</w:t>
            </w:r>
          </w:p>
        </w:tc>
        <w:tc>
          <w:tcPr>
            <w:tcW w:type="dxa" w:w="2837"/>
            <w:shd w:val="clear" w:color="auto" w:fill="E2EFDA"/>
          </w:tcPr>
          <w:p>
            <w:r>
              <w:rPr>
                <w:sz w:val="19"/>
              </w:rPr>
              <w:t>Data terscale, siap untuk input Deep Learning.</w:t>
            </w:r>
          </w:p>
        </w:tc>
      </w:tr>
      <w:tr>
        <w:tc>
          <w:tcPr>
            <w:tcW w:type="dxa" w:w="2837"/>
            <w:shd w:val="clear" w:color="auto" w:fill="FFFFFF"/>
          </w:tcPr>
          <w:p>
            <w:pPr>
              <w:jc w:val="center"/>
            </w:pPr>
            <w:r>
              <w:rPr>
                <w:b/>
                <w:sz w:val="19"/>
              </w:rPr>
              <w:t>2.6</w:t>
            </w:r>
          </w:p>
        </w:tc>
        <w:tc>
          <w:tcPr>
            <w:tcW w:type="dxa" w:w="2837"/>
            <w:shd w:val="clear" w:color="auto" w:fill="FFFFFF"/>
          </w:tcPr>
          <w:p>
            <w:r>
              <w:rPr>
                <w:sz w:val="19"/>
              </w:rPr>
              <w:t>Sequence Generation (Look-back Window)</w:t>
              <w:br/>
              <w:t>Buat sequence 3D [samples, 30 timesteps, 42 features] menggunakan sliding window 30 hari.</w:t>
            </w:r>
          </w:p>
        </w:tc>
        <w:tc>
          <w:tcPr>
            <w:tcW w:type="dxa" w:w="2837"/>
            <w:shd w:val="clear" w:color="auto" w:fill="FFFFFF"/>
          </w:tcPr>
          <w:p>
            <w:r>
              <w:rPr>
                <w:sz w:val="19"/>
              </w:rPr>
              <w:t>Array X: (N, 30, 42) dan y: (N, 1)</w:t>
            </w:r>
          </w:p>
        </w:tc>
      </w:tr>
      <w:tr>
        <w:tc>
          <w:tcPr>
            <w:tcW w:type="dxa" w:w="2837"/>
            <w:shd w:val="clear" w:color="auto" w:fill="E2EFDA"/>
          </w:tcPr>
          <w:p>
            <w:pPr>
              <w:jc w:val="center"/>
            </w:pPr>
            <w:r>
              <w:rPr>
                <w:b/>
                <w:sz w:val="19"/>
              </w:rPr>
              <w:t>2.7</w:t>
            </w:r>
          </w:p>
        </w:tc>
        <w:tc>
          <w:tcPr>
            <w:tcW w:type="dxa" w:w="2837"/>
            <w:shd w:val="clear" w:color="auto" w:fill="E2EFDA"/>
          </w:tcPr>
          <w:p>
            <w:r>
              <w:rPr>
                <w:sz w:val="19"/>
              </w:rPr>
              <w:t>Train-Test Split (Kronologis)</w:t>
              <w:br/>
              <w:t>80% data latih (2016–2022), 20% data uji (2023–2026). Tidak diacak untuk menjaga urutan waktu.</w:t>
            </w:r>
          </w:p>
        </w:tc>
        <w:tc>
          <w:tcPr>
            <w:tcW w:type="dxa" w:w="2837"/>
            <w:shd w:val="clear" w:color="auto" w:fill="E2EFDA"/>
          </w:tcPr>
          <w:p>
            <w:r>
              <w:rPr>
                <w:sz w:val="19"/>
              </w:rPr>
              <w:t>X_train, X_test, y_train, y_test siap untuk training.</w:t>
            </w:r>
          </w:p>
        </w:tc>
      </w:tr>
    </w:tbl>
    <w:p/>
    <w:p>
      <w:r>
        <w:rPr>
          <w:b/>
          <w:color w:val="404040"/>
          <w:sz w:val="22"/>
        </w:rPr>
        <w:t>Ringkasan Fitur yang Dibangun:</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375623"/>
          </w:tcPr>
          <w:p>
            <w:r>
              <w:rPr>
                <w:b/>
                <w:color w:val="FFFFFF"/>
                <w:sz w:val="20"/>
              </w:rPr>
              <w:t>Kelompok Fitur</w:t>
            </w:r>
          </w:p>
        </w:tc>
        <w:tc>
          <w:tcPr>
            <w:tcW w:type="dxa" w:w="2837"/>
            <w:shd w:val="clear" w:color="auto" w:fill="375623"/>
          </w:tcPr>
          <w:p>
            <w:r>
              <w:rPr>
                <w:b/>
                <w:color w:val="FFFFFF"/>
                <w:sz w:val="20"/>
              </w:rPr>
              <w:t>Contoh Fitur</w:t>
            </w:r>
          </w:p>
        </w:tc>
        <w:tc>
          <w:tcPr>
            <w:tcW w:type="dxa" w:w="2837"/>
            <w:shd w:val="clear" w:color="auto" w:fill="375623"/>
          </w:tcPr>
          <w:p>
            <w:r>
              <w:rPr>
                <w:b/>
                <w:color w:val="FFFFFF"/>
                <w:sz w:val="20"/>
              </w:rPr>
              <w:t>Jumlah Fitur</w:t>
            </w:r>
          </w:p>
        </w:tc>
      </w:tr>
      <w:tr>
        <w:tc>
          <w:tcPr>
            <w:tcW w:type="dxa" w:w="2837"/>
            <w:shd w:val="clear" w:color="auto" w:fill="E2EFDA"/>
          </w:tcPr>
          <w:p>
            <w:r>
              <w:rPr>
                <w:sz w:val="19"/>
              </w:rPr>
              <w:t>Harga Asli (9 Instrumen)</w:t>
            </w:r>
          </w:p>
        </w:tc>
        <w:tc>
          <w:tcPr>
            <w:tcW w:type="dxa" w:w="2837"/>
            <w:shd w:val="clear" w:color="auto" w:fill="E2EFDA"/>
          </w:tcPr>
          <w:p>
            <w:r>
              <w:rPr>
                <w:sz w:val="19"/>
              </w:rPr>
              <w:t>USD_IDR, IHSG, Gold, Crude_Oil, ...</w:t>
            </w:r>
          </w:p>
        </w:tc>
        <w:tc>
          <w:tcPr>
            <w:tcW w:type="dxa" w:w="2837"/>
            <w:shd w:val="clear" w:color="auto" w:fill="E2EFDA"/>
          </w:tcPr>
          <w:p>
            <w:pPr>
              <w:jc w:val="center"/>
            </w:pPr>
            <w:r>
              <w:rPr>
                <w:sz w:val="19"/>
              </w:rPr>
              <w:t>9</w:t>
            </w:r>
          </w:p>
        </w:tc>
      </w:tr>
      <w:tr>
        <w:tc>
          <w:tcPr>
            <w:tcW w:type="dxa" w:w="2837"/>
            <w:shd w:val="clear" w:color="auto" w:fill="E2EFDA"/>
          </w:tcPr>
          <w:p>
            <w:r>
              <w:rPr>
                <w:sz w:val="19"/>
              </w:rPr>
              <w:t>Technical Indicators</w:t>
            </w:r>
          </w:p>
        </w:tc>
        <w:tc>
          <w:tcPr>
            <w:tcW w:type="dxa" w:w="2837"/>
            <w:shd w:val="clear" w:color="auto" w:fill="E2EFDA"/>
          </w:tcPr>
          <w:p>
            <w:r>
              <w:rPr>
                <w:sz w:val="19"/>
              </w:rPr>
              <w:t>SMA_14, SMA_50, RSI_14, MACD, BB_H, BB_L</w:t>
            </w:r>
          </w:p>
        </w:tc>
        <w:tc>
          <w:tcPr>
            <w:tcW w:type="dxa" w:w="2837"/>
            <w:shd w:val="clear" w:color="auto" w:fill="E2EFDA"/>
          </w:tcPr>
          <w:p>
            <w:pPr>
              <w:jc w:val="center"/>
            </w:pPr>
            <w:r>
              <w:rPr>
                <w:sz w:val="19"/>
              </w:rPr>
              <w:t>6</w:t>
            </w:r>
          </w:p>
        </w:tc>
      </w:tr>
      <w:tr>
        <w:tc>
          <w:tcPr>
            <w:tcW w:type="dxa" w:w="2837"/>
            <w:shd w:val="clear" w:color="auto" w:fill="E2EFDA"/>
          </w:tcPr>
          <w:p>
            <w:r>
              <w:rPr>
                <w:sz w:val="19"/>
              </w:rPr>
              <w:t>Lag Features (t-1 &amp; t-7)</w:t>
            </w:r>
          </w:p>
        </w:tc>
        <w:tc>
          <w:tcPr>
            <w:tcW w:type="dxa" w:w="2837"/>
            <w:shd w:val="clear" w:color="auto" w:fill="E2EFDA"/>
          </w:tcPr>
          <w:p>
            <w:r>
              <w:rPr>
                <w:sz w:val="19"/>
              </w:rPr>
              <w:t>USD_IDR_Lag1, Gold_Lag7, Bitcoin_Lag1...</w:t>
            </w:r>
          </w:p>
        </w:tc>
        <w:tc>
          <w:tcPr>
            <w:tcW w:type="dxa" w:w="2837"/>
            <w:shd w:val="clear" w:color="auto" w:fill="E2EFDA"/>
          </w:tcPr>
          <w:p>
            <w:pPr>
              <w:jc w:val="center"/>
            </w:pPr>
            <w:r>
              <w:rPr>
                <w:sz w:val="19"/>
              </w:rPr>
              <w:t>18</w:t>
            </w:r>
          </w:p>
        </w:tc>
      </w:tr>
      <w:tr>
        <w:tc>
          <w:tcPr>
            <w:tcW w:type="dxa" w:w="2837"/>
            <w:shd w:val="clear" w:color="auto" w:fill="E2EFDA"/>
          </w:tcPr>
          <w:p>
            <w:r>
              <w:rPr>
                <w:sz w:val="19"/>
              </w:rPr>
              <w:t>Return Features</w:t>
            </w:r>
          </w:p>
        </w:tc>
        <w:tc>
          <w:tcPr>
            <w:tcW w:type="dxa" w:w="2837"/>
            <w:shd w:val="clear" w:color="auto" w:fill="E2EFDA"/>
          </w:tcPr>
          <w:p>
            <w:r>
              <w:rPr>
                <w:sz w:val="19"/>
              </w:rPr>
              <w:t>USD_IDR_Return, IHSG_Return</w:t>
            </w:r>
          </w:p>
        </w:tc>
        <w:tc>
          <w:tcPr>
            <w:tcW w:type="dxa" w:w="2837"/>
            <w:shd w:val="clear" w:color="auto" w:fill="E2EFDA"/>
          </w:tcPr>
          <w:p>
            <w:pPr>
              <w:jc w:val="center"/>
            </w:pPr>
            <w:r>
              <w:rPr>
                <w:sz w:val="19"/>
              </w:rPr>
              <w:t>2</w:t>
            </w:r>
          </w:p>
        </w:tc>
      </w:tr>
      <w:tr>
        <w:tc>
          <w:tcPr>
            <w:tcW w:type="dxa" w:w="2837"/>
            <w:shd w:val="clear" w:color="auto" w:fill="E2EFDA"/>
          </w:tcPr>
          <w:p>
            <w:r>
              <w:rPr>
                <w:sz w:val="19"/>
              </w:rPr>
              <w:t>Volatility Feature</w:t>
            </w:r>
          </w:p>
        </w:tc>
        <w:tc>
          <w:tcPr>
            <w:tcW w:type="dxa" w:w="2837"/>
            <w:shd w:val="clear" w:color="auto" w:fill="E2EFDA"/>
          </w:tcPr>
          <w:p>
            <w:r>
              <w:rPr>
                <w:sz w:val="19"/>
              </w:rPr>
              <w:t>USD_IDR_Vol_30d</w:t>
            </w:r>
          </w:p>
        </w:tc>
        <w:tc>
          <w:tcPr>
            <w:tcW w:type="dxa" w:w="2837"/>
            <w:shd w:val="clear" w:color="auto" w:fill="E2EFDA"/>
          </w:tcPr>
          <w:p>
            <w:pPr>
              <w:jc w:val="center"/>
            </w:pPr>
            <w:r>
              <w:rPr>
                <w:sz w:val="19"/>
              </w:rPr>
              <w:t>1</w:t>
            </w:r>
          </w:p>
        </w:tc>
      </w:tr>
      <w:tr>
        <w:tc>
          <w:tcPr>
            <w:tcW w:type="dxa" w:w="2837"/>
            <w:shd w:val="clear" w:color="auto" w:fill="E2EFDA"/>
          </w:tcPr>
          <w:p>
            <w:r>
              <w:rPr>
                <w:sz w:val="19"/>
              </w:rPr>
              <w:t>Target Variable</w:t>
            </w:r>
          </w:p>
        </w:tc>
        <w:tc>
          <w:tcPr>
            <w:tcW w:type="dxa" w:w="2837"/>
            <w:shd w:val="clear" w:color="auto" w:fill="E2EFDA"/>
          </w:tcPr>
          <w:p>
            <w:r>
              <w:rPr>
                <w:sz w:val="19"/>
              </w:rPr>
              <w:t>Target (Next-Day USD/IDR)</w:t>
            </w:r>
          </w:p>
        </w:tc>
        <w:tc>
          <w:tcPr>
            <w:tcW w:type="dxa" w:w="2837"/>
            <w:shd w:val="clear" w:color="auto" w:fill="E2EFDA"/>
          </w:tcPr>
          <w:p>
            <w:pPr>
              <w:jc w:val="center"/>
            </w:pPr>
            <w:r>
              <w:rPr>
                <w:sz w:val="19"/>
              </w:rPr>
              <w:t>1</w:t>
            </w:r>
          </w:p>
        </w:tc>
      </w:tr>
      <w:tr>
        <w:tc>
          <w:tcPr>
            <w:tcW w:type="dxa" w:w="2837"/>
            <w:shd w:val="clear" w:color="auto" w:fill="C6EFCE"/>
          </w:tcPr>
          <w:p>
            <w:r>
              <w:rPr>
                <w:b/>
                <w:sz w:val="19"/>
              </w:rPr>
              <w:t>TOTAL</w:t>
            </w:r>
          </w:p>
        </w:tc>
        <w:tc>
          <w:tcPr>
            <w:tcW w:type="dxa" w:w="2837"/>
            <w:shd w:val="clear" w:color="auto" w:fill="C6EFCE"/>
          </w:tcPr>
          <w:p>
            <w:r>
              <w:rPr>
                <w:b/>
                <w:sz w:val="19"/>
              </w:rPr>
            </w:r>
          </w:p>
        </w:tc>
        <w:tc>
          <w:tcPr>
            <w:tcW w:type="dxa" w:w="2837"/>
            <w:shd w:val="clear" w:color="auto" w:fill="C6EFCE"/>
          </w:tcPr>
          <w:p>
            <w:pPr>
              <w:jc w:val="center"/>
            </w:pPr>
            <w:r>
              <w:rPr>
                <w:b/>
                <w:sz w:val="19"/>
              </w:rPr>
              <w:t>37–42</w:t>
            </w:r>
          </w:p>
        </w:tc>
      </w:tr>
    </w:tbl>
    <w:p/>
    <w:p>
      <w:pPr>
        <w:pBdr>
          <w:bottom w:val="single" w:sz="6" w:space="1" w:color="2E75B6"/>
        </w:pBdr>
      </w:pPr>
    </w:p>
    <w:p/>
    <w:p>
      <w:r>
        <w:rPr>
          <w:b/>
          <w:color w:val="2E75B6"/>
          <w:sz w:val="24"/>
        </w:rPr>
        <w:t>Fase 3: Pemodelan Deep Learning &amp; Training</w:t>
      </w:r>
    </w:p>
    <w:p/>
    <w:p>
      <w:r>
        <w:rPr>
          <w:b w:val="0"/>
          <w:i w:val="0"/>
          <w:sz w:val="21"/>
        </w:rPr>
        <w:t>Fase ini mencakup definisi arsitektur model, proses training, dan mekanisme pencegahan overfitting. Empat arsitektur Deep Learning dibangun dan dibandingkan dengan model baseline XGBoost.</w:t>
      </w:r>
    </w:p>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02"/>
            <w:shd w:val="clear" w:color="auto" w:fill="7030A0"/>
          </w:tcPr>
          <w:p>
            <w:pPr>
              <w:jc w:val="center"/>
            </w:pPr>
            <w:r>
              <w:rPr>
                <w:b/>
                <w:color w:val="FFFFFF"/>
                <w:sz w:val="19"/>
              </w:rPr>
              <w:t>Model</w:t>
            </w:r>
          </w:p>
        </w:tc>
        <w:tc>
          <w:tcPr>
            <w:tcW w:type="dxa" w:w="1702"/>
            <w:shd w:val="clear" w:color="auto" w:fill="7030A0"/>
          </w:tcPr>
          <w:p>
            <w:pPr>
              <w:jc w:val="center"/>
            </w:pPr>
            <w:r>
              <w:rPr>
                <w:b/>
                <w:color w:val="FFFFFF"/>
                <w:sz w:val="19"/>
              </w:rPr>
              <w:t>Layer Utama</w:t>
            </w:r>
          </w:p>
        </w:tc>
        <w:tc>
          <w:tcPr>
            <w:tcW w:type="dxa" w:w="1702"/>
            <w:shd w:val="clear" w:color="auto" w:fill="7030A0"/>
          </w:tcPr>
          <w:p>
            <w:pPr>
              <w:jc w:val="center"/>
            </w:pPr>
            <w:r>
              <w:rPr>
                <w:b/>
                <w:color w:val="FFFFFF"/>
                <w:sz w:val="19"/>
              </w:rPr>
              <w:t>Parameter Kunci</w:t>
            </w:r>
          </w:p>
        </w:tc>
        <w:tc>
          <w:tcPr>
            <w:tcW w:type="dxa" w:w="1702"/>
            <w:shd w:val="clear" w:color="auto" w:fill="7030A0"/>
          </w:tcPr>
          <w:p>
            <w:pPr>
              <w:jc w:val="center"/>
            </w:pPr>
            <w:r>
              <w:rPr>
                <w:b/>
                <w:color w:val="FFFFFF"/>
                <w:sz w:val="19"/>
              </w:rPr>
              <w:t>Callback</w:t>
            </w:r>
          </w:p>
        </w:tc>
        <w:tc>
          <w:tcPr>
            <w:tcW w:type="dxa" w:w="1702"/>
            <w:shd w:val="clear" w:color="auto" w:fill="7030A0"/>
          </w:tcPr>
          <w:p>
            <w:pPr>
              <w:jc w:val="center"/>
            </w:pPr>
            <w:r>
              <w:rPr>
                <w:b/>
                <w:color w:val="FFFFFF"/>
                <w:sz w:val="19"/>
              </w:rPr>
              <w:t>Keterangan</w:t>
            </w:r>
          </w:p>
        </w:tc>
      </w:tr>
      <w:tr>
        <w:tc>
          <w:tcPr>
            <w:tcW w:type="dxa" w:w="1702"/>
            <w:shd w:val="clear" w:color="auto" w:fill="F2EEFA"/>
          </w:tcPr>
          <w:p>
            <w:pPr>
              <w:jc w:val="center"/>
            </w:pPr>
            <w:r>
              <w:rPr>
                <w:b/>
                <w:sz w:val="18"/>
              </w:rPr>
              <w:t>LSTM</w:t>
            </w:r>
          </w:p>
        </w:tc>
        <w:tc>
          <w:tcPr>
            <w:tcW w:type="dxa" w:w="1702"/>
            <w:shd w:val="clear" w:color="auto" w:fill="F2EEFA"/>
          </w:tcPr>
          <w:p>
            <w:r>
              <w:rPr>
                <w:sz w:val="18"/>
              </w:rPr>
              <w:t>LSTM(64) → Dropout → LSTM(32) → Dense(16) → Dense(1)</w:t>
            </w:r>
          </w:p>
        </w:tc>
        <w:tc>
          <w:tcPr>
            <w:tcW w:type="dxa" w:w="1702"/>
            <w:shd w:val="clear" w:color="auto" w:fill="F2EEFA"/>
          </w:tcPr>
          <w:p>
            <w:r>
              <w:rPr>
                <w:sz w:val="18"/>
              </w:rPr>
              <w:t>Units: 64/32, Dropout: 0.2</w:t>
            </w:r>
          </w:p>
        </w:tc>
        <w:tc>
          <w:tcPr>
            <w:tcW w:type="dxa" w:w="1702"/>
            <w:shd w:val="clear" w:color="auto" w:fill="F2EEFA"/>
          </w:tcPr>
          <w:p>
            <w:r>
              <w:rPr>
                <w:sz w:val="18"/>
              </w:rPr>
              <w:t>EarlyStopping (patience=10)</w:t>
              <w:br/>
              <w:t>ModelCheckpoint</w:t>
            </w:r>
          </w:p>
        </w:tc>
        <w:tc>
          <w:tcPr>
            <w:tcW w:type="dxa" w:w="1702"/>
            <w:shd w:val="clear" w:color="auto" w:fill="F2EEFA"/>
          </w:tcPr>
          <w:p>
            <w:r>
              <w:rPr>
                <w:sz w:val="18"/>
              </w:rPr>
              <w:t>Model baseline RNN standar</w:t>
            </w:r>
          </w:p>
        </w:tc>
      </w:tr>
      <w:tr>
        <w:tc>
          <w:tcPr>
            <w:tcW w:type="dxa" w:w="1702"/>
            <w:shd w:val="clear" w:color="auto" w:fill="FFE6FF"/>
          </w:tcPr>
          <w:p>
            <w:pPr>
              <w:jc w:val="center"/>
            </w:pPr>
            <w:r>
              <w:rPr>
                <w:b/>
                <w:sz w:val="18"/>
              </w:rPr>
              <w:t>BiLSTM</w:t>
            </w:r>
          </w:p>
        </w:tc>
        <w:tc>
          <w:tcPr>
            <w:tcW w:type="dxa" w:w="1702"/>
            <w:shd w:val="clear" w:color="auto" w:fill="FFE6FF"/>
          </w:tcPr>
          <w:p>
            <w:r>
              <w:rPr>
                <w:sz w:val="18"/>
              </w:rPr>
              <w:t>BiDir(LSTM(64)) → Dropout → BiDir(LSTM(32)) → Dense(16) → Dense(1)</w:t>
            </w:r>
          </w:p>
        </w:tc>
        <w:tc>
          <w:tcPr>
            <w:tcW w:type="dxa" w:w="1702"/>
            <w:shd w:val="clear" w:color="auto" w:fill="FFE6FF"/>
          </w:tcPr>
          <w:p>
            <w:r>
              <w:rPr>
                <w:sz w:val="18"/>
              </w:rPr>
              <w:t>Units: 64/32, Dropout: 0.2, Bidirectional</w:t>
            </w:r>
          </w:p>
        </w:tc>
        <w:tc>
          <w:tcPr>
            <w:tcW w:type="dxa" w:w="1702"/>
            <w:shd w:val="clear" w:color="auto" w:fill="FFE6FF"/>
          </w:tcPr>
          <w:p>
            <w:r>
              <w:rPr>
                <w:sz w:val="18"/>
              </w:rPr>
              <w:t>EarlyStopping (patience=10)</w:t>
              <w:br/>
              <w:t>ModelCheckpoint</w:t>
            </w:r>
          </w:p>
        </w:tc>
        <w:tc>
          <w:tcPr>
            <w:tcW w:type="dxa" w:w="1702"/>
            <w:shd w:val="clear" w:color="auto" w:fill="FFE6FF"/>
          </w:tcPr>
          <w:p>
            <w:r>
              <w:rPr>
                <w:sz w:val="18"/>
              </w:rPr>
              <w:t>Model TERBAIK (RMSE=87.4)</w:t>
            </w:r>
          </w:p>
        </w:tc>
      </w:tr>
      <w:tr>
        <w:tc>
          <w:tcPr>
            <w:tcW w:type="dxa" w:w="1702"/>
            <w:shd w:val="clear" w:color="auto" w:fill="F2EEFA"/>
          </w:tcPr>
          <w:p>
            <w:pPr>
              <w:jc w:val="center"/>
            </w:pPr>
            <w:r>
              <w:rPr>
                <w:b/>
                <w:sz w:val="18"/>
              </w:rPr>
              <w:t>GRU</w:t>
            </w:r>
          </w:p>
        </w:tc>
        <w:tc>
          <w:tcPr>
            <w:tcW w:type="dxa" w:w="1702"/>
            <w:shd w:val="clear" w:color="auto" w:fill="F2EEFA"/>
          </w:tcPr>
          <w:p>
            <w:r>
              <w:rPr>
                <w:sz w:val="18"/>
              </w:rPr>
              <w:t>GRU(64) → Dropout → GRU(32) → Dense(16) → Dense(1)</w:t>
            </w:r>
          </w:p>
        </w:tc>
        <w:tc>
          <w:tcPr>
            <w:tcW w:type="dxa" w:w="1702"/>
            <w:shd w:val="clear" w:color="auto" w:fill="F2EEFA"/>
          </w:tcPr>
          <w:p>
            <w:r>
              <w:rPr>
                <w:sz w:val="18"/>
              </w:rPr>
              <w:t>Units: 64/32, Dropout: 0.2</w:t>
            </w:r>
          </w:p>
        </w:tc>
        <w:tc>
          <w:tcPr>
            <w:tcW w:type="dxa" w:w="1702"/>
            <w:shd w:val="clear" w:color="auto" w:fill="F2EEFA"/>
          </w:tcPr>
          <w:p>
            <w:r>
              <w:rPr>
                <w:sz w:val="18"/>
              </w:rPr>
              <w:t>EarlyStopping (patience=10)</w:t>
              <w:br/>
              <w:t>ModelCheckpoint</w:t>
            </w:r>
          </w:p>
        </w:tc>
        <w:tc>
          <w:tcPr>
            <w:tcW w:type="dxa" w:w="1702"/>
            <w:shd w:val="clear" w:color="auto" w:fill="F2EEFA"/>
          </w:tcPr>
          <w:p>
            <w:r>
              <w:rPr>
                <w:sz w:val="18"/>
              </w:rPr>
              <w:t>Alternatif efisien LSTM</w:t>
            </w:r>
          </w:p>
        </w:tc>
      </w:tr>
      <w:tr>
        <w:tc>
          <w:tcPr>
            <w:tcW w:type="dxa" w:w="1702"/>
            <w:shd w:val="clear" w:color="auto" w:fill="F2EEFA"/>
          </w:tcPr>
          <w:p>
            <w:pPr>
              <w:jc w:val="center"/>
            </w:pPr>
            <w:r>
              <w:rPr>
                <w:b/>
                <w:sz w:val="18"/>
              </w:rPr>
              <w:t>CNN-LSTM</w:t>
            </w:r>
          </w:p>
        </w:tc>
        <w:tc>
          <w:tcPr>
            <w:tcW w:type="dxa" w:w="1702"/>
            <w:shd w:val="clear" w:color="auto" w:fill="F2EEFA"/>
          </w:tcPr>
          <w:p>
            <w:r>
              <w:rPr>
                <w:sz w:val="18"/>
              </w:rPr>
              <w:t>Conv1D(64) → MaxPool → LSTM(32) → Dropout → Dense(16) → Dense(1)</w:t>
            </w:r>
          </w:p>
        </w:tc>
        <w:tc>
          <w:tcPr>
            <w:tcW w:type="dxa" w:w="1702"/>
            <w:shd w:val="clear" w:color="auto" w:fill="F2EEFA"/>
          </w:tcPr>
          <w:p>
            <w:r>
              <w:rPr>
                <w:sz w:val="18"/>
              </w:rPr>
              <w:t>Filters: 64, kernel: 3, Pool: 2</w:t>
            </w:r>
          </w:p>
        </w:tc>
        <w:tc>
          <w:tcPr>
            <w:tcW w:type="dxa" w:w="1702"/>
            <w:shd w:val="clear" w:color="auto" w:fill="F2EEFA"/>
          </w:tcPr>
          <w:p>
            <w:r>
              <w:rPr>
                <w:sz w:val="18"/>
              </w:rPr>
              <w:t>EarlyStopping (patience=10)</w:t>
              <w:br/>
              <w:t>ModelCheckpoint</w:t>
            </w:r>
          </w:p>
        </w:tc>
        <w:tc>
          <w:tcPr>
            <w:tcW w:type="dxa" w:w="1702"/>
            <w:shd w:val="clear" w:color="auto" w:fill="F2EEFA"/>
          </w:tcPr>
          <w:p>
            <w:r>
              <w:rPr>
                <w:sz w:val="18"/>
              </w:rPr>
              <w:t>Hybrid spatial + temporal</w:t>
            </w:r>
          </w:p>
        </w:tc>
      </w:tr>
      <w:tr>
        <w:tc>
          <w:tcPr>
            <w:tcW w:type="dxa" w:w="1702"/>
            <w:shd w:val="clear" w:color="auto" w:fill="F2EEFA"/>
          </w:tcPr>
          <w:p>
            <w:pPr>
              <w:jc w:val="center"/>
            </w:pPr>
            <w:r>
              <w:rPr>
                <w:b/>
                <w:sz w:val="18"/>
              </w:rPr>
              <w:t>XGBoost</w:t>
            </w:r>
          </w:p>
        </w:tc>
        <w:tc>
          <w:tcPr>
            <w:tcW w:type="dxa" w:w="1702"/>
            <w:shd w:val="clear" w:color="auto" w:fill="F2EEFA"/>
          </w:tcPr>
          <w:p>
            <w:r>
              <w:rPr>
                <w:sz w:val="18"/>
              </w:rPr>
              <w:t>Gradient Boosted Trees (flattened input)</w:t>
            </w:r>
          </w:p>
        </w:tc>
        <w:tc>
          <w:tcPr>
            <w:tcW w:type="dxa" w:w="1702"/>
            <w:shd w:val="clear" w:color="auto" w:fill="F2EEFA"/>
          </w:tcPr>
          <w:p>
            <w:r>
              <w:rPr>
                <w:sz w:val="18"/>
              </w:rPr>
              <w:t>n_estimators: 100, lr: 0.05</w:t>
            </w:r>
          </w:p>
        </w:tc>
        <w:tc>
          <w:tcPr>
            <w:tcW w:type="dxa" w:w="1702"/>
            <w:shd w:val="clear" w:color="auto" w:fill="F2EEFA"/>
          </w:tcPr>
          <w:p>
            <w:r>
              <w:rPr>
                <w:sz w:val="18"/>
              </w:rPr>
              <w:t>-</w:t>
            </w:r>
          </w:p>
        </w:tc>
        <w:tc>
          <w:tcPr>
            <w:tcW w:type="dxa" w:w="1702"/>
            <w:shd w:val="clear" w:color="auto" w:fill="F2EEFA"/>
          </w:tcPr>
          <w:p>
            <w:r>
              <w:rPr>
                <w:sz w:val="18"/>
              </w:rPr>
              <w:t>Baseline ML konvensional</w:t>
            </w:r>
          </w:p>
        </w:tc>
      </w:tr>
    </w:tbl>
    <w:p/>
    <w:p>
      <w:r>
        <w:rPr>
          <w:b/>
          <w:i w:val="0"/>
          <w:sz w:val="20"/>
        </w:rPr>
        <w:t>Konfigurasi Training untuk semua model Deep Learning:</w:t>
      </w:r>
    </w:p>
    <w:tbl>
      <w:tblPr>
        <w:tblStyle w:val="TableGrid"/>
        <w:tblW w:type="auto" w:w="0"/>
        <w:tblLook w:firstColumn="1" w:firstRow="1" w:lastColumn="0" w:lastRow="0" w:noHBand="0" w:noVBand="1" w:val="04A0"/>
      </w:tblPr>
      <w:tblGrid>
        <w:gridCol w:w="4255"/>
        <w:gridCol w:w="4255"/>
      </w:tblGrid>
      <w:tr>
        <w:tc>
          <w:tcPr>
            <w:tcW w:type="dxa" w:w="4255"/>
            <w:shd w:val="clear" w:color="auto" w:fill="7030A0"/>
          </w:tcPr>
          <w:p>
            <w:r>
              <w:rPr>
                <w:b/>
                <w:color w:val="FFFFFF"/>
                <w:sz w:val="20"/>
              </w:rPr>
              <w:t>Parameter Training</w:t>
            </w:r>
          </w:p>
        </w:tc>
        <w:tc>
          <w:tcPr>
            <w:tcW w:type="dxa" w:w="4255"/>
            <w:shd w:val="clear" w:color="auto" w:fill="7030A0"/>
          </w:tcPr>
          <w:p>
            <w:r>
              <w:rPr>
                <w:b/>
                <w:color w:val="FFFFFF"/>
                <w:sz w:val="20"/>
              </w:rPr>
              <w:t>Nilai / Konfigurasi</w:t>
            </w:r>
          </w:p>
        </w:tc>
      </w:tr>
      <w:tr>
        <w:tc>
          <w:tcPr>
            <w:tcW w:type="dxa" w:w="4255"/>
            <w:shd w:val="clear" w:color="auto" w:fill="FFFFFF"/>
          </w:tcPr>
          <w:p>
            <w:r>
              <w:rPr>
                <w:b/>
                <w:sz w:val="20"/>
              </w:rPr>
              <w:t>Optimizer</w:t>
            </w:r>
          </w:p>
        </w:tc>
        <w:tc>
          <w:tcPr>
            <w:tcW w:type="dxa" w:w="4255"/>
            <w:shd w:val="clear" w:color="auto" w:fill="FFFFFF"/>
          </w:tcPr>
          <w:p>
            <w:r>
              <w:rPr>
                <w:sz w:val="20"/>
              </w:rPr>
              <w:t>Adam (learning_rate = 0.001)</w:t>
            </w:r>
          </w:p>
        </w:tc>
      </w:tr>
      <w:tr>
        <w:tc>
          <w:tcPr>
            <w:tcW w:type="dxa" w:w="4255"/>
            <w:shd w:val="clear" w:color="auto" w:fill="F2EEFA"/>
          </w:tcPr>
          <w:p>
            <w:r>
              <w:rPr>
                <w:b/>
                <w:sz w:val="20"/>
              </w:rPr>
              <w:t>Loss Function</w:t>
            </w:r>
          </w:p>
        </w:tc>
        <w:tc>
          <w:tcPr>
            <w:tcW w:type="dxa" w:w="4255"/>
            <w:shd w:val="clear" w:color="auto" w:fill="F2EEFA"/>
          </w:tcPr>
          <w:p>
            <w:r>
              <w:rPr>
                <w:sz w:val="20"/>
              </w:rPr>
              <w:t>Mean Squared Error (MSE)</w:t>
            </w:r>
          </w:p>
        </w:tc>
      </w:tr>
      <w:tr>
        <w:tc>
          <w:tcPr>
            <w:tcW w:type="dxa" w:w="4255"/>
            <w:shd w:val="clear" w:color="auto" w:fill="FFFFFF"/>
          </w:tcPr>
          <w:p>
            <w:r>
              <w:rPr>
                <w:b/>
                <w:sz w:val="20"/>
              </w:rPr>
              <w:t>Metrik Monitoring</w:t>
            </w:r>
          </w:p>
        </w:tc>
        <w:tc>
          <w:tcPr>
            <w:tcW w:type="dxa" w:w="4255"/>
            <w:shd w:val="clear" w:color="auto" w:fill="FFFFFF"/>
          </w:tcPr>
          <w:p>
            <w:r>
              <w:rPr>
                <w:sz w:val="20"/>
              </w:rPr>
              <w:t>MAE (Mean Absolute Error)</w:t>
            </w:r>
          </w:p>
        </w:tc>
      </w:tr>
      <w:tr>
        <w:tc>
          <w:tcPr>
            <w:tcW w:type="dxa" w:w="4255"/>
            <w:shd w:val="clear" w:color="auto" w:fill="F2EEFA"/>
          </w:tcPr>
          <w:p>
            <w:r>
              <w:rPr>
                <w:b/>
                <w:sz w:val="20"/>
              </w:rPr>
              <w:t>Batch Size</w:t>
            </w:r>
          </w:p>
        </w:tc>
        <w:tc>
          <w:tcPr>
            <w:tcW w:type="dxa" w:w="4255"/>
            <w:shd w:val="clear" w:color="auto" w:fill="F2EEFA"/>
          </w:tcPr>
          <w:p>
            <w:r>
              <w:rPr>
                <w:sz w:val="20"/>
              </w:rPr>
              <w:t>32</w:t>
            </w:r>
          </w:p>
        </w:tc>
      </w:tr>
      <w:tr>
        <w:tc>
          <w:tcPr>
            <w:tcW w:type="dxa" w:w="4255"/>
            <w:shd w:val="clear" w:color="auto" w:fill="FFFFFF"/>
          </w:tcPr>
          <w:p>
            <w:r>
              <w:rPr>
                <w:b/>
                <w:sz w:val="20"/>
              </w:rPr>
              <w:t>Max Epochs</w:t>
            </w:r>
          </w:p>
        </w:tc>
        <w:tc>
          <w:tcPr>
            <w:tcW w:type="dxa" w:w="4255"/>
            <w:shd w:val="clear" w:color="auto" w:fill="FFFFFF"/>
          </w:tcPr>
          <w:p>
            <w:r>
              <w:rPr>
                <w:sz w:val="20"/>
              </w:rPr>
              <w:t>30 (dibatasi EarlyStopping)</w:t>
            </w:r>
          </w:p>
        </w:tc>
      </w:tr>
      <w:tr>
        <w:tc>
          <w:tcPr>
            <w:tcW w:type="dxa" w:w="4255"/>
            <w:shd w:val="clear" w:color="auto" w:fill="F2EEFA"/>
          </w:tcPr>
          <w:p>
            <w:r>
              <w:rPr>
                <w:b/>
                <w:sz w:val="20"/>
              </w:rPr>
              <w:t>Validation Split</w:t>
            </w:r>
          </w:p>
        </w:tc>
        <w:tc>
          <w:tcPr>
            <w:tcW w:type="dxa" w:w="4255"/>
            <w:shd w:val="clear" w:color="auto" w:fill="F2EEFA"/>
          </w:tcPr>
          <w:p>
            <w:r>
              <w:rPr>
                <w:sz w:val="20"/>
              </w:rPr>
              <w:t>10% dari data training</w:t>
            </w:r>
          </w:p>
        </w:tc>
      </w:tr>
      <w:tr>
        <w:tc>
          <w:tcPr>
            <w:tcW w:type="dxa" w:w="4255"/>
            <w:shd w:val="clear" w:color="auto" w:fill="FFFFFF"/>
          </w:tcPr>
          <w:p>
            <w:r>
              <w:rPr>
                <w:b/>
                <w:sz w:val="20"/>
              </w:rPr>
              <w:t>EarlyStopping</w:t>
            </w:r>
          </w:p>
        </w:tc>
        <w:tc>
          <w:tcPr>
            <w:tcW w:type="dxa" w:w="4255"/>
            <w:shd w:val="clear" w:color="auto" w:fill="FFFFFF"/>
          </w:tcPr>
          <w:p>
            <w:r>
              <w:rPr>
                <w:sz w:val="20"/>
              </w:rPr>
              <w:t>patience = 10, restore_best_weights = True</w:t>
            </w:r>
          </w:p>
        </w:tc>
      </w:tr>
      <w:tr>
        <w:tc>
          <w:tcPr>
            <w:tcW w:type="dxa" w:w="4255"/>
            <w:shd w:val="clear" w:color="auto" w:fill="F2EEFA"/>
          </w:tcPr>
          <w:p>
            <w:r>
              <w:rPr>
                <w:b/>
                <w:sz w:val="20"/>
              </w:rPr>
              <w:t>Random Seed</w:t>
            </w:r>
          </w:p>
        </w:tc>
        <w:tc>
          <w:tcPr>
            <w:tcW w:type="dxa" w:w="4255"/>
            <w:shd w:val="clear" w:color="auto" w:fill="F2EEFA"/>
          </w:tcPr>
          <w:p>
            <w:r>
              <w:rPr>
                <w:sz w:val="20"/>
              </w:rPr>
              <w:t>42 (untuk reproduksibilitas)</w:t>
            </w:r>
          </w:p>
        </w:tc>
      </w:tr>
    </w:tbl>
    <w:p/>
    <w:p>
      <w:pPr>
        <w:pBdr>
          <w:bottom w:val="single" w:sz="6" w:space="1" w:color="2E75B6"/>
        </w:pBdr>
      </w:pPr>
    </w:p>
    <w:p/>
    <w:p>
      <w:r>
        <w:rPr>
          <w:b/>
          <w:color w:val="2E75B6"/>
          <w:sz w:val="24"/>
        </w:rPr>
        <w:t>Fase 4: Evaluasi Model &amp; Analisis Perbandingan</w:t>
      </w:r>
    </w:p>
    <w:p/>
    <w:p>
      <w:r>
        <w:rPr>
          <w:b w:val="0"/>
          <w:i w:val="0"/>
          <w:sz w:val="21"/>
        </w:rPr>
        <w:t>Setelah training selesai, semua model dievaluasi pada data uji (test set) yang tidak pernah dilihat selama training. Evaluasi menggunakan 4 metrik regresi standar:</w:t>
      </w:r>
    </w:p>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C00000"/>
          </w:tcPr>
          <w:p>
            <w:r>
              <w:rPr>
                <w:b/>
                <w:color w:val="FFFFFF"/>
                <w:sz w:val="20"/>
              </w:rPr>
              <w:t>Metrik</w:t>
            </w:r>
          </w:p>
        </w:tc>
        <w:tc>
          <w:tcPr>
            <w:tcW w:type="dxa" w:w="2128"/>
            <w:shd w:val="clear" w:color="auto" w:fill="C00000"/>
          </w:tcPr>
          <w:p>
            <w:r>
              <w:rPr>
                <w:b/>
                <w:color w:val="FFFFFF"/>
                <w:sz w:val="20"/>
              </w:rPr>
              <w:t>Formula</w:t>
            </w:r>
          </w:p>
        </w:tc>
        <w:tc>
          <w:tcPr>
            <w:tcW w:type="dxa" w:w="2128"/>
            <w:shd w:val="clear" w:color="auto" w:fill="C00000"/>
          </w:tcPr>
          <w:p>
            <w:r>
              <w:rPr>
                <w:b/>
                <w:color w:val="FFFFFF"/>
                <w:sz w:val="20"/>
              </w:rPr>
              <w:t>Interpretasi</w:t>
            </w:r>
          </w:p>
        </w:tc>
        <w:tc>
          <w:tcPr>
            <w:tcW w:type="dxa" w:w="2128"/>
            <w:shd w:val="clear" w:color="auto" w:fill="C00000"/>
          </w:tcPr>
          <w:p>
            <w:r>
              <w:rPr>
                <w:b/>
                <w:color w:val="FFFFFF"/>
                <w:sz w:val="20"/>
              </w:rPr>
              <w:t>Satuan</w:t>
            </w:r>
          </w:p>
        </w:tc>
      </w:tr>
      <w:tr>
        <w:tc>
          <w:tcPr>
            <w:tcW w:type="dxa" w:w="2128"/>
            <w:shd w:val="clear" w:color="auto" w:fill="FFE6E6"/>
          </w:tcPr>
          <w:p>
            <w:pPr>
              <w:jc w:val="center"/>
            </w:pPr>
            <w:r>
              <w:rPr>
                <w:b/>
                <w:sz w:val="19"/>
              </w:rPr>
              <w:t>RMSE</w:t>
            </w:r>
          </w:p>
        </w:tc>
        <w:tc>
          <w:tcPr>
            <w:tcW w:type="dxa" w:w="2128"/>
            <w:shd w:val="clear" w:color="auto" w:fill="FFE6E6"/>
          </w:tcPr>
          <w:p>
            <w:r>
              <w:rPr>
                <w:sz w:val="19"/>
              </w:rPr>
              <w:t>√(Σ(yᵢ - ŷᵢ)² / n)</w:t>
            </w:r>
          </w:p>
        </w:tc>
        <w:tc>
          <w:tcPr>
            <w:tcW w:type="dxa" w:w="2128"/>
            <w:shd w:val="clear" w:color="auto" w:fill="FFE6E6"/>
          </w:tcPr>
          <w:p>
            <w:r>
              <w:rPr>
                <w:sz w:val="19"/>
              </w:rPr>
              <w:t>Rata-rata error dalam satuan asli. Lebih sensitif terhadap outlier.</w:t>
            </w:r>
          </w:p>
        </w:tc>
        <w:tc>
          <w:tcPr>
            <w:tcW w:type="dxa" w:w="2128"/>
            <w:shd w:val="clear" w:color="auto" w:fill="FFE6E6"/>
          </w:tcPr>
          <w:p>
            <w:r>
              <w:rPr>
                <w:sz w:val="19"/>
              </w:rPr>
              <w:t>IDR</w:t>
            </w:r>
          </w:p>
        </w:tc>
      </w:tr>
      <w:tr>
        <w:tc>
          <w:tcPr>
            <w:tcW w:type="dxa" w:w="2128"/>
            <w:shd w:val="clear" w:color="auto" w:fill="FFFFFF"/>
          </w:tcPr>
          <w:p>
            <w:pPr>
              <w:jc w:val="center"/>
            </w:pPr>
            <w:r>
              <w:rPr>
                <w:b/>
                <w:sz w:val="19"/>
              </w:rPr>
              <w:t>MAE</w:t>
            </w:r>
          </w:p>
        </w:tc>
        <w:tc>
          <w:tcPr>
            <w:tcW w:type="dxa" w:w="2128"/>
            <w:shd w:val="clear" w:color="auto" w:fill="FFFFFF"/>
          </w:tcPr>
          <w:p>
            <w:r>
              <w:rPr>
                <w:sz w:val="19"/>
              </w:rPr>
              <w:t>Σ|yᵢ - ŷᵢ| / n</w:t>
            </w:r>
          </w:p>
        </w:tc>
        <w:tc>
          <w:tcPr>
            <w:tcW w:type="dxa" w:w="2128"/>
            <w:shd w:val="clear" w:color="auto" w:fill="FFFFFF"/>
          </w:tcPr>
          <w:p>
            <w:r>
              <w:rPr>
                <w:sz w:val="19"/>
              </w:rPr>
              <w:t>Rata-rata absolute error. Lebih robust terhadap outlier.</w:t>
            </w:r>
          </w:p>
        </w:tc>
        <w:tc>
          <w:tcPr>
            <w:tcW w:type="dxa" w:w="2128"/>
            <w:shd w:val="clear" w:color="auto" w:fill="FFFFFF"/>
          </w:tcPr>
          <w:p>
            <w:r>
              <w:rPr>
                <w:sz w:val="19"/>
              </w:rPr>
              <w:t>IDR</w:t>
            </w:r>
          </w:p>
        </w:tc>
      </w:tr>
      <w:tr>
        <w:tc>
          <w:tcPr>
            <w:tcW w:type="dxa" w:w="2128"/>
            <w:shd w:val="clear" w:color="auto" w:fill="FFE6E6"/>
          </w:tcPr>
          <w:p>
            <w:pPr>
              <w:jc w:val="center"/>
            </w:pPr>
            <w:r>
              <w:rPr>
                <w:b/>
                <w:sz w:val="19"/>
              </w:rPr>
              <w:t>MAPE</w:t>
            </w:r>
          </w:p>
        </w:tc>
        <w:tc>
          <w:tcPr>
            <w:tcW w:type="dxa" w:w="2128"/>
            <w:shd w:val="clear" w:color="auto" w:fill="FFE6E6"/>
          </w:tcPr>
          <w:p>
            <w:r>
              <w:rPr>
                <w:sz w:val="19"/>
              </w:rPr>
              <w:t>Σ|yᵢ - ŷᵢ|/yᵢ × 100</w:t>
            </w:r>
          </w:p>
        </w:tc>
        <w:tc>
          <w:tcPr>
            <w:tcW w:type="dxa" w:w="2128"/>
            <w:shd w:val="clear" w:color="auto" w:fill="FFE6E6"/>
          </w:tcPr>
          <w:p>
            <w:r>
              <w:rPr>
                <w:sz w:val="19"/>
              </w:rPr>
              <w:t>Error relatif terhadap nilai aktual. Mudah diinterpretasi.</w:t>
            </w:r>
          </w:p>
        </w:tc>
        <w:tc>
          <w:tcPr>
            <w:tcW w:type="dxa" w:w="2128"/>
            <w:shd w:val="clear" w:color="auto" w:fill="FFE6E6"/>
          </w:tcPr>
          <w:p>
            <w:r>
              <w:rPr>
                <w:sz w:val="19"/>
              </w:rPr>
              <w:t>%</w:t>
            </w:r>
          </w:p>
        </w:tc>
      </w:tr>
      <w:tr>
        <w:tc>
          <w:tcPr>
            <w:tcW w:type="dxa" w:w="2128"/>
            <w:shd w:val="clear" w:color="auto" w:fill="FFFFFF"/>
          </w:tcPr>
          <w:p>
            <w:pPr>
              <w:jc w:val="center"/>
            </w:pPr>
            <w:r>
              <w:rPr>
                <w:b/>
                <w:sz w:val="19"/>
              </w:rPr>
              <w:t>R²</w:t>
            </w:r>
          </w:p>
        </w:tc>
        <w:tc>
          <w:tcPr>
            <w:tcW w:type="dxa" w:w="2128"/>
            <w:shd w:val="clear" w:color="auto" w:fill="FFFFFF"/>
          </w:tcPr>
          <w:p>
            <w:r>
              <w:rPr>
                <w:sz w:val="19"/>
              </w:rPr>
              <w:t>1 - SS_res/SS_tot</w:t>
            </w:r>
          </w:p>
        </w:tc>
        <w:tc>
          <w:tcPr>
            <w:tcW w:type="dxa" w:w="2128"/>
            <w:shd w:val="clear" w:color="auto" w:fill="FFFFFF"/>
          </w:tcPr>
          <w:p>
            <w:r>
              <w:rPr>
                <w:sz w:val="19"/>
              </w:rPr>
              <w:t>Proporsi variansi yang dijelaskan model. Mendekati 1 = baik.</w:t>
            </w:r>
          </w:p>
        </w:tc>
        <w:tc>
          <w:tcPr>
            <w:tcW w:type="dxa" w:w="2128"/>
            <w:shd w:val="clear" w:color="auto" w:fill="FFFFFF"/>
          </w:tcPr>
          <w:p>
            <w:r>
              <w:rPr>
                <w:sz w:val="19"/>
              </w:rPr>
              <w:t>Adimensi (0–1)</w:t>
            </w:r>
          </w:p>
        </w:tc>
      </w:tr>
    </w:tbl>
    <w:p/>
    <w:p>
      <w:r>
        <w:rPr>
          <w:b/>
          <w:color w:val="404040"/>
          <w:sz w:val="22"/>
        </w:rPr>
        <w:t>Hasil Evaluasi Komparatif Model (Test Set: 2023–2026):</w:t>
      </w:r>
    </w:p>
    <w:tbl>
      <w:tblPr>
        <w:tblStyle w:val="TableGrid"/>
        <w:tblW w:type="auto" w:w="0"/>
        <w:tblLook w:firstColumn="1" w:firstRow="1" w:lastColumn="0" w:lastRow="0" w:noHBand="0" w:noVBand="1" w:val="04A0"/>
      </w:tblPr>
      <w:tblGrid>
        <w:gridCol w:w="1418"/>
        <w:gridCol w:w="1418"/>
        <w:gridCol w:w="1418"/>
        <w:gridCol w:w="1418"/>
        <w:gridCol w:w="1418"/>
        <w:gridCol w:w="1418"/>
      </w:tblGrid>
      <w:tr>
        <w:tc>
          <w:tcPr>
            <w:tcW w:type="dxa" w:w="1418"/>
            <w:shd w:val="clear" w:color="auto" w:fill="C00000"/>
          </w:tcPr>
          <w:p>
            <w:pPr>
              <w:jc w:val="center"/>
            </w:pPr>
            <w:r>
              <w:rPr>
                <w:b/>
                <w:color w:val="FFFFFF"/>
                <w:sz w:val="20"/>
              </w:rPr>
              <w:t>Model</w:t>
            </w:r>
          </w:p>
        </w:tc>
        <w:tc>
          <w:tcPr>
            <w:tcW w:type="dxa" w:w="1418"/>
            <w:shd w:val="clear" w:color="auto" w:fill="C00000"/>
          </w:tcPr>
          <w:p>
            <w:pPr>
              <w:jc w:val="center"/>
            </w:pPr>
            <w:r>
              <w:rPr>
                <w:b/>
                <w:color w:val="FFFFFF"/>
                <w:sz w:val="20"/>
              </w:rPr>
              <w:t>RMSE (IDR)</w:t>
            </w:r>
          </w:p>
        </w:tc>
        <w:tc>
          <w:tcPr>
            <w:tcW w:type="dxa" w:w="1418"/>
            <w:shd w:val="clear" w:color="auto" w:fill="C00000"/>
          </w:tcPr>
          <w:p>
            <w:pPr>
              <w:jc w:val="center"/>
            </w:pPr>
            <w:r>
              <w:rPr>
                <w:b/>
                <w:color w:val="FFFFFF"/>
                <w:sz w:val="20"/>
              </w:rPr>
              <w:t>MAE (IDR)</w:t>
            </w:r>
          </w:p>
        </w:tc>
        <w:tc>
          <w:tcPr>
            <w:tcW w:type="dxa" w:w="1418"/>
            <w:shd w:val="clear" w:color="auto" w:fill="C00000"/>
          </w:tcPr>
          <w:p>
            <w:pPr>
              <w:jc w:val="center"/>
            </w:pPr>
            <w:r>
              <w:rPr>
                <w:b/>
                <w:color w:val="FFFFFF"/>
                <w:sz w:val="20"/>
              </w:rPr>
              <w:t>MAPE (%)</w:t>
            </w:r>
          </w:p>
        </w:tc>
        <w:tc>
          <w:tcPr>
            <w:tcW w:type="dxa" w:w="1418"/>
            <w:shd w:val="clear" w:color="auto" w:fill="C00000"/>
          </w:tcPr>
          <w:p>
            <w:pPr>
              <w:jc w:val="center"/>
            </w:pPr>
            <w:r>
              <w:rPr>
                <w:b/>
                <w:color w:val="FFFFFF"/>
                <w:sz w:val="20"/>
              </w:rPr>
              <w:t>R² Score</w:t>
            </w:r>
          </w:p>
        </w:tc>
        <w:tc>
          <w:tcPr>
            <w:tcW w:type="dxa" w:w="1418"/>
            <w:shd w:val="clear" w:color="auto" w:fill="C00000"/>
          </w:tcPr>
          <w:p>
            <w:pPr>
              <w:jc w:val="center"/>
            </w:pPr>
            <w:r>
              <w:rPr>
                <w:b/>
                <w:color w:val="FFFFFF"/>
                <w:sz w:val="20"/>
              </w:rPr>
              <w:t>Ranking</w:t>
            </w:r>
          </w:p>
        </w:tc>
      </w:tr>
      <w:tr>
        <w:tc>
          <w:tcPr>
            <w:tcW w:type="dxa" w:w="1418"/>
            <w:shd w:val="clear" w:color="auto" w:fill="C6EFCE"/>
          </w:tcPr>
          <w:p>
            <w:r>
              <w:rPr>
                <w:b/>
                <w:sz w:val="20"/>
              </w:rPr>
              <w:t>BiLSTM (Proposed)</w:t>
            </w:r>
          </w:p>
        </w:tc>
        <w:tc>
          <w:tcPr>
            <w:tcW w:type="dxa" w:w="1418"/>
            <w:shd w:val="clear" w:color="auto" w:fill="C6EFCE"/>
          </w:tcPr>
          <w:p>
            <w:pPr>
              <w:jc w:val="center"/>
            </w:pPr>
            <w:r>
              <w:rPr>
                <w:b/>
                <w:sz w:val="20"/>
              </w:rPr>
              <w:t>87.4</w:t>
            </w:r>
          </w:p>
        </w:tc>
        <w:tc>
          <w:tcPr>
            <w:tcW w:type="dxa" w:w="1418"/>
            <w:shd w:val="clear" w:color="auto" w:fill="C6EFCE"/>
          </w:tcPr>
          <w:p>
            <w:pPr>
              <w:jc w:val="center"/>
            </w:pPr>
            <w:r>
              <w:rPr>
                <w:b/>
                <w:sz w:val="20"/>
              </w:rPr>
              <w:t>68.2</w:t>
            </w:r>
          </w:p>
        </w:tc>
        <w:tc>
          <w:tcPr>
            <w:tcW w:type="dxa" w:w="1418"/>
            <w:shd w:val="clear" w:color="auto" w:fill="C6EFCE"/>
          </w:tcPr>
          <w:p>
            <w:pPr>
              <w:jc w:val="center"/>
            </w:pPr>
            <w:r>
              <w:rPr>
                <w:b/>
                <w:sz w:val="20"/>
              </w:rPr>
              <w:t>0.53</w:t>
            </w:r>
          </w:p>
        </w:tc>
        <w:tc>
          <w:tcPr>
            <w:tcW w:type="dxa" w:w="1418"/>
            <w:shd w:val="clear" w:color="auto" w:fill="C6EFCE"/>
          </w:tcPr>
          <w:p>
            <w:pPr>
              <w:jc w:val="center"/>
            </w:pPr>
            <w:r>
              <w:rPr>
                <w:b/>
                <w:sz w:val="20"/>
              </w:rPr>
              <w:t>0.947</w:t>
            </w:r>
          </w:p>
        </w:tc>
        <w:tc>
          <w:tcPr>
            <w:tcW w:type="dxa" w:w="1418"/>
            <w:shd w:val="clear" w:color="auto" w:fill="C6EFCE"/>
          </w:tcPr>
          <w:p>
            <w:pPr>
              <w:jc w:val="center"/>
            </w:pPr>
            <w:r>
              <w:rPr>
                <w:b/>
                <w:sz w:val="20"/>
              </w:rPr>
              <w:t>🥇 #1 TERBAIK</w:t>
            </w:r>
          </w:p>
        </w:tc>
      </w:tr>
      <w:tr>
        <w:tc>
          <w:tcPr>
            <w:tcW w:type="dxa" w:w="1418"/>
            <w:shd w:val="clear" w:color="auto" w:fill="FFFFFF"/>
          </w:tcPr>
          <w:p>
            <w:r>
              <w:rPr>
                <w:b/>
                <w:sz w:val="20"/>
              </w:rPr>
              <w:t>GRU</w:t>
            </w:r>
          </w:p>
        </w:tc>
        <w:tc>
          <w:tcPr>
            <w:tcW w:type="dxa" w:w="1418"/>
            <w:shd w:val="clear" w:color="auto" w:fill="FFFFFF"/>
          </w:tcPr>
          <w:p>
            <w:pPr>
              <w:jc w:val="center"/>
            </w:pPr>
            <w:r>
              <w:rPr>
                <w:sz w:val="20"/>
              </w:rPr>
              <w:t>103.2</w:t>
            </w:r>
          </w:p>
        </w:tc>
        <w:tc>
          <w:tcPr>
            <w:tcW w:type="dxa" w:w="1418"/>
            <w:shd w:val="clear" w:color="auto" w:fill="FFFFFF"/>
          </w:tcPr>
          <w:p>
            <w:pPr>
              <w:jc w:val="center"/>
            </w:pPr>
            <w:r>
              <w:rPr>
                <w:sz w:val="20"/>
              </w:rPr>
              <w:t>79.8</w:t>
            </w:r>
          </w:p>
        </w:tc>
        <w:tc>
          <w:tcPr>
            <w:tcW w:type="dxa" w:w="1418"/>
            <w:shd w:val="clear" w:color="auto" w:fill="FFFFFF"/>
          </w:tcPr>
          <w:p>
            <w:pPr>
              <w:jc w:val="center"/>
            </w:pPr>
            <w:r>
              <w:rPr>
                <w:sz w:val="20"/>
              </w:rPr>
              <w:t>0.64</w:t>
            </w:r>
          </w:p>
        </w:tc>
        <w:tc>
          <w:tcPr>
            <w:tcW w:type="dxa" w:w="1418"/>
            <w:shd w:val="clear" w:color="auto" w:fill="FFFFFF"/>
          </w:tcPr>
          <w:p>
            <w:pPr>
              <w:jc w:val="center"/>
            </w:pPr>
            <w:r>
              <w:rPr>
                <w:sz w:val="20"/>
              </w:rPr>
              <w:t>0.931</w:t>
            </w:r>
          </w:p>
        </w:tc>
        <w:tc>
          <w:tcPr>
            <w:tcW w:type="dxa" w:w="1418"/>
            <w:shd w:val="clear" w:color="auto" w:fill="FFFFFF"/>
          </w:tcPr>
          <w:p>
            <w:pPr>
              <w:jc w:val="center"/>
            </w:pPr>
            <w:r>
              <w:rPr>
                <w:sz w:val="20"/>
              </w:rPr>
              <w:t>#2</w:t>
            </w:r>
          </w:p>
        </w:tc>
      </w:tr>
      <w:tr>
        <w:tc>
          <w:tcPr>
            <w:tcW w:type="dxa" w:w="1418"/>
            <w:shd w:val="clear" w:color="auto" w:fill="FFFFFF"/>
          </w:tcPr>
          <w:p>
            <w:r>
              <w:rPr>
                <w:b/>
                <w:sz w:val="20"/>
              </w:rPr>
              <w:t>LSTM</w:t>
            </w:r>
          </w:p>
        </w:tc>
        <w:tc>
          <w:tcPr>
            <w:tcW w:type="dxa" w:w="1418"/>
            <w:shd w:val="clear" w:color="auto" w:fill="FFFFFF"/>
          </w:tcPr>
          <w:p>
            <w:pPr>
              <w:jc w:val="center"/>
            </w:pPr>
            <w:r>
              <w:rPr>
                <w:sz w:val="20"/>
              </w:rPr>
              <w:t>118.7</w:t>
            </w:r>
          </w:p>
        </w:tc>
        <w:tc>
          <w:tcPr>
            <w:tcW w:type="dxa" w:w="1418"/>
            <w:shd w:val="clear" w:color="auto" w:fill="FFFFFF"/>
          </w:tcPr>
          <w:p>
            <w:pPr>
              <w:jc w:val="center"/>
            </w:pPr>
            <w:r>
              <w:rPr>
                <w:sz w:val="20"/>
              </w:rPr>
              <w:t>91.4</w:t>
            </w:r>
          </w:p>
        </w:tc>
        <w:tc>
          <w:tcPr>
            <w:tcW w:type="dxa" w:w="1418"/>
            <w:shd w:val="clear" w:color="auto" w:fill="FFFFFF"/>
          </w:tcPr>
          <w:p>
            <w:pPr>
              <w:jc w:val="center"/>
            </w:pPr>
            <w:r>
              <w:rPr>
                <w:sz w:val="20"/>
              </w:rPr>
              <w:t>0.74</w:t>
            </w:r>
          </w:p>
        </w:tc>
        <w:tc>
          <w:tcPr>
            <w:tcW w:type="dxa" w:w="1418"/>
            <w:shd w:val="clear" w:color="auto" w:fill="FFFFFF"/>
          </w:tcPr>
          <w:p>
            <w:pPr>
              <w:jc w:val="center"/>
            </w:pPr>
            <w:r>
              <w:rPr>
                <w:sz w:val="20"/>
              </w:rPr>
              <w:t>0.912</w:t>
            </w:r>
          </w:p>
        </w:tc>
        <w:tc>
          <w:tcPr>
            <w:tcW w:type="dxa" w:w="1418"/>
            <w:shd w:val="clear" w:color="auto" w:fill="FFFFFF"/>
          </w:tcPr>
          <w:p>
            <w:pPr>
              <w:jc w:val="center"/>
            </w:pPr>
            <w:r>
              <w:rPr>
                <w:sz w:val="20"/>
              </w:rPr>
              <w:t>#3</w:t>
            </w:r>
          </w:p>
        </w:tc>
      </w:tr>
      <w:tr>
        <w:tc>
          <w:tcPr>
            <w:tcW w:type="dxa" w:w="1418"/>
            <w:shd w:val="clear" w:color="auto" w:fill="FFFFFF"/>
          </w:tcPr>
          <w:p>
            <w:r>
              <w:rPr>
                <w:b/>
                <w:sz w:val="20"/>
              </w:rPr>
              <w:t>CNN-LSTM</w:t>
            </w:r>
          </w:p>
        </w:tc>
        <w:tc>
          <w:tcPr>
            <w:tcW w:type="dxa" w:w="1418"/>
            <w:shd w:val="clear" w:color="auto" w:fill="FFFFFF"/>
          </w:tcPr>
          <w:p>
            <w:pPr>
              <w:jc w:val="center"/>
            </w:pPr>
            <w:r>
              <w:rPr>
                <w:sz w:val="20"/>
              </w:rPr>
              <w:t>149.3</w:t>
            </w:r>
          </w:p>
        </w:tc>
        <w:tc>
          <w:tcPr>
            <w:tcW w:type="dxa" w:w="1418"/>
            <w:shd w:val="clear" w:color="auto" w:fill="FFFFFF"/>
          </w:tcPr>
          <w:p>
            <w:pPr>
              <w:jc w:val="center"/>
            </w:pPr>
            <w:r>
              <w:rPr>
                <w:sz w:val="20"/>
              </w:rPr>
              <w:t>118.6</w:t>
            </w:r>
          </w:p>
        </w:tc>
        <w:tc>
          <w:tcPr>
            <w:tcW w:type="dxa" w:w="1418"/>
            <w:shd w:val="clear" w:color="auto" w:fill="FFFFFF"/>
          </w:tcPr>
          <w:p>
            <w:pPr>
              <w:jc w:val="center"/>
            </w:pPr>
            <w:r>
              <w:rPr>
                <w:sz w:val="20"/>
              </w:rPr>
              <w:t>0.93</w:t>
            </w:r>
          </w:p>
        </w:tc>
        <w:tc>
          <w:tcPr>
            <w:tcW w:type="dxa" w:w="1418"/>
            <w:shd w:val="clear" w:color="auto" w:fill="FFFFFF"/>
          </w:tcPr>
          <w:p>
            <w:pPr>
              <w:jc w:val="center"/>
            </w:pPr>
            <w:r>
              <w:rPr>
                <w:sz w:val="20"/>
              </w:rPr>
              <w:t>0.873</w:t>
            </w:r>
          </w:p>
        </w:tc>
        <w:tc>
          <w:tcPr>
            <w:tcW w:type="dxa" w:w="1418"/>
            <w:shd w:val="clear" w:color="auto" w:fill="FFFFFF"/>
          </w:tcPr>
          <w:p>
            <w:pPr>
              <w:jc w:val="center"/>
            </w:pPr>
            <w:r>
              <w:rPr>
                <w:sz w:val="20"/>
              </w:rPr>
              <w:t>#4</w:t>
            </w:r>
          </w:p>
        </w:tc>
      </w:tr>
      <w:tr>
        <w:tc>
          <w:tcPr>
            <w:tcW w:type="dxa" w:w="1418"/>
            <w:shd w:val="clear" w:color="auto" w:fill="FFE6E6"/>
          </w:tcPr>
          <w:p>
            <w:r>
              <w:rPr>
                <w:b/>
                <w:sz w:val="20"/>
              </w:rPr>
              <w:t>XGBoost (Baseline)</w:t>
            </w:r>
          </w:p>
        </w:tc>
        <w:tc>
          <w:tcPr>
            <w:tcW w:type="dxa" w:w="1418"/>
            <w:shd w:val="clear" w:color="auto" w:fill="FFE6E6"/>
          </w:tcPr>
          <w:p>
            <w:pPr>
              <w:jc w:val="center"/>
            </w:pPr>
            <w:r>
              <w:rPr>
                <w:sz w:val="20"/>
              </w:rPr>
              <w:t>234.1</w:t>
            </w:r>
          </w:p>
        </w:tc>
        <w:tc>
          <w:tcPr>
            <w:tcW w:type="dxa" w:w="1418"/>
            <w:shd w:val="clear" w:color="auto" w:fill="FFE6E6"/>
          </w:tcPr>
          <w:p>
            <w:pPr>
              <w:jc w:val="center"/>
            </w:pPr>
            <w:r>
              <w:rPr>
                <w:sz w:val="20"/>
              </w:rPr>
              <w:t>181.3</w:t>
            </w:r>
          </w:p>
        </w:tc>
        <w:tc>
          <w:tcPr>
            <w:tcW w:type="dxa" w:w="1418"/>
            <w:shd w:val="clear" w:color="auto" w:fill="FFE6E6"/>
          </w:tcPr>
          <w:p>
            <w:pPr>
              <w:jc w:val="center"/>
            </w:pPr>
            <w:r>
              <w:rPr>
                <w:sz w:val="20"/>
              </w:rPr>
              <w:t>1.47</w:t>
            </w:r>
          </w:p>
        </w:tc>
        <w:tc>
          <w:tcPr>
            <w:tcW w:type="dxa" w:w="1418"/>
            <w:shd w:val="clear" w:color="auto" w:fill="FFE6E6"/>
          </w:tcPr>
          <w:p>
            <w:pPr>
              <w:jc w:val="center"/>
            </w:pPr>
            <w:r>
              <w:rPr>
                <w:sz w:val="20"/>
              </w:rPr>
              <w:t>0.741</w:t>
            </w:r>
          </w:p>
        </w:tc>
        <w:tc>
          <w:tcPr>
            <w:tcW w:type="dxa" w:w="1418"/>
            <w:shd w:val="clear" w:color="auto" w:fill="FFE6E6"/>
          </w:tcPr>
          <w:p>
            <w:pPr>
              <w:jc w:val="center"/>
            </w:pPr>
            <w:r>
              <w:rPr>
                <w:sz w:val="20"/>
              </w:rPr>
              <w:t>#5</w:t>
            </w:r>
          </w:p>
        </w:tc>
      </w:tr>
    </w:tbl>
    <w:p/>
    <w:p>
      <w:r>
        <w:rPr>
          <w:b w:val="0"/>
          <w:i/>
          <w:sz w:val="20"/>
        </w:rPr>
        <w:t>Interpretasi: Model BiLSTM (Bidirectional LSTM) terbukti superior dengan RMSE terendah (87.4 IDR) dan MAPE hanya 0.53%, dibandingkan XGBoost yang mencapai MAPE 1.47%. Ini membuktikan bahwa arsitektur bidirectional mampu menangkap dependensi temporal dari kedua arah (masa lalu dan masa depan dalam sequence) untuk memprediksi kurs Rupiah.</w:t>
      </w:r>
    </w:p>
    <w:p/>
    <w:p>
      <w:pPr>
        <w:jc w:val="center"/>
      </w:pPr>
      <w:r>
        <w:drawing>
          <wp:inline xmlns:a="http://schemas.openxmlformats.org/drawingml/2006/main" xmlns:pic="http://schemas.openxmlformats.org/drawingml/2006/picture">
            <wp:extent cx="5669280" cy="1957115"/>
            <wp:docPr id="5" name="Picture 5"/>
            <wp:cNvGraphicFramePr>
              <a:graphicFrameLocks noChangeAspect="1"/>
            </wp:cNvGraphicFramePr>
            <a:graphic>
              <a:graphicData uri="http://schemas.openxmlformats.org/drawingml/2006/picture">
                <pic:pic>
                  <pic:nvPicPr>
                    <pic:cNvPr id="0" name="fig4_model_comparison.png"/>
                    <pic:cNvPicPr/>
                  </pic:nvPicPr>
                  <pic:blipFill>
                    <a:blip r:embed="rId13"/>
                    <a:stretch>
                      <a:fillRect/>
                    </a:stretch>
                  </pic:blipFill>
                  <pic:spPr>
                    <a:xfrm>
                      <a:off x="0" y="0"/>
                      <a:ext cx="5669280" cy="1957115"/>
                    </a:xfrm>
                    <a:prstGeom prst="rect"/>
                  </pic:spPr>
                </pic:pic>
              </a:graphicData>
            </a:graphic>
          </wp:inline>
        </w:drawing>
      </w:r>
    </w:p>
    <w:p>
      <w:pPr>
        <w:jc w:val="center"/>
      </w:pPr>
      <w:r>
        <w:rPr>
          <w:i/>
          <w:color w:val="404040"/>
          <w:sz w:val="19"/>
        </w:rPr>
        <w:t>Gambar 5. Perbandingan Performa Forecasting Model Deep Learning pada Data Uji (2023–2026): (a) RMSE, (b) MAPE, (c) R² Score</w:t>
      </w:r>
    </w:p>
    <w:p/>
    <w:p>
      <w:pPr>
        <w:jc w:val="center"/>
      </w:pPr>
      <w:r>
        <w:drawing>
          <wp:inline xmlns:a="http://schemas.openxmlformats.org/drawingml/2006/main" xmlns:pic="http://schemas.openxmlformats.org/drawingml/2006/picture">
            <wp:extent cx="5669280" cy="3625559"/>
            <wp:docPr id="6" name="Picture 6"/>
            <wp:cNvGraphicFramePr>
              <a:graphicFrameLocks noChangeAspect="1"/>
            </wp:cNvGraphicFramePr>
            <a:graphic>
              <a:graphicData uri="http://schemas.openxmlformats.org/drawingml/2006/picture">
                <pic:pic>
                  <pic:nvPicPr>
                    <pic:cNvPr id="0" name="fig5_actual_vs_predicted.png"/>
                    <pic:cNvPicPr/>
                  </pic:nvPicPr>
                  <pic:blipFill>
                    <a:blip r:embed="rId14"/>
                    <a:stretch>
                      <a:fillRect/>
                    </a:stretch>
                  </pic:blipFill>
                  <pic:spPr>
                    <a:xfrm>
                      <a:off x="0" y="0"/>
                      <a:ext cx="5669280" cy="3625559"/>
                    </a:xfrm>
                    <a:prstGeom prst="rect"/>
                  </pic:spPr>
                </pic:pic>
              </a:graphicData>
            </a:graphic>
          </wp:inline>
        </w:drawing>
      </w:r>
    </w:p>
    <w:p>
      <w:pPr>
        <w:jc w:val="center"/>
      </w:pPr>
      <w:r>
        <w:rPr>
          <w:i/>
          <w:color w:val="404040"/>
          <w:sz w:val="19"/>
        </w:rPr>
        <w:t>Gambar 6. Perbandingan Nilai Aktual vs Prediksi USD/IDR oleh Model BiLSTM pada Period Uji (2023–2026) beserta Residual</w:t>
      </w:r>
    </w:p>
    <w:p/>
    <w:p>
      <w:r>
        <w:rPr>
          <w:b w:val="0"/>
          <w:i/>
          <w:sz w:val="20"/>
        </w:rPr>
        <w:t>Gambar 6 memperlihatkan bahwa prediksi BiLSTM (garis merah putus-putus) sangat mengikuti pola data aktual (garis hitam solid). Residual analysis pada panel bawah menunjukkan error yang terdistribusi secara acak dan simetris di sekitar nol, mengindikasikan tidak ada systematic bias dalam model.</w:t>
      </w:r>
    </w:p>
    <w:p/>
    <w:p>
      <w:pPr>
        <w:pBdr>
          <w:bottom w:val="single" w:sz="6" w:space="1" w:color="2E75B6"/>
        </w:pBdr>
      </w:pPr>
    </w:p>
    <w:p/>
    <w:p>
      <w:r>
        <w:rPr>
          <w:b/>
          <w:color w:val="2E75B6"/>
          <w:sz w:val="24"/>
        </w:rPr>
        <w:t>Fase 5: Business Intelligence Insights &amp; Dashboard</w:t>
      </w:r>
    </w:p>
    <w:p/>
    <w:p>
      <w:r>
        <w:rPr>
          <w:b/>
          <w:i w:val="0"/>
          <w:sz w:val="21"/>
        </w:rPr>
        <w:t>5.1 Analisis Feature Importance:</w:t>
      </w:r>
    </w:p>
    <w:p>
      <w:r>
        <w:rPr>
          <w:b w:val="0"/>
          <w:i w:val="0"/>
          <w:sz w:val="21"/>
        </w:rPr>
        <w:t>Menggunakan XGBoost Feature Importance Analysis untuk mengidentifikasi faktor-faktor yang paling berkontribusi dalam prediksi nilai tukar USD/IDR. Hasil analisis disajikan pada gambar berikut:</w:t>
      </w:r>
    </w:p>
    <w:p/>
    <w:p>
      <w:pPr>
        <w:jc w:val="center"/>
      </w:pPr>
      <w:r>
        <w:drawing>
          <wp:inline xmlns:a="http://schemas.openxmlformats.org/drawingml/2006/main" xmlns:pic="http://schemas.openxmlformats.org/drawingml/2006/picture">
            <wp:extent cx="5486400" cy="3175364"/>
            <wp:docPr id="7" name="Picture 7"/>
            <wp:cNvGraphicFramePr>
              <a:graphicFrameLocks noChangeAspect="1"/>
            </wp:cNvGraphicFramePr>
            <a:graphic>
              <a:graphicData uri="http://schemas.openxmlformats.org/drawingml/2006/picture">
                <pic:pic>
                  <pic:nvPicPr>
                    <pic:cNvPr id="0" name="fig6_feature_importance.png"/>
                    <pic:cNvPicPr/>
                  </pic:nvPicPr>
                  <pic:blipFill>
                    <a:blip r:embed="rId15"/>
                    <a:stretch>
                      <a:fillRect/>
                    </a:stretch>
                  </pic:blipFill>
                  <pic:spPr>
                    <a:xfrm>
                      <a:off x="0" y="0"/>
                      <a:ext cx="5486400" cy="3175364"/>
                    </a:xfrm>
                    <a:prstGeom prst="rect"/>
                  </pic:spPr>
                </pic:pic>
              </a:graphicData>
            </a:graphic>
          </wp:inline>
        </w:drawing>
      </w:r>
    </w:p>
    <w:p>
      <w:pPr>
        <w:jc w:val="center"/>
      </w:pPr>
      <w:r>
        <w:rPr>
          <w:i/>
          <w:color w:val="404040"/>
          <w:sz w:val="19"/>
        </w:rPr>
        <w:t>Gambar 7. Analisis Feature Importance XGBoost: Driver Utama Prediksi Nilai Tukar USD/IDR</w:t>
      </w:r>
    </w:p>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2E75B6"/>
          </w:tcPr>
          <w:p>
            <w:pPr>
              <w:jc w:val="center"/>
            </w:pPr>
            <w:r>
              <w:rPr>
                <w:b/>
                <w:color w:val="FFFFFF"/>
                <w:sz w:val="20"/>
              </w:rPr>
              <w:t>Peringkat</w:t>
            </w:r>
          </w:p>
        </w:tc>
        <w:tc>
          <w:tcPr>
            <w:tcW w:type="dxa" w:w="2128"/>
            <w:shd w:val="clear" w:color="auto" w:fill="2E75B6"/>
          </w:tcPr>
          <w:p>
            <w:pPr>
              <w:jc w:val="center"/>
            </w:pPr>
            <w:r>
              <w:rPr>
                <w:b/>
                <w:color w:val="FFFFFF"/>
                <w:sz w:val="20"/>
              </w:rPr>
              <w:t>Fitur</w:t>
            </w:r>
          </w:p>
        </w:tc>
        <w:tc>
          <w:tcPr>
            <w:tcW w:type="dxa" w:w="2128"/>
            <w:shd w:val="clear" w:color="auto" w:fill="2E75B6"/>
          </w:tcPr>
          <w:p>
            <w:pPr>
              <w:jc w:val="center"/>
            </w:pPr>
            <w:r>
              <w:rPr>
                <w:b/>
                <w:color w:val="FFFFFF"/>
                <w:sz w:val="20"/>
              </w:rPr>
              <w:t>Importance (%)</w:t>
            </w:r>
          </w:p>
        </w:tc>
        <w:tc>
          <w:tcPr>
            <w:tcW w:type="dxa" w:w="2128"/>
            <w:shd w:val="clear" w:color="auto" w:fill="2E75B6"/>
          </w:tcPr>
          <w:p>
            <w:pPr>
              <w:jc w:val="center"/>
            </w:pPr>
            <w:r>
              <w:rPr>
                <w:b/>
                <w:color w:val="FFFFFF"/>
                <w:sz w:val="20"/>
              </w:rPr>
              <w:t>Kategori</w:t>
            </w:r>
          </w:p>
        </w:tc>
      </w:tr>
      <w:tr>
        <w:tc>
          <w:tcPr>
            <w:tcW w:type="dxa" w:w="2128"/>
            <w:shd w:val="clear" w:color="auto" w:fill="FFFFFF"/>
          </w:tcPr>
          <w:p>
            <w:pPr>
              <w:jc w:val="center"/>
            </w:pPr>
            <w:r>
              <w:rPr>
                <w:sz w:val="19"/>
              </w:rPr>
              <w:t>1</w:t>
            </w:r>
          </w:p>
        </w:tc>
        <w:tc>
          <w:tcPr>
            <w:tcW w:type="dxa" w:w="2128"/>
            <w:shd w:val="clear" w:color="auto" w:fill="FFFFFF"/>
          </w:tcPr>
          <w:p>
            <w:r>
              <w:rPr>
                <w:b/>
                <w:sz w:val="19"/>
              </w:rPr>
              <w:t>IHSG Lag-1</w:t>
            </w:r>
          </w:p>
        </w:tc>
        <w:tc>
          <w:tcPr>
            <w:tcW w:type="dxa" w:w="2128"/>
            <w:shd w:val="clear" w:color="auto" w:fill="FFFFFF"/>
          </w:tcPr>
          <w:p>
            <w:pPr>
              <w:jc w:val="center"/>
            </w:pPr>
            <w:r>
              <w:rPr>
                <w:sz w:val="19"/>
              </w:rPr>
              <w:t>17.8%</w:t>
            </w:r>
          </w:p>
        </w:tc>
        <w:tc>
          <w:tcPr>
            <w:tcW w:type="dxa" w:w="2128"/>
            <w:shd w:val="clear" w:color="auto" w:fill="FFFFFF"/>
          </w:tcPr>
          <w:p>
            <w:r>
              <w:rPr>
                <w:sz w:val="19"/>
              </w:rPr>
              <w:t>Pasar Saham Domestik</w:t>
            </w:r>
          </w:p>
        </w:tc>
      </w:tr>
      <w:tr>
        <w:tc>
          <w:tcPr>
            <w:tcW w:type="dxa" w:w="2128"/>
            <w:shd w:val="clear" w:color="auto" w:fill="EBF3FB"/>
          </w:tcPr>
          <w:p>
            <w:pPr>
              <w:jc w:val="center"/>
            </w:pPr>
            <w:r>
              <w:rPr>
                <w:sz w:val="19"/>
              </w:rPr>
              <w:t>2</w:t>
            </w:r>
          </w:p>
        </w:tc>
        <w:tc>
          <w:tcPr>
            <w:tcW w:type="dxa" w:w="2128"/>
            <w:shd w:val="clear" w:color="auto" w:fill="EBF3FB"/>
          </w:tcPr>
          <w:p>
            <w:r>
              <w:rPr>
                <w:b/>
                <w:sz w:val="19"/>
              </w:rPr>
              <w:t>S&amp;P 500 Lag-1</w:t>
            </w:r>
          </w:p>
        </w:tc>
        <w:tc>
          <w:tcPr>
            <w:tcW w:type="dxa" w:w="2128"/>
            <w:shd w:val="clear" w:color="auto" w:fill="EBF3FB"/>
          </w:tcPr>
          <w:p>
            <w:pPr>
              <w:jc w:val="center"/>
            </w:pPr>
            <w:r>
              <w:rPr>
                <w:sz w:val="19"/>
              </w:rPr>
              <w:t>13.4%</w:t>
            </w:r>
          </w:p>
        </w:tc>
        <w:tc>
          <w:tcPr>
            <w:tcW w:type="dxa" w:w="2128"/>
            <w:shd w:val="clear" w:color="auto" w:fill="EBF3FB"/>
          </w:tcPr>
          <w:p>
            <w:r>
              <w:rPr>
                <w:sz w:val="19"/>
              </w:rPr>
              <w:t>Pasar Saham AS (Equity)</w:t>
            </w:r>
          </w:p>
        </w:tc>
      </w:tr>
      <w:tr>
        <w:tc>
          <w:tcPr>
            <w:tcW w:type="dxa" w:w="2128"/>
            <w:shd w:val="clear" w:color="auto" w:fill="FFFFFF"/>
          </w:tcPr>
          <w:p>
            <w:pPr>
              <w:jc w:val="center"/>
            </w:pPr>
            <w:r>
              <w:rPr>
                <w:sz w:val="19"/>
              </w:rPr>
              <w:t>3</w:t>
            </w:r>
          </w:p>
        </w:tc>
        <w:tc>
          <w:tcPr>
            <w:tcW w:type="dxa" w:w="2128"/>
            <w:shd w:val="clear" w:color="auto" w:fill="FFFFFF"/>
          </w:tcPr>
          <w:p>
            <w:r>
              <w:rPr>
                <w:b/>
                <w:sz w:val="19"/>
              </w:rPr>
              <w:t>Brent Oil Lag-1</w:t>
            </w:r>
          </w:p>
        </w:tc>
        <w:tc>
          <w:tcPr>
            <w:tcW w:type="dxa" w:w="2128"/>
            <w:shd w:val="clear" w:color="auto" w:fill="FFFFFF"/>
          </w:tcPr>
          <w:p>
            <w:pPr>
              <w:jc w:val="center"/>
            </w:pPr>
            <w:r>
              <w:rPr>
                <w:sz w:val="19"/>
              </w:rPr>
              <w:t>9.2%</w:t>
            </w:r>
          </w:p>
        </w:tc>
        <w:tc>
          <w:tcPr>
            <w:tcW w:type="dxa" w:w="2128"/>
            <w:shd w:val="clear" w:color="auto" w:fill="FFFFFF"/>
          </w:tcPr>
          <w:p>
            <w:r>
              <w:rPr>
                <w:sz w:val="19"/>
              </w:rPr>
              <w:t>Komoditas Energi</w:t>
            </w:r>
          </w:p>
        </w:tc>
      </w:tr>
      <w:tr>
        <w:tc>
          <w:tcPr>
            <w:tcW w:type="dxa" w:w="2128"/>
            <w:shd w:val="clear" w:color="auto" w:fill="EBF3FB"/>
          </w:tcPr>
          <w:p>
            <w:pPr>
              <w:jc w:val="center"/>
            </w:pPr>
            <w:r>
              <w:rPr>
                <w:sz w:val="19"/>
              </w:rPr>
              <w:t>4</w:t>
            </w:r>
          </w:p>
        </w:tc>
        <w:tc>
          <w:tcPr>
            <w:tcW w:type="dxa" w:w="2128"/>
            <w:shd w:val="clear" w:color="auto" w:fill="EBF3FB"/>
          </w:tcPr>
          <w:p>
            <w:r>
              <w:rPr>
                <w:b/>
                <w:sz w:val="19"/>
              </w:rPr>
              <w:t>MACD (USD/IDR)</w:t>
            </w:r>
          </w:p>
        </w:tc>
        <w:tc>
          <w:tcPr>
            <w:tcW w:type="dxa" w:w="2128"/>
            <w:shd w:val="clear" w:color="auto" w:fill="EBF3FB"/>
          </w:tcPr>
          <w:p>
            <w:pPr>
              <w:jc w:val="center"/>
            </w:pPr>
            <w:r>
              <w:rPr>
                <w:sz w:val="19"/>
              </w:rPr>
              <w:t>8.7%</w:t>
            </w:r>
          </w:p>
        </w:tc>
        <w:tc>
          <w:tcPr>
            <w:tcW w:type="dxa" w:w="2128"/>
            <w:shd w:val="clear" w:color="auto" w:fill="EBF3FB"/>
          </w:tcPr>
          <w:p>
            <w:r>
              <w:rPr>
                <w:sz w:val="19"/>
              </w:rPr>
              <w:t>Technical Indicator</w:t>
            </w:r>
          </w:p>
        </w:tc>
      </w:tr>
      <w:tr>
        <w:tc>
          <w:tcPr>
            <w:tcW w:type="dxa" w:w="2128"/>
            <w:shd w:val="clear" w:color="auto" w:fill="FFFFFF"/>
          </w:tcPr>
          <w:p>
            <w:pPr>
              <w:jc w:val="center"/>
            </w:pPr>
            <w:r>
              <w:rPr>
                <w:sz w:val="19"/>
              </w:rPr>
              <w:t>5</w:t>
            </w:r>
          </w:p>
        </w:tc>
        <w:tc>
          <w:tcPr>
            <w:tcW w:type="dxa" w:w="2128"/>
            <w:shd w:val="clear" w:color="auto" w:fill="FFFFFF"/>
          </w:tcPr>
          <w:p>
            <w:r>
              <w:rPr>
                <w:b/>
                <w:sz w:val="19"/>
              </w:rPr>
              <w:t>Gold Lag-7</w:t>
            </w:r>
          </w:p>
        </w:tc>
        <w:tc>
          <w:tcPr>
            <w:tcW w:type="dxa" w:w="2128"/>
            <w:shd w:val="clear" w:color="auto" w:fill="FFFFFF"/>
          </w:tcPr>
          <w:p>
            <w:pPr>
              <w:jc w:val="center"/>
            </w:pPr>
            <w:r>
              <w:rPr>
                <w:sz w:val="19"/>
              </w:rPr>
              <w:t>6.1%</w:t>
            </w:r>
          </w:p>
        </w:tc>
        <w:tc>
          <w:tcPr>
            <w:tcW w:type="dxa" w:w="2128"/>
            <w:shd w:val="clear" w:color="auto" w:fill="FFFFFF"/>
          </w:tcPr>
          <w:p>
            <w:r>
              <w:rPr>
                <w:sz w:val="19"/>
              </w:rPr>
              <w:t>Technical Indicator (Komoditas)</w:t>
            </w:r>
          </w:p>
        </w:tc>
      </w:tr>
      <w:tr>
        <w:tc>
          <w:tcPr>
            <w:tcW w:type="dxa" w:w="2128"/>
            <w:shd w:val="clear" w:color="auto" w:fill="EBF3FB"/>
          </w:tcPr>
          <w:p>
            <w:pPr>
              <w:jc w:val="center"/>
            </w:pPr>
            <w:r>
              <w:rPr>
                <w:sz w:val="19"/>
              </w:rPr>
              <w:t>6</w:t>
            </w:r>
          </w:p>
        </w:tc>
        <w:tc>
          <w:tcPr>
            <w:tcW w:type="dxa" w:w="2128"/>
            <w:shd w:val="clear" w:color="auto" w:fill="EBF3FB"/>
          </w:tcPr>
          <w:p>
            <w:r>
              <w:rPr>
                <w:b/>
                <w:sz w:val="19"/>
              </w:rPr>
              <w:t>Nasdaq Lag-1</w:t>
            </w:r>
          </w:p>
        </w:tc>
        <w:tc>
          <w:tcPr>
            <w:tcW w:type="dxa" w:w="2128"/>
            <w:shd w:val="clear" w:color="auto" w:fill="EBF3FB"/>
          </w:tcPr>
          <w:p>
            <w:pPr>
              <w:jc w:val="center"/>
            </w:pPr>
            <w:r>
              <w:rPr>
                <w:sz w:val="19"/>
              </w:rPr>
              <w:t>5.8%</w:t>
            </w:r>
          </w:p>
        </w:tc>
        <w:tc>
          <w:tcPr>
            <w:tcW w:type="dxa" w:w="2128"/>
            <w:shd w:val="clear" w:color="auto" w:fill="EBF3FB"/>
          </w:tcPr>
          <w:p>
            <w:r>
              <w:rPr>
                <w:sz w:val="19"/>
              </w:rPr>
              <w:t>Pasar Saham AS</w:t>
            </w:r>
          </w:p>
        </w:tc>
      </w:tr>
      <w:tr>
        <w:tc>
          <w:tcPr>
            <w:tcW w:type="dxa" w:w="2128"/>
            <w:shd w:val="clear" w:color="auto" w:fill="FFFFFF"/>
          </w:tcPr>
          <w:p>
            <w:pPr>
              <w:jc w:val="center"/>
            </w:pPr>
            <w:r>
              <w:rPr>
                <w:sz w:val="19"/>
              </w:rPr>
              <w:t>7</w:t>
            </w:r>
          </w:p>
        </w:tc>
        <w:tc>
          <w:tcPr>
            <w:tcW w:type="dxa" w:w="2128"/>
            <w:shd w:val="clear" w:color="auto" w:fill="FFFFFF"/>
          </w:tcPr>
          <w:p>
            <w:r>
              <w:rPr>
                <w:b/>
                <w:sz w:val="19"/>
              </w:rPr>
              <w:t>Bitcoin Lag-1</w:t>
            </w:r>
          </w:p>
        </w:tc>
        <w:tc>
          <w:tcPr>
            <w:tcW w:type="dxa" w:w="2128"/>
            <w:shd w:val="clear" w:color="auto" w:fill="FFFFFF"/>
          </w:tcPr>
          <w:p>
            <w:pPr>
              <w:jc w:val="center"/>
            </w:pPr>
            <w:r>
              <w:rPr>
                <w:sz w:val="19"/>
              </w:rPr>
              <w:t>4.2%</w:t>
            </w:r>
          </w:p>
        </w:tc>
        <w:tc>
          <w:tcPr>
            <w:tcW w:type="dxa" w:w="2128"/>
            <w:shd w:val="clear" w:color="auto" w:fill="FFFFFF"/>
          </w:tcPr>
          <w:p>
            <w:r>
              <w:rPr>
                <w:sz w:val="19"/>
              </w:rPr>
              <w:t>Aset Digital</w:t>
            </w:r>
          </w:p>
        </w:tc>
      </w:tr>
      <w:tr>
        <w:tc>
          <w:tcPr>
            <w:tcW w:type="dxa" w:w="2128"/>
            <w:shd w:val="clear" w:color="auto" w:fill="EBF3FB"/>
          </w:tcPr>
          <w:p>
            <w:pPr>
              <w:jc w:val="center"/>
            </w:pPr>
            <w:r>
              <w:rPr>
                <w:sz w:val="19"/>
              </w:rPr>
              <w:t>8</w:t>
            </w:r>
          </w:p>
        </w:tc>
        <w:tc>
          <w:tcPr>
            <w:tcW w:type="dxa" w:w="2128"/>
            <w:shd w:val="clear" w:color="auto" w:fill="EBF3FB"/>
          </w:tcPr>
          <w:p>
            <w:r>
              <w:rPr>
                <w:b/>
                <w:sz w:val="19"/>
              </w:rPr>
              <w:t>Crude Oil Return</w:t>
            </w:r>
          </w:p>
        </w:tc>
        <w:tc>
          <w:tcPr>
            <w:tcW w:type="dxa" w:w="2128"/>
            <w:shd w:val="clear" w:color="auto" w:fill="EBF3FB"/>
          </w:tcPr>
          <w:p>
            <w:pPr>
              <w:jc w:val="center"/>
            </w:pPr>
            <w:r>
              <w:rPr>
                <w:sz w:val="19"/>
              </w:rPr>
              <w:t>3.9%</w:t>
            </w:r>
          </w:p>
        </w:tc>
        <w:tc>
          <w:tcPr>
            <w:tcW w:type="dxa" w:w="2128"/>
            <w:shd w:val="clear" w:color="auto" w:fill="EBF3FB"/>
          </w:tcPr>
          <w:p>
            <w:r>
              <w:rPr>
                <w:sz w:val="19"/>
              </w:rPr>
              <w:t>Komoditas Energi</w:t>
            </w:r>
          </w:p>
        </w:tc>
      </w:tr>
      <w:tr>
        <w:tc>
          <w:tcPr>
            <w:tcW w:type="dxa" w:w="2128"/>
            <w:shd w:val="clear" w:color="auto" w:fill="FFFFFF"/>
          </w:tcPr>
          <w:p>
            <w:pPr>
              <w:jc w:val="center"/>
            </w:pPr>
            <w:r>
              <w:rPr>
                <w:sz w:val="19"/>
              </w:rPr>
              <w:t>9</w:t>
            </w:r>
          </w:p>
        </w:tc>
        <w:tc>
          <w:tcPr>
            <w:tcW w:type="dxa" w:w="2128"/>
            <w:shd w:val="clear" w:color="auto" w:fill="FFFFFF"/>
          </w:tcPr>
          <w:p>
            <w:r>
              <w:rPr>
                <w:b/>
                <w:sz w:val="19"/>
              </w:rPr>
              <w:t>RSI-14 (USD/IDR)</w:t>
            </w:r>
          </w:p>
        </w:tc>
        <w:tc>
          <w:tcPr>
            <w:tcW w:type="dxa" w:w="2128"/>
            <w:shd w:val="clear" w:color="auto" w:fill="FFFFFF"/>
          </w:tcPr>
          <w:p>
            <w:pPr>
              <w:jc w:val="center"/>
            </w:pPr>
            <w:r>
              <w:rPr>
                <w:sz w:val="19"/>
              </w:rPr>
              <w:t>3.7%</w:t>
            </w:r>
          </w:p>
        </w:tc>
        <w:tc>
          <w:tcPr>
            <w:tcW w:type="dxa" w:w="2128"/>
            <w:shd w:val="clear" w:color="auto" w:fill="FFFFFF"/>
          </w:tcPr>
          <w:p>
            <w:r>
              <w:rPr>
                <w:sz w:val="19"/>
              </w:rPr>
              <w:t>Technical Indicator</w:t>
            </w:r>
          </w:p>
        </w:tc>
      </w:tr>
      <w:tr>
        <w:tc>
          <w:tcPr>
            <w:tcW w:type="dxa" w:w="2128"/>
            <w:shd w:val="clear" w:color="auto" w:fill="EBF3FB"/>
          </w:tcPr>
          <w:p>
            <w:pPr>
              <w:jc w:val="center"/>
            </w:pPr>
            <w:r>
              <w:rPr>
                <w:sz w:val="19"/>
              </w:rPr>
              <w:t>10</w:t>
            </w:r>
          </w:p>
        </w:tc>
        <w:tc>
          <w:tcPr>
            <w:tcW w:type="dxa" w:w="2128"/>
            <w:shd w:val="clear" w:color="auto" w:fill="EBF3FB"/>
          </w:tcPr>
          <w:p>
            <w:r>
              <w:rPr>
                <w:b/>
                <w:sz w:val="19"/>
              </w:rPr>
              <w:t>Dow Jones Lag-1</w:t>
            </w:r>
          </w:p>
        </w:tc>
        <w:tc>
          <w:tcPr>
            <w:tcW w:type="dxa" w:w="2128"/>
            <w:shd w:val="clear" w:color="auto" w:fill="EBF3FB"/>
          </w:tcPr>
          <w:p>
            <w:pPr>
              <w:jc w:val="center"/>
            </w:pPr>
            <w:r>
              <w:rPr>
                <w:sz w:val="19"/>
              </w:rPr>
              <w:t>3.5%</w:t>
            </w:r>
          </w:p>
        </w:tc>
        <w:tc>
          <w:tcPr>
            <w:tcW w:type="dxa" w:w="2128"/>
            <w:shd w:val="clear" w:color="auto" w:fill="EBF3FB"/>
          </w:tcPr>
          <w:p>
            <w:r>
              <w:rPr>
                <w:sz w:val="19"/>
              </w:rPr>
              <w:t>Pasar Saham AS</w:t>
            </w:r>
          </w:p>
        </w:tc>
      </w:tr>
    </w:tbl>
    <w:p/>
    <w:p>
      <w:r>
        <w:rPr>
          <w:b w:val="0"/>
          <w:i/>
          <w:sz w:val="20"/>
        </w:rPr>
        <w:t>Temuan kunci: IHSG (Indeks Harga Saham Gabungan) merupakan prediktor lag terpenting (17.8%), diikuti oleh S&amp;P 500 (13.4%) dan Brent Oil (9.2%). Hal ini mengkonfirmasi bahwa kinerja pasar saham domestik dan global memiliki pengaruh signifikan terhadap pergerakan nilai tukar Rupiah pada hari berikutnya.</w:t>
      </w:r>
    </w:p>
    <w:p/>
    <w:p>
      <w:r>
        <w:rPr>
          <w:b/>
          <w:i w:val="0"/>
          <w:sz w:val="21"/>
        </w:rPr>
        <w:t>5.2 Business Intelligence Dashboard:</w:t>
      </w:r>
    </w:p>
    <w:p>
      <w:r>
        <w:rPr>
          <w:b w:val="0"/>
          <w:i w:val="0"/>
          <w:sz w:val="21"/>
        </w:rPr>
        <w:t>Sebagai output akhir, dibuat dashboard interaktif menggunakan Plotly yang menampilkan:</w:t>
      </w:r>
    </w:p>
    <w:p>
      <w:pPr>
        <w:pStyle w:val="ListBullet"/>
        <w:ind w:left="432"/>
      </w:pPr>
      <w:r>
        <w:rPr>
          <w:sz w:val="21"/>
        </w:rPr>
        <w:t>KPI Card #1: Nilai terkini USD/IDR dengan indikator delta perubahan (%)</w:t>
      </w:r>
    </w:p>
    <w:p>
      <w:pPr>
        <w:pStyle w:val="ListBullet"/>
        <w:ind w:left="432"/>
      </w:pPr>
      <w:r>
        <w:rPr>
          <w:sz w:val="21"/>
        </w:rPr>
        <w:t>KPI Card #2: MAPE model terbaik sebagai ukuran akurasi forecasting</w:t>
      </w:r>
    </w:p>
    <w:p>
      <w:pPr>
        <w:pStyle w:val="ListBullet"/>
        <w:ind w:left="432"/>
      </w:pPr>
      <w:r>
        <w:rPr>
          <w:sz w:val="21"/>
        </w:rPr>
        <w:t>Panel Utama: Grafik Aktual vs Prediksi BiLSTM untuk data uji 2023–2026</w:t>
      </w:r>
    </w:p>
    <w:p>
      <w:pPr>
        <w:pStyle w:val="ListBullet"/>
        <w:ind w:left="432"/>
      </w:pPr>
      <w:r>
        <w:rPr>
          <w:sz w:val="21"/>
        </w:rPr>
        <w:t>Panel IHSG: Tren historis IHSG sebagai komponen pendorong utama</w:t>
      </w:r>
    </w:p>
    <w:p>
      <w:pPr>
        <w:pStyle w:val="ListBullet"/>
        <w:ind w:left="432"/>
      </w:pPr>
      <w:r>
        <w:rPr>
          <w:sz w:val="21"/>
        </w:rPr>
        <w:t>Panel Komoditas: Perbandingan pergerakan harga Crude Oil vs Gold</w:t>
      </w:r>
    </w:p>
    <w:p/>
    <w:p>
      <w:pPr>
        <w:pBdr>
          <w:bottom w:val="single" w:sz="6" w:space="1" w:color="2E75B6"/>
        </w:pBdr>
      </w:pPr>
    </w:p>
    <w:p/>
    <w:p>
      <w:r>
        <w:rPr>
          <w:b/>
          <w:color w:val="1F497D"/>
          <w:sz w:val="28"/>
        </w:rPr>
        <w:t>BAGIAN 6: LEMBAR PENGAMATAN &amp; ANALISIS MAHASISWA</w:t>
      </w:r>
    </w:p>
    <w:p/>
    <w:p>
      <w:r>
        <w:rPr>
          <w:b w:val="0"/>
          <w:i w:val="0"/>
          <w:sz w:val="21"/>
        </w:rPr>
        <w:t>Gunakan tabel di bawah ini untuk mencatat hasil pengamatan selama praktikum berlangsung. Isilah setiap kolom berdasarkan output yang Anda peroleh dari Jupyter Notebook.</w:t>
      </w:r>
    </w:p>
    <w:p/>
    <w:p>
      <w:r>
        <w:rPr>
          <w:b/>
          <w:color w:val="2E75B6"/>
          <w:sz w:val="24"/>
        </w:rPr>
        <w:t>6.1 Tabel Pengamatan EDA</w:t>
      </w:r>
    </w:p>
    <w:tbl>
      <w:tblPr>
        <w:tblStyle w:val="TableGrid"/>
        <w:tblW w:type="auto" w:w="0"/>
        <w:tblLook w:firstColumn="1" w:firstRow="1" w:lastColumn="0" w:lastRow="0" w:noHBand="0" w:noVBand="1" w:val="04A0"/>
      </w:tblPr>
      <w:tblGrid>
        <w:gridCol w:w="4255"/>
        <w:gridCol w:w="4255"/>
      </w:tblGrid>
      <w:tr>
        <w:tc>
          <w:tcPr>
            <w:tcW w:type="dxa" w:w="4255"/>
            <w:shd w:val="clear" w:color="auto" w:fill="2E75B6"/>
          </w:tcPr>
          <w:p>
            <w:r>
              <w:rPr>
                <w:b/>
                <w:color w:val="FFFFFF"/>
                <w:sz w:val="20"/>
              </w:rPr>
              <w:t>Aspek Pengamatan</w:t>
            </w:r>
          </w:p>
        </w:tc>
        <w:tc>
          <w:tcPr>
            <w:tcW w:type="dxa" w:w="4255"/>
            <w:shd w:val="clear" w:color="auto" w:fill="2E75B6"/>
          </w:tcPr>
          <w:p>
            <w:r>
              <w:rPr>
                <w:b/>
                <w:color w:val="FFFFFF"/>
                <w:sz w:val="20"/>
              </w:rPr>
              <w:t>Hasil Pengamatan Mahasiswa</w:t>
            </w:r>
          </w:p>
        </w:tc>
      </w:tr>
      <w:tr>
        <w:tc>
          <w:tcPr>
            <w:tcW w:type="dxa" w:w="4255"/>
            <w:shd w:val="clear" w:color="auto" w:fill="EBF3FB"/>
          </w:tcPr>
          <w:p>
            <w:r>
              <w:rPr>
                <w:b/>
                <w:sz w:val="20"/>
              </w:rPr>
              <w:t>Jumlah baris data setelah cleaning</w:t>
            </w:r>
          </w:p>
        </w:tc>
        <w:tc>
          <w:tcPr>
            <w:tcW w:type="dxa" w:w="4255"/>
          </w:tcPr>
          <w:p>
            <w:r/>
            <w:r/>
            <w:r/>
          </w:p>
        </w:tc>
      </w:tr>
      <w:tr>
        <w:tc>
          <w:tcPr>
            <w:tcW w:type="dxa" w:w="4255"/>
            <w:shd w:val="clear" w:color="auto" w:fill="EBF3FB"/>
          </w:tcPr>
          <w:p>
            <w:r>
              <w:rPr>
                <w:b/>
                <w:sz w:val="20"/>
              </w:rPr>
              <w:t>Nilai USD/IDR tertinggi (peak)</w:t>
            </w:r>
          </w:p>
        </w:tc>
        <w:tc>
          <w:tcPr>
            <w:tcW w:type="dxa" w:w="4255"/>
          </w:tcPr>
          <w:p>
            <w:r/>
            <w:r/>
            <w:r/>
          </w:p>
        </w:tc>
      </w:tr>
      <w:tr>
        <w:tc>
          <w:tcPr>
            <w:tcW w:type="dxa" w:w="4255"/>
            <w:shd w:val="clear" w:color="auto" w:fill="EBF3FB"/>
          </w:tcPr>
          <w:p>
            <w:r>
              <w:rPr>
                <w:b/>
                <w:sz w:val="20"/>
              </w:rPr>
              <w:t>Nilai USD/IDR terendah (trough)</w:t>
            </w:r>
          </w:p>
        </w:tc>
        <w:tc>
          <w:tcPr>
            <w:tcW w:type="dxa" w:w="4255"/>
          </w:tcPr>
          <w:p>
            <w:r/>
            <w:r/>
            <w:r/>
          </w:p>
        </w:tc>
      </w:tr>
      <w:tr>
        <w:tc>
          <w:tcPr>
            <w:tcW w:type="dxa" w:w="4255"/>
            <w:shd w:val="clear" w:color="auto" w:fill="EBF3FB"/>
          </w:tcPr>
          <w:p>
            <w:r>
              <w:rPr>
                <w:b/>
                <w:sz w:val="20"/>
              </w:rPr>
              <w:t>Instrumen dengan korelasi tertinggi terhadap USD/IDR</w:t>
            </w:r>
          </w:p>
        </w:tc>
        <w:tc>
          <w:tcPr>
            <w:tcW w:type="dxa" w:w="4255"/>
          </w:tcPr>
          <w:p>
            <w:r/>
            <w:r/>
            <w:r/>
          </w:p>
        </w:tc>
      </w:tr>
      <w:tr>
        <w:tc>
          <w:tcPr>
            <w:tcW w:type="dxa" w:w="4255"/>
            <w:shd w:val="clear" w:color="auto" w:fill="EBF3FB"/>
          </w:tcPr>
          <w:p>
            <w:r>
              <w:rPr>
                <w:b/>
                <w:sz w:val="20"/>
              </w:rPr>
              <w:t>Instrumen dengan korelasi terendah terhadap USD/IDR</w:t>
            </w:r>
          </w:p>
        </w:tc>
        <w:tc>
          <w:tcPr>
            <w:tcW w:type="dxa" w:w="4255"/>
          </w:tcPr>
          <w:p>
            <w:r/>
            <w:r/>
            <w:r/>
          </w:p>
        </w:tc>
      </w:tr>
    </w:tbl>
    <w:p/>
    <w:p>
      <w:r>
        <w:rPr>
          <w:b/>
          <w:color w:val="2E75B6"/>
          <w:sz w:val="24"/>
        </w:rPr>
        <w:t>6.2 Tabel Hasil Pelatihan Model</w:t>
      </w:r>
    </w:p>
    <w:tbl>
      <w:tblPr>
        <w:tblStyle w:val="TableGrid"/>
        <w:tblW w:type="auto" w:w="0"/>
        <w:tblLook w:firstColumn="1" w:firstRow="1" w:lastColumn="0" w:lastRow="0" w:noHBand="0" w:noVBand="1" w:val="04A0"/>
      </w:tblPr>
      <w:tblGrid>
        <w:gridCol w:w="1418"/>
        <w:gridCol w:w="1418"/>
        <w:gridCol w:w="1418"/>
        <w:gridCol w:w="1418"/>
        <w:gridCol w:w="1418"/>
        <w:gridCol w:w="1418"/>
      </w:tblGrid>
      <w:tr>
        <w:tc>
          <w:tcPr>
            <w:tcW w:type="dxa" w:w="1418"/>
            <w:shd w:val="clear" w:color="auto" w:fill="7030A0"/>
          </w:tcPr>
          <w:p>
            <w:pPr>
              <w:jc w:val="center"/>
            </w:pPr>
            <w:r>
              <w:rPr>
                <w:b/>
                <w:color w:val="FFFFFF"/>
                <w:sz w:val="19"/>
              </w:rPr>
              <w:t>Model</w:t>
            </w:r>
          </w:p>
        </w:tc>
        <w:tc>
          <w:tcPr>
            <w:tcW w:type="dxa" w:w="1418"/>
            <w:shd w:val="clear" w:color="auto" w:fill="7030A0"/>
          </w:tcPr>
          <w:p>
            <w:pPr>
              <w:jc w:val="center"/>
            </w:pPr>
            <w:r>
              <w:rPr>
                <w:b/>
                <w:color w:val="FFFFFF"/>
                <w:sz w:val="19"/>
              </w:rPr>
              <w:t>Epoch Terbaik</w:t>
            </w:r>
          </w:p>
        </w:tc>
        <w:tc>
          <w:tcPr>
            <w:tcW w:type="dxa" w:w="1418"/>
            <w:shd w:val="clear" w:color="auto" w:fill="7030A0"/>
          </w:tcPr>
          <w:p>
            <w:pPr>
              <w:jc w:val="center"/>
            </w:pPr>
            <w:r>
              <w:rPr>
                <w:b/>
                <w:color w:val="FFFFFF"/>
                <w:sz w:val="19"/>
              </w:rPr>
              <w:t>Train Loss</w:t>
            </w:r>
          </w:p>
        </w:tc>
        <w:tc>
          <w:tcPr>
            <w:tcW w:type="dxa" w:w="1418"/>
            <w:shd w:val="clear" w:color="auto" w:fill="7030A0"/>
          </w:tcPr>
          <w:p>
            <w:pPr>
              <w:jc w:val="center"/>
            </w:pPr>
            <w:r>
              <w:rPr>
                <w:b/>
                <w:color w:val="FFFFFF"/>
                <w:sz w:val="19"/>
              </w:rPr>
              <w:t>Val Loss</w:t>
            </w:r>
          </w:p>
        </w:tc>
        <w:tc>
          <w:tcPr>
            <w:tcW w:type="dxa" w:w="1418"/>
            <w:shd w:val="clear" w:color="auto" w:fill="7030A0"/>
          </w:tcPr>
          <w:p>
            <w:pPr>
              <w:jc w:val="center"/>
            </w:pPr>
            <w:r>
              <w:rPr>
                <w:b/>
                <w:color w:val="FFFFFF"/>
                <w:sz w:val="19"/>
              </w:rPr>
              <w:t>Waktu Training</w:t>
            </w:r>
          </w:p>
        </w:tc>
        <w:tc>
          <w:tcPr>
            <w:tcW w:type="dxa" w:w="1418"/>
            <w:shd w:val="clear" w:color="auto" w:fill="7030A0"/>
          </w:tcPr>
          <w:p>
            <w:pPr>
              <w:jc w:val="center"/>
            </w:pPr>
            <w:r>
              <w:rPr>
                <w:b/>
                <w:color w:val="FFFFFF"/>
                <w:sz w:val="19"/>
              </w:rPr>
              <w:t>Catatan</w:t>
            </w:r>
          </w:p>
        </w:tc>
      </w:tr>
      <w:tr>
        <w:tc>
          <w:tcPr>
            <w:tcW w:type="dxa" w:w="1418"/>
            <w:shd w:val="clear" w:color="auto" w:fill="FFFFFF"/>
          </w:tcPr>
          <w:p>
            <w:r>
              <w:rPr>
                <w:b/>
                <w:sz w:val="20"/>
              </w:rPr>
              <w:t>LSTM</w:t>
            </w: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r>
      <w:tr>
        <w:tc>
          <w:tcPr>
            <w:tcW w:type="dxa" w:w="1418"/>
            <w:shd w:val="clear" w:color="auto" w:fill="F2EEFA"/>
          </w:tcPr>
          <w:p>
            <w:r>
              <w:rPr>
                <w:b/>
                <w:sz w:val="20"/>
              </w:rPr>
              <w:t>BiLSTM</w:t>
            </w:r>
          </w:p>
        </w:tc>
        <w:tc>
          <w:tcPr>
            <w:tcW w:type="dxa" w:w="1418"/>
            <w:shd w:val="clear" w:color="auto" w:fill="F2EEFA"/>
          </w:tcPr>
          <w:p/>
        </w:tc>
        <w:tc>
          <w:tcPr>
            <w:tcW w:type="dxa" w:w="1418"/>
            <w:shd w:val="clear" w:color="auto" w:fill="F2EEFA"/>
          </w:tcPr>
          <w:p/>
        </w:tc>
        <w:tc>
          <w:tcPr>
            <w:tcW w:type="dxa" w:w="1418"/>
            <w:shd w:val="clear" w:color="auto" w:fill="F2EEFA"/>
          </w:tcPr>
          <w:p/>
        </w:tc>
        <w:tc>
          <w:tcPr>
            <w:tcW w:type="dxa" w:w="1418"/>
            <w:shd w:val="clear" w:color="auto" w:fill="F2EEFA"/>
          </w:tcPr>
          <w:p/>
        </w:tc>
        <w:tc>
          <w:tcPr>
            <w:tcW w:type="dxa" w:w="1418"/>
            <w:shd w:val="clear" w:color="auto" w:fill="F2EEFA"/>
          </w:tcPr>
          <w:p/>
        </w:tc>
      </w:tr>
      <w:tr>
        <w:tc>
          <w:tcPr>
            <w:tcW w:type="dxa" w:w="1418"/>
            <w:shd w:val="clear" w:color="auto" w:fill="FFFFFF"/>
          </w:tcPr>
          <w:p>
            <w:r>
              <w:rPr>
                <w:b/>
                <w:sz w:val="20"/>
              </w:rPr>
              <w:t>GRU</w:t>
            </w: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r>
      <w:tr>
        <w:tc>
          <w:tcPr>
            <w:tcW w:type="dxa" w:w="1418"/>
            <w:shd w:val="clear" w:color="auto" w:fill="FFFFFF"/>
          </w:tcPr>
          <w:p>
            <w:r>
              <w:rPr>
                <w:b/>
                <w:sz w:val="20"/>
              </w:rPr>
              <w:t>CNN-LSTM</w:t>
            </w: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r>
      <w:tr>
        <w:tc>
          <w:tcPr>
            <w:tcW w:type="dxa" w:w="1418"/>
            <w:shd w:val="clear" w:color="auto" w:fill="FFFFFF"/>
          </w:tcPr>
          <w:p>
            <w:r>
              <w:rPr>
                <w:b/>
                <w:sz w:val="20"/>
              </w:rPr>
              <w:t>XGBoost</w:t>
            </w: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r>
    </w:tbl>
    <w:p/>
    <w:p>
      <w:r>
        <w:rPr>
          <w:b/>
          <w:color w:val="2E75B6"/>
          <w:sz w:val="24"/>
        </w:rPr>
        <w:t>6.3 Tabel Evaluasi Performa Model (Isi berdasarkan hasil running Anda)</w:t>
      </w:r>
    </w:p>
    <w:tbl>
      <w:tblPr>
        <w:tblStyle w:val="TableGrid"/>
        <w:tblW w:type="auto" w:w="0"/>
        <w:tblLook w:firstColumn="1" w:firstRow="1" w:lastColumn="0" w:lastRow="0" w:noHBand="0" w:noVBand="1" w:val="04A0"/>
      </w:tblPr>
      <w:tblGrid>
        <w:gridCol w:w="1418"/>
        <w:gridCol w:w="1418"/>
        <w:gridCol w:w="1418"/>
        <w:gridCol w:w="1418"/>
        <w:gridCol w:w="1418"/>
        <w:gridCol w:w="1418"/>
      </w:tblGrid>
      <w:tr>
        <w:tc>
          <w:tcPr>
            <w:tcW w:type="dxa" w:w="1418"/>
            <w:shd w:val="clear" w:color="auto" w:fill="C00000"/>
          </w:tcPr>
          <w:p>
            <w:pPr>
              <w:jc w:val="center"/>
            </w:pPr>
            <w:r>
              <w:rPr>
                <w:b/>
                <w:color w:val="FFFFFF"/>
                <w:sz w:val="20"/>
              </w:rPr>
              <w:t>Model</w:t>
            </w:r>
          </w:p>
        </w:tc>
        <w:tc>
          <w:tcPr>
            <w:tcW w:type="dxa" w:w="1418"/>
            <w:shd w:val="clear" w:color="auto" w:fill="C00000"/>
          </w:tcPr>
          <w:p>
            <w:pPr>
              <w:jc w:val="center"/>
            </w:pPr>
            <w:r>
              <w:rPr>
                <w:b/>
                <w:color w:val="FFFFFF"/>
                <w:sz w:val="20"/>
              </w:rPr>
              <w:t>RMSE</w:t>
            </w:r>
          </w:p>
        </w:tc>
        <w:tc>
          <w:tcPr>
            <w:tcW w:type="dxa" w:w="1418"/>
            <w:shd w:val="clear" w:color="auto" w:fill="C00000"/>
          </w:tcPr>
          <w:p>
            <w:pPr>
              <w:jc w:val="center"/>
            </w:pPr>
            <w:r>
              <w:rPr>
                <w:b/>
                <w:color w:val="FFFFFF"/>
                <w:sz w:val="20"/>
              </w:rPr>
              <w:t>MAE</w:t>
            </w:r>
          </w:p>
        </w:tc>
        <w:tc>
          <w:tcPr>
            <w:tcW w:type="dxa" w:w="1418"/>
            <w:shd w:val="clear" w:color="auto" w:fill="C00000"/>
          </w:tcPr>
          <w:p>
            <w:pPr>
              <w:jc w:val="center"/>
            </w:pPr>
            <w:r>
              <w:rPr>
                <w:b/>
                <w:color w:val="FFFFFF"/>
                <w:sz w:val="20"/>
              </w:rPr>
              <w:t>MAPE (%)</w:t>
            </w:r>
          </w:p>
        </w:tc>
        <w:tc>
          <w:tcPr>
            <w:tcW w:type="dxa" w:w="1418"/>
            <w:shd w:val="clear" w:color="auto" w:fill="C00000"/>
          </w:tcPr>
          <w:p>
            <w:pPr>
              <w:jc w:val="center"/>
            </w:pPr>
            <w:r>
              <w:rPr>
                <w:b/>
                <w:color w:val="FFFFFF"/>
                <w:sz w:val="20"/>
              </w:rPr>
              <w:t>R² Score</w:t>
            </w:r>
          </w:p>
        </w:tc>
        <w:tc>
          <w:tcPr>
            <w:tcW w:type="dxa" w:w="1418"/>
            <w:shd w:val="clear" w:color="auto" w:fill="C00000"/>
          </w:tcPr>
          <w:p>
            <w:pPr>
              <w:jc w:val="center"/>
            </w:pPr>
            <w:r>
              <w:rPr>
                <w:b/>
                <w:color w:val="FFFFFF"/>
                <w:sz w:val="20"/>
              </w:rPr>
              <w:t>Ranking</w:t>
            </w:r>
          </w:p>
        </w:tc>
      </w:tr>
      <w:tr>
        <w:tc>
          <w:tcPr>
            <w:tcW w:type="dxa" w:w="1418"/>
            <w:shd w:val="clear" w:color="auto" w:fill="FFFFFF"/>
          </w:tcPr>
          <w:p>
            <w:r>
              <w:rPr>
                <w:b/>
                <w:sz w:val="20"/>
              </w:rPr>
              <w:t>LSTM</w:t>
            </w: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r>
      <w:tr>
        <w:tc>
          <w:tcPr>
            <w:tcW w:type="dxa" w:w="1418"/>
            <w:shd w:val="clear" w:color="auto" w:fill="FFFFFF"/>
          </w:tcPr>
          <w:p>
            <w:r>
              <w:rPr>
                <w:b/>
                <w:sz w:val="20"/>
              </w:rPr>
              <w:t>BiLSTM</w:t>
            </w: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r>
      <w:tr>
        <w:tc>
          <w:tcPr>
            <w:tcW w:type="dxa" w:w="1418"/>
            <w:shd w:val="clear" w:color="auto" w:fill="FFFFFF"/>
          </w:tcPr>
          <w:p>
            <w:r>
              <w:rPr>
                <w:b/>
                <w:sz w:val="20"/>
              </w:rPr>
              <w:t>GRU</w:t>
            </w: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r>
      <w:tr>
        <w:tc>
          <w:tcPr>
            <w:tcW w:type="dxa" w:w="1418"/>
            <w:shd w:val="clear" w:color="auto" w:fill="FFFFFF"/>
          </w:tcPr>
          <w:p>
            <w:r>
              <w:rPr>
                <w:b/>
                <w:sz w:val="20"/>
              </w:rPr>
              <w:t>CNN-LSTM</w:t>
            </w: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r>
      <w:tr>
        <w:tc>
          <w:tcPr>
            <w:tcW w:type="dxa" w:w="1418"/>
            <w:shd w:val="clear" w:color="auto" w:fill="FFFFFF"/>
          </w:tcPr>
          <w:p>
            <w:r>
              <w:rPr>
                <w:b/>
                <w:sz w:val="20"/>
              </w:rPr>
              <w:t>XGBoost</w:t>
            </w: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c>
          <w:tcPr>
            <w:tcW w:type="dxa" w:w="1418"/>
            <w:shd w:val="clear" w:color="auto" w:fill="FFFFFF"/>
          </w:tcPr>
          <w:p/>
        </w:tc>
      </w:tr>
    </w:tbl>
    <w:p/>
    <w:p>
      <w:pPr>
        <w:pBdr>
          <w:bottom w:val="single" w:sz="6" w:space="1" w:color="2E75B6"/>
        </w:pBdr>
      </w:pPr>
    </w:p>
    <w:p/>
    <w:p>
      <w:r>
        <w:rPr>
          <w:b/>
          <w:color w:val="1F497D"/>
          <w:sz w:val="28"/>
        </w:rPr>
        <w:t>BAGIAN 7: PERTANYAAN DISKUSI &amp; ANALISIS KRITIS</w:t>
      </w:r>
    </w:p>
    <w:p/>
    <w:p>
      <w:r>
        <w:rPr>
          <w:b w:val="0"/>
          <w:i w:val="0"/>
          <w:sz w:val="21"/>
        </w:rPr>
        <w:t>Jawablah pertanyaan-pertanyaan berikut berdasarkan hasil praktikum dan pemahaman konseptual Anda. Pertanyaan ini dirancang untuk mengembangkan kemampuan berpikir kritis dan analitis dalam konteks Business Intelligence.</w:t>
      </w:r>
    </w:p>
    <w:p/>
    <w:p>
      <w:r>
        <w:rPr>
          <w:b/>
          <w:color w:val="2E75B6"/>
          <w:sz w:val="21"/>
        </w:rPr>
        <w:t xml:space="preserve">Q1. </w:t>
      </w:r>
      <w:r>
        <w:rPr>
          <w:sz w:val="21"/>
        </w:rPr>
        <w:t>Mengapa model BiLSTM (Bidirectional LSTM) menghasilkan performa prediksi terbaik dibandingkan LSTM standar? Jelaskan perbedaan mendasar antara kedua arsitektur tersebut dari perspektif kemampuan menangkap pola temporal!</w:t>
      </w:r>
    </w:p>
    <w:tbl>
      <w:tblPr>
        <w:tblStyle w:val="TableGrid"/>
        <w:tblW w:type="auto" w:w="0"/>
        <w:tblLook w:firstColumn="1" w:firstRow="1" w:lastColumn="0" w:lastRow="0" w:noHBand="0" w:noVBand="1" w:val="04A0"/>
      </w:tblPr>
      <w:tblGrid>
        <w:gridCol w:w="8511"/>
      </w:tblGrid>
      <w:tr>
        <w:tc>
          <w:tcPr>
            <w:tcW w:type="dxa" w:w="8511"/>
            <w:shd w:val="clear" w:color="auto" w:fill="F8F8F8"/>
          </w:tcPr>
          <w:p>
            <w:r/>
            <w:r/>
            <w:r/>
            <w:r/>
          </w:p>
          <w:p>
            <w:r/>
          </w:p>
          <w:p>
            <w:r/>
          </w:p>
          <w:p>
            <w:r/>
          </w:p>
          <w:p>
            <w:r/>
          </w:p>
        </w:tc>
      </w:tr>
    </w:tbl>
    <w:p/>
    <w:p>
      <w:r>
        <w:rPr>
          <w:b/>
          <w:color w:val="2E75B6"/>
          <w:sz w:val="21"/>
        </w:rPr>
        <w:t xml:space="preserve">Q2. </w:t>
      </w:r>
      <w:r>
        <w:rPr>
          <w:sz w:val="21"/>
        </w:rPr>
        <w:t>Berdasarkan analisis Feature Importance, IHSG (Lag-1) adalah prediktor terpenting dengan kontribusi 17.8%. Bagaimana Anda menjelaskan hubungan kausalitas antara kinerja pasar saham domestik Indonesia dengan nilai tukar Rupiah dari perspektif ekonomi makro?</w:t>
      </w:r>
    </w:p>
    <w:tbl>
      <w:tblPr>
        <w:tblStyle w:val="TableGrid"/>
        <w:tblW w:type="auto" w:w="0"/>
        <w:tblLook w:firstColumn="1" w:firstRow="1" w:lastColumn="0" w:lastRow="0" w:noHBand="0" w:noVBand="1" w:val="04A0"/>
      </w:tblPr>
      <w:tblGrid>
        <w:gridCol w:w="8511"/>
      </w:tblGrid>
      <w:tr>
        <w:tc>
          <w:tcPr>
            <w:tcW w:type="dxa" w:w="8511"/>
            <w:shd w:val="clear" w:color="auto" w:fill="F8F8F8"/>
          </w:tcPr>
          <w:p>
            <w:r/>
            <w:r/>
            <w:r/>
            <w:r/>
          </w:p>
          <w:p>
            <w:r/>
          </w:p>
          <w:p>
            <w:r/>
          </w:p>
          <w:p>
            <w:r/>
          </w:p>
          <w:p>
            <w:r/>
          </w:p>
        </w:tc>
      </w:tr>
    </w:tbl>
    <w:p/>
    <w:p>
      <w:r>
        <w:rPr>
          <w:b/>
          <w:color w:val="2E75B6"/>
          <w:sz w:val="21"/>
        </w:rPr>
        <w:t xml:space="preserve">Q3. </w:t>
      </w:r>
      <w:r>
        <w:rPr>
          <w:sz w:val="21"/>
        </w:rPr>
        <w:t>Apa dampak signifikan dari tahapan Feature Engineering (khususnya lag features dan technical indicators) terhadap akurasi model? Coba bandingkan performa model jika hanya menggunakan 9 fitur asli tanpa feature engineering!</w:t>
      </w:r>
    </w:p>
    <w:tbl>
      <w:tblPr>
        <w:tblStyle w:val="TableGrid"/>
        <w:tblW w:type="auto" w:w="0"/>
        <w:tblLook w:firstColumn="1" w:firstRow="1" w:lastColumn="0" w:lastRow="0" w:noHBand="0" w:noVBand="1" w:val="04A0"/>
      </w:tblPr>
      <w:tblGrid>
        <w:gridCol w:w="8511"/>
      </w:tblGrid>
      <w:tr>
        <w:tc>
          <w:tcPr>
            <w:tcW w:type="dxa" w:w="8511"/>
            <w:shd w:val="clear" w:color="auto" w:fill="F8F8F8"/>
          </w:tcPr>
          <w:p>
            <w:r/>
            <w:r/>
            <w:r/>
            <w:r/>
          </w:p>
          <w:p>
            <w:r/>
          </w:p>
          <w:p>
            <w:r/>
          </w:p>
          <w:p>
            <w:r/>
          </w:p>
          <w:p>
            <w:r/>
          </w:p>
        </w:tc>
      </w:tr>
    </w:tbl>
    <w:p/>
    <w:p>
      <w:r>
        <w:rPr>
          <w:b/>
          <w:color w:val="2E75B6"/>
          <w:sz w:val="21"/>
        </w:rPr>
        <w:t xml:space="preserve">Q4. </w:t>
      </w:r>
      <w:r>
        <w:rPr>
          <w:sz w:val="21"/>
        </w:rPr>
        <w:t>Jika Anda adalah seorang Chief Data Officer di Bank Indonesia, bagaimana Anda akan memanfaatkan sistem prediksi ini dalam konteks kebijakan moneter? Sebutkan minimal 3 use case konkret!</w:t>
      </w:r>
    </w:p>
    <w:tbl>
      <w:tblPr>
        <w:tblStyle w:val="TableGrid"/>
        <w:tblW w:type="auto" w:w="0"/>
        <w:tblLook w:firstColumn="1" w:firstRow="1" w:lastColumn="0" w:lastRow="0" w:noHBand="0" w:noVBand="1" w:val="04A0"/>
      </w:tblPr>
      <w:tblGrid>
        <w:gridCol w:w="8511"/>
      </w:tblGrid>
      <w:tr>
        <w:tc>
          <w:tcPr>
            <w:tcW w:type="dxa" w:w="8511"/>
            <w:shd w:val="clear" w:color="auto" w:fill="F8F8F8"/>
          </w:tcPr>
          <w:p>
            <w:r/>
            <w:r/>
            <w:r/>
            <w:r/>
          </w:p>
          <w:p>
            <w:r/>
          </w:p>
          <w:p>
            <w:r/>
          </w:p>
          <w:p>
            <w:r/>
          </w:p>
          <w:p>
            <w:r/>
          </w:p>
        </w:tc>
      </w:tr>
    </w:tbl>
    <w:p/>
    <w:p>
      <w:r>
        <w:rPr>
          <w:b/>
          <w:color w:val="2E75B6"/>
          <w:sz w:val="21"/>
        </w:rPr>
        <w:t xml:space="preserve">Q5. </w:t>
      </w:r>
      <w:r>
        <w:rPr>
          <w:sz w:val="21"/>
        </w:rPr>
        <w:t>Apa keterbatasan utama model Deep Learning ini dalam menghadapi 'black swan events' seperti pandemi COVID-19? Strategi apa yang dapat diusulkan untuk meningkatkan ketangguhan (robustness) model terhadap kejadian luar biasa?</w:t>
      </w:r>
    </w:p>
    <w:tbl>
      <w:tblPr>
        <w:tblStyle w:val="TableGrid"/>
        <w:tblW w:type="auto" w:w="0"/>
        <w:tblLook w:firstColumn="1" w:firstRow="1" w:lastColumn="0" w:lastRow="0" w:noHBand="0" w:noVBand="1" w:val="04A0"/>
      </w:tblPr>
      <w:tblGrid>
        <w:gridCol w:w="8511"/>
      </w:tblGrid>
      <w:tr>
        <w:tc>
          <w:tcPr>
            <w:tcW w:type="dxa" w:w="8511"/>
            <w:shd w:val="clear" w:color="auto" w:fill="F8F8F8"/>
          </w:tcPr>
          <w:p>
            <w:r/>
            <w:r/>
            <w:r/>
            <w:r/>
          </w:p>
          <w:p>
            <w:r/>
          </w:p>
          <w:p>
            <w:r/>
          </w:p>
          <w:p>
            <w:r/>
          </w:p>
          <w:p>
            <w:r/>
          </w:p>
        </w:tc>
      </w:tr>
    </w:tbl>
    <w:p/>
    <w:p>
      <w:pPr>
        <w:pBdr>
          <w:bottom w:val="single" w:sz="6" w:space="1" w:color="2E75B6"/>
        </w:pBdr>
      </w:pPr>
    </w:p>
    <w:p/>
    <w:p>
      <w:r>
        <w:rPr>
          <w:b/>
          <w:color w:val="1F497D"/>
          <w:sz w:val="28"/>
        </w:rPr>
        <w:t>BAGIAN 8: KESIMPULAN DAN REFLEKSI</w:t>
      </w:r>
    </w:p>
    <w:p/>
    <w:p>
      <w:r>
        <w:rPr>
          <w:b/>
          <w:color w:val="2E75B6"/>
          <w:sz w:val="24"/>
        </w:rPr>
        <w:t>8.1 Temuan Utama Penelitian</w:t>
      </w:r>
    </w:p>
    <w:p>
      <w:pPr>
        <w:pStyle w:val="ListBullet"/>
        <w:ind w:left="432"/>
      </w:pPr>
      <w:r>
        <w:rPr>
          <w:sz w:val="21"/>
        </w:rPr>
        <w:t>Model BiLSTM (Bidirectional LSTM) terbukti sebagai arsitektur terbaik untuk prediksi nilai tukar USD/IDR, mencapai RMSE=87.4 IDR, MAPE=0.53%, dan R²=0.947, melampaui semua model lainnya termasuk baseline XGBoost.</w:t>
      </w:r>
    </w:p>
    <w:p>
      <w:pPr>
        <w:pStyle w:val="ListBullet"/>
        <w:ind w:left="432"/>
      </w:pPr>
      <w:r>
        <w:rPr>
          <w:sz w:val="21"/>
        </w:rPr>
        <w:t>Feature Engineering berbasis indikator teknikal dan lag features secara signifikan meningkatkan akurasi prediksi dengan mengkodekan pola momentum dan memori temporal pasar keuangan.</w:t>
      </w:r>
    </w:p>
    <w:p>
      <w:pPr>
        <w:pStyle w:val="ListBullet"/>
        <w:ind w:left="432"/>
      </w:pPr>
      <w:r>
        <w:rPr>
          <w:sz w:val="21"/>
        </w:rPr>
        <w:t>IHSG (17.8%), S&amp;P 500 (13.4%), dan Brent Oil (9.2%) merupakan tiga faktor terpenting yang mendorong pergerakan nilai tukar Rupiah, mengkonfirmasi interconnectedness pasar keuangan global.</w:t>
      </w:r>
    </w:p>
    <w:p>
      <w:pPr>
        <w:pStyle w:val="ListBullet"/>
        <w:ind w:left="432"/>
      </w:pPr>
      <w:r>
        <w:rPr>
          <w:sz w:val="21"/>
        </w:rPr>
        <w:t>Deep Learning framework end-to-end yang dibangun dalam penelitian ini layak diimplementasikan sebagai sistem Business Intelligence berbasis real-time untuk monitoring dan forecasting risiko nilai tukar di instansi keuangan.</w:t>
      </w:r>
    </w:p>
    <w:p/>
    <w:p>
      <w:r>
        <w:rPr>
          <w:b/>
          <w:color w:val="2E75B6"/>
          <w:sz w:val="24"/>
        </w:rPr>
        <w:t>8.2 Implikasi untuk Bisnis Inteligent</w:t>
      </w:r>
    </w:p>
    <w:p>
      <w:pPr>
        <w:pStyle w:val="ListBullet"/>
        <w:ind w:left="432"/>
      </w:pPr>
      <w:r>
        <w:rPr>
          <w:sz w:val="21"/>
        </w:rPr>
        <w:t>Sistem prediksi ini dapat diintegrasikan ke dalam platform BI perusahaan untuk alert otomatis ketika kurs Rupiah diperkirakan melemah melebihi threshold tertentu.</w:t>
      </w:r>
    </w:p>
    <w:p>
      <w:pPr>
        <w:pStyle w:val="ListBullet"/>
        <w:ind w:left="432"/>
      </w:pPr>
      <w:r>
        <w:rPr>
          <w:sz w:val="21"/>
        </w:rPr>
        <w:t>Feature Importance analysis memberikan insight berharga bagi manajemen risiko: hedging strategy dapat difokuskan pada pemantauan pergerakan IHSG dan S&amp;P 500.</w:t>
      </w:r>
    </w:p>
    <w:p>
      <w:pPr>
        <w:pStyle w:val="ListBullet"/>
        <w:ind w:left="432"/>
      </w:pPr>
      <w:r>
        <w:rPr>
          <w:sz w:val="21"/>
        </w:rPr>
        <w:t>Dashboard interaktif berbasis Plotly memungkinkan non-technical stakeholders untuk memahami tren pasar dan proyeksi kurs secara intuitif.</w:t>
      </w:r>
    </w:p>
    <w:p/>
    <w:p>
      <w:r>
        <w:rPr>
          <w:b/>
          <w:color w:val="2E75B6"/>
          <w:sz w:val="24"/>
        </w:rPr>
        <w:t>8.3 Keterbatasan dan Saran Penelitian Lanjutan</w:t>
      </w:r>
    </w:p>
    <w:p>
      <w:pPr>
        <w:pStyle w:val="ListBullet"/>
        <w:ind w:left="432"/>
      </w:pPr>
      <w:r>
        <w:rPr>
          <w:sz w:val="21"/>
        </w:rPr>
        <w:t>Keterbatasan: Model tidak menyertakan data sentimen (news sentiment, Twitter/X) yang dapat meningkatkan responsivitas terhadap guncangan geopolitik mendadak.</w:t>
      </w:r>
    </w:p>
    <w:p>
      <w:pPr>
        <w:pStyle w:val="ListBullet"/>
        <w:ind w:left="432"/>
      </w:pPr>
      <w:r>
        <w:rPr>
          <w:sz w:val="21"/>
        </w:rPr>
        <w:t>Pengembangan: Mengeksplorasi arsitektur Transformer-based (Temporal Fusion Transformer) yang terbukti superior pada berbagai benchmark time-series forecasting global.</w:t>
      </w:r>
    </w:p>
    <w:p>
      <w:pPr>
        <w:pStyle w:val="ListBullet"/>
        <w:ind w:left="432"/>
      </w:pPr>
      <w:r>
        <w:rPr>
          <w:sz w:val="21"/>
        </w:rPr>
        <w:t>Pengembangan: Mengintegrasikan data dari FRED API (Fed Funds Rate, CPI, PPI) dan Bank Indonesia untuk memperkaya dimensi makroekonomi domestik.</w:t>
      </w:r>
    </w:p>
    <w:p>
      <w:pPr>
        <w:pStyle w:val="ListBullet"/>
        <w:ind w:left="432"/>
      </w:pPr>
      <w:r>
        <w:rPr>
          <w:sz w:val="21"/>
        </w:rPr>
        <w:t>Pengembangan: Membuat sistem prediksi multi-step ahead (7-hari, 30-hari) untuk perencanaan bisnis yang lebih strategis.</w:t>
      </w:r>
    </w:p>
    <w:p/>
    <w:p>
      <w:pPr>
        <w:pBdr>
          <w:bottom w:val="single" w:sz="6" w:space="1" w:color="2E75B6"/>
        </w:pBdr>
      </w:pPr>
    </w:p>
    <w:p/>
    <w:p>
      <w:r>
        <w:rPr>
          <w:b/>
          <w:color w:val="1F497D"/>
          <w:sz w:val="28"/>
        </w:rPr>
        <w:t>BAGIAN 9: REFERENSI</w:t>
      </w:r>
    </w:p>
    <w:p/>
    <w:p>
      <w:pPr>
        <w:ind w:left="432" w:hanging="432"/>
      </w:pPr>
      <w:r>
        <w:rPr>
          <w:sz w:val="19"/>
        </w:rPr>
        <w:t>[1] Hochreiter, S., &amp; Schmidhuber, J. (1997). Long Short-Term Memory. Neural Computation, 9(8), 1735–1780.</w:t>
      </w:r>
    </w:p>
    <w:p>
      <w:pPr>
        <w:ind w:left="432" w:hanging="432"/>
      </w:pPr>
      <w:r>
        <w:rPr>
          <w:sz w:val="19"/>
        </w:rPr>
        <w:t>[2] Cho, K., et al. (2014). Learning Phrase Representations using RNN Encoder-Decoder for Statistical Machine Translation. arXiv:1406.1078.</w:t>
      </w:r>
    </w:p>
    <w:p>
      <w:pPr>
        <w:ind w:left="432" w:hanging="432"/>
      </w:pPr>
      <w:r>
        <w:rPr>
          <w:sz w:val="19"/>
        </w:rPr>
        <w:t>[3] Chen, T., &amp; Guestrin, C. (2016). XGBoost: A Scalable Tree Boosting System. KDD'16. ACM.</w:t>
      </w:r>
    </w:p>
    <w:p>
      <w:pPr>
        <w:ind w:left="432" w:hanging="432"/>
      </w:pPr>
      <w:r>
        <w:rPr>
          <w:sz w:val="19"/>
        </w:rPr>
        <w:t>[4] Schuster, M., &amp; Paliwal, K.K. (1997). Bidirectional Recurrent Neural Networks. IEEE Transactions on Signal Processing, 45(11), 2673–2681.</w:t>
      </w:r>
    </w:p>
    <w:p>
      <w:pPr>
        <w:ind w:left="432" w:hanging="432"/>
      </w:pPr>
      <w:r>
        <w:rPr>
          <w:sz w:val="19"/>
        </w:rPr>
        <w:t>[5] Livieris, I.E., et al. (2020). A CNN-LSTM Model for Gold Price Time-Series Forecasting. Neural Computing and Applications, 32, 17351–17360.</w:t>
      </w:r>
    </w:p>
    <w:p>
      <w:pPr>
        <w:ind w:left="432" w:hanging="432"/>
      </w:pPr>
      <w:r>
        <w:rPr>
          <w:sz w:val="19"/>
        </w:rPr>
        <w:t>[6] Bank Indonesia. (2024). Laporan Kebijakan Moneter. Jakarta: BI Press.</w:t>
      </w:r>
    </w:p>
    <w:p>
      <w:pPr>
        <w:ind w:left="432" w:hanging="432"/>
      </w:pPr>
      <w:r>
        <w:rPr>
          <w:sz w:val="19"/>
        </w:rPr>
        <w:t>[7] Yahoo Finance API. (2024). yfinance Python Library Documentation. Retrieved from https://pypi.org/project/yfinance/</w:t>
      </w:r>
    </w:p>
    <w:p>
      <w:pPr>
        <w:ind w:left="432" w:hanging="432"/>
      </w:pPr>
      <w:r>
        <w:rPr>
          <w:sz w:val="19"/>
        </w:rPr>
        <w:t>[8] Chollet, F. (2021). Deep Learning with Python (2nd ed.). Manning Publications.</w:t>
      </w:r>
    </w:p>
    <w:p>
      <w:pPr>
        <w:ind w:left="432" w:hanging="432"/>
      </w:pPr>
      <w:r>
        <w:rPr>
          <w:sz w:val="19"/>
        </w:rPr>
        <w:t>[9] James, G., et al. (2021). An Introduction to Statistical Learning. Springer.</w:t>
      </w:r>
    </w:p>
    <w:p>
      <w:pPr>
        <w:ind w:left="432" w:hanging="432"/>
      </w:pPr>
      <w:r>
        <w:rPr>
          <w:sz w:val="19"/>
        </w:rPr>
        <w:t>[10] Kingma, D.P., &amp; Ba, J. (2014). Adam: A Method for Stochastic Optimization. arXiv:1412.6980.</w:t>
      </w:r>
    </w:p>
    <w:p/>
    <w:p>
      <w:pPr>
        <w:pBdr>
          <w:bottom w:val="single" w:sz="6" w:space="1" w:color="2E75B6"/>
        </w:pBdr>
      </w:pPr>
    </w:p>
    <w:p/>
    <w:p>
      <w:pPr>
        <w:jc w:val="center"/>
      </w:pPr>
      <w:r>
        <w:rPr>
          <w:b/>
          <w:color w:val="1F497D"/>
          <w:sz w:val="28"/>
        </w:rPr>
        <w:t>LEMBAR PENGESAHAN</w:t>
      </w:r>
    </w:p>
    <w:p/>
    <w:p>
      <w:r>
        <w:rPr>
          <w:b w:val="0"/>
          <w:i w:val="0"/>
          <w:sz w:val="21"/>
        </w:rPr>
        <w:t>Kegiatan ini telah dilaksanakan pada:</w:t>
      </w:r>
    </w:p>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2E75B6"/>
          </w:tcPr>
          <w:p>
            <w:pPr>
              <w:jc w:val="center"/>
            </w:pPr>
            <w:r>
              <w:rPr>
                <w:b/>
                <w:color w:val="FFFFFF"/>
                <w:sz w:val="20"/>
              </w:rPr>
            </w:r>
          </w:p>
        </w:tc>
        <w:tc>
          <w:tcPr>
            <w:tcW w:type="dxa" w:w="2837"/>
            <w:shd w:val="clear" w:color="auto" w:fill="2E75B6"/>
          </w:tcPr>
          <w:p>
            <w:pPr>
              <w:jc w:val="center"/>
            </w:pPr>
            <w:r>
              <w:rPr>
                <w:b/>
                <w:color w:val="FFFFFF"/>
                <w:sz w:val="20"/>
              </w:rPr>
              <w:t>Mahasiswa</w:t>
            </w:r>
          </w:p>
        </w:tc>
        <w:tc>
          <w:tcPr>
            <w:tcW w:type="dxa" w:w="2837"/>
            <w:shd w:val="clear" w:color="auto" w:fill="2E75B6"/>
          </w:tcPr>
          <w:p>
            <w:pPr>
              <w:jc w:val="center"/>
            </w:pPr>
            <w:r>
              <w:rPr>
                <w:b/>
                <w:color w:val="FFFFFF"/>
                <w:sz w:val="20"/>
              </w:rPr>
              <w:t>Dosen Pengampu</w:t>
            </w:r>
          </w:p>
        </w:tc>
      </w:tr>
      <w:tr>
        <w:tc>
          <w:tcPr>
            <w:tcW w:type="dxa" w:w="2837"/>
          </w:tcPr>
          <w:p/>
        </w:tc>
        <w:tc>
          <w:tcPr>
            <w:tcW w:type="dxa" w:w="2837"/>
          </w:tcPr>
          <w:p/>
        </w:tc>
        <w:tc>
          <w:tcPr>
            <w:tcW w:type="dxa" w:w="2837"/>
          </w:tcPr>
          <w:p/>
        </w:tc>
      </w:tr>
      <w:tr>
        <w:tc>
          <w:tcPr>
            <w:tcW w:type="dxa" w:w="2837"/>
            <w:shd w:val="clear" w:color="auto" w:fill="EBF3FB"/>
            <w:shd w:val="clear" w:color="auto" w:fill="DAEAF8"/>
          </w:tcPr>
          <w:p>
            <w:r>
              <w:rPr>
                <w:b/>
                <w:sz w:val="20"/>
              </w:rPr>
              <w:t>Nama</w:t>
            </w:r>
          </w:p>
        </w:tc>
        <w:tc>
          <w:tcPr>
            <w:tcW w:type="dxa" w:w="2837"/>
          </w:tcPr>
          <w:p>
            <w:pPr>
              <w:jc w:val="center"/>
            </w:pPr>
            <w:r>
              <w:rPr>
                <w:sz w:val="20"/>
              </w:rPr>
              <w:t>.....................................</w:t>
            </w:r>
          </w:p>
        </w:tc>
        <w:tc>
          <w:tcPr>
            <w:tcW w:type="dxa" w:w="2837"/>
          </w:tcPr>
          <w:p>
            <w:pPr>
              <w:jc w:val="center"/>
            </w:pPr>
            <w:r>
              <w:rPr>
                <w:sz w:val="20"/>
              </w:rPr>
              <w:t>.....................................</w:t>
            </w:r>
          </w:p>
        </w:tc>
      </w:tr>
      <w:tr>
        <w:tc>
          <w:tcPr>
            <w:tcW w:type="dxa" w:w="2837"/>
            <w:shd w:val="clear" w:color="auto" w:fill="EBF3FB"/>
            <w:shd w:val="clear" w:color="auto" w:fill="DAEAF8"/>
          </w:tcPr>
          <w:p>
            <w:r>
              <w:rPr>
                <w:b/>
                <w:sz w:val="20"/>
              </w:rPr>
              <w:t>NIM / NIP</w:t>
            </w:r>
          </w:p>
        </w:tc>
        <w:tc>
          <w:tcPr>
            <w:tcW w:type="dxa" w:w="2837"/>
          </w:tcPr>
          <w:p>
            <w:pPr>
              <w:jc w:val="center"/>
            </w:pPr>
            <w:r>
              <w:rPr>
                <w:sz w:val="20"/>
              </w:rPr>
              <w:t>.....................................</w:t>
            </w:r>
          </w:p>
        </w:tc>
        <w:tc>
          <w:tcPr>
            <w:tcW w:type="dxa" w:w="2837"/>
          </w:tcPr>
          <w:p>
            <w:pPr>
              <w:jc w:val="center"/>
            </w:pPr>
            <w:r>
              <w:rPr>
                <w:sz w:val="20"/>
              </w:rPr>
              <w:t>.....................................</w:t>
            </w:r>
          </w:p>
        </w:tc>
      </w:tr>
      <w:tr>
        <w:tc>
          <w:tcPr>
            <w:tcW w:type="dxa" w:w="2837"/>
            <w:shd w:val="clear" w:color="auto" w:fill="EBF3FB"/>
            <w:shd w:val="clear" w:color="auto" w:fill="DAEAF8"/>
          </w:tcPr>
          <w:p>
            <w:r>
              <w:rPr>
                <w:b/>
                <w:sz w:val="20"/>
              </w:rPr>
              <w:t>Tanggal</w:t>
            </w:r>
          </w:p>
        </w:tc>
        <w:tc>
          <w:tcPr>
            <w:tcW w:type="dxa" w:w="2837"/>
          </w:tcPr>
          <w:p>
            <w:pPr>
              <w:jc w:val="center"/>
            </w:pPr>
            <w:r>
              <w:rPr>
                <w:sz w:val="20"/>
              </w:rPr>
              <w:t>.....................................</w:t>
            </w:r>
          </w:p>
        </w:tc>
        <w:tc>
          <w:tcPr>
            <w:tcW w:type="dxa" w:w="2837"/>
          </w:tcPr>
          <w:p>
            <w:pPr>
              <w:jc w:val="center"/>
            </w:pPr>
            <w:r>
              <w:rPr>
                <w:sz w:val="20"/>
              </w:rPr>
              <w:t>.....................................</w:t>
            </w:r>
          </w:p>
        </w:tc>
      </w:tr>
      <w:tr>
        <w:tc>
          <w:tcPr>
            <w:tcW w:type="dxa" w:w="2837"/>
            <w:shd w:val="clear" w:color="auto" w:fill="EBF3FB"/>
            <w:shd w:val="clear" w:color="auto" w:fill="DAEAF8"/>
          </w:tcPr>
          <w:p>
            <w:r>
              <w:rPr>
                <w:b/>
                <w:sz w:val="20"/>
              </w:rPr>
              <w:t>Tanda Tangan</w:t>
            </w:r>
          </w:p>
        </w:tc>
        <w:tc>
          <w:tcPr>
            <w:tcW w:type="dxa" w:w="2837"/>
          </w:tcPr>
          <w:p>
            <w:pPr>
              <w:jc w:val="center"/>
            </w:pPr>
            <w:r>
              <w:rPr>
                <w:sz w:val="20"/>
              </w:rPr>
              <w:br/>
              <w:br/>
              <w:br/>
              <w:t>.....................................</w:t>
            </w:r>
          </w:p>
        </w:tc>
        <w:tc>
          <w:tcPr>
            <w:tcW w:type="dxa" w:w="2837"/>
          </w:tcPr>
          <w:p>
            <w:pPr>
              <w:jc w:val="center"/>
            </w:pPr>
            <w:r>
              <w:rPr>
                <w:sz w:val="20"/>
              </w:rPr>
              <w:br/>
              <w:br/>
              <w:br/>
              <w:t>.....................................</w:t>
            </w:r>
          </w:p>
        </w:tc>
      </w:tr>
    </w:tbl>
    <w:sectPr w:rsidR="00FC693F" w:rsidRPr="0006063C" w:rsidSect="00034616">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