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86BB9"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6C197D35" w14:textId="77777777" w:rsidR="008A78AA" w:rsidRDefault="008A78AA">
      <w:pPr>
        <w:pStyle w:val="Author"/>
        <w:spacing w:beforeAutospacing="1" w:afterAutospacing="1" w:line="120" w:lineRule="auto"/>
        <w:rPr>
          <w:sz w:val="16"/>
          <w:szCs w:val="16"/>
        </w:rPr>
      </w:pPr>
    </w:p>
    <w:p w14:paraId="28E554C3" w14:textId="77777777" w:rsidR="008A78AA" w:rsidRDefault="008A78AA">
      <w:pPr>
        <w:sectPr w:rsidR="008A78AA">
          <w:footerReference w:type="even" r:id="rId8"/>
          <w:footerReference w:type="default" r:id="rId9"/>
          <w:footerReference w:type="first" r:id="rId10"/>
          <w:pgSz w:w="11906" w:h="16838"/>
          <w:pgMar w:top="540" w:right="893" w:bottom="1260" w:left="893" w:header="0" w:footer="720" w:gutter="0"/>
          <w:cols w:space="720"/>
          <w:formProt w:val="0"/>
          <w:titlePg/>
          <w:docGrid w:linePitch="360" w:charSpace="8192"/>
        </w:sectPr>
      </w:pPr>
    </w:p>
    <w:p w14:paraId="00F19615"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asep.surahman@nusaputra.ac.id</w:t>
      </w:r>
    </w:p>
    <w:p w14:paraId="4F1763EB"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4F61025E"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 xml:space="preserve">Pelita Bangsa University</w:t>
        <w:br/>
      </w:r>
      <w:r>
        <w:rPr>
          <w:sz w:val="18"/>
          <w:szCs w:val="18"/>
        </w:rPr>
        <w:t>Bekasi, Indonesia</w:t>
        <w:br/>
        <w:t>aswan.sunge@pelitabangsa.ac.id</w:t>
      </w:r>
    </w:p>
    <w:p w14:paraId="57A4A6D7" w14:textId="77777777" w:rsidR="008A78AA" w:rsidRDefault="008A78AA">
      <w:pPr>
        <w:sectPr w:rsidR="008A78AA">
          <w:type w:val="continuous"/>
          <w:pgSz w:w="11906" w:h="16838"/>
          <w:pgMar w:top="540" w:right="893" w:bottom="1260" w:left="893" w:header="0" w:footer="720" w:gutter="0"/>
          <w:cols w:num="3" w:space="720"/>
          <w:formProt w:val="0"/>
          <w:titlePg/>
          <w:docGrid w:linePitch="360" w:charSpace="8192"/>
        </w:sectPr>
      </w:pPr>
    </w:p>
    <w:p w14:paraId="62A16603" w14:textId="77777777" w:rsidR="008A78AA" w:rsidRDefault="008A78AA"/>
    <w:p w14:paraId="64D36E1C" w14:textId="77777777" w:rsidR="008A78AA" w:rsidRDefault="00000000">
      <w:r>
        <w:br w:type="column"/>
      </w:r>
    </w:p>
    <w:p w14:paraId="1E340D07" w14:textId="77777777" w:rsidR="008A78AA" w:rsidRDefault="008A78AA">
      <w:pPr>
        <w:sectPr w:rsidR="008A78AA">
          <w:type w:val="continuous"/>
          <w:pgSz w:w="11906" w:h="16838"/>
          <w:pgMar w:top="540" w:right="893" w:bottom="1260" w:left="893" w:header="0" w:footer="720" w:gutter="0"/>
          <w:cols w:num="3" w:space="720"/>
          <w:formProt w:val="0"/>
          <w:titlePg/>
          <w:docGrid w:linePitch="360" w:charSpace="8192"/>
        </w:sectPr>
      </w:pPr>
    </w:p>
    <w:p w14:paraId="4DE48BC0" w14:textId="4FFC9FDC" w:rsidR="008A78AA" w:rsidRDefault="00000000">
      <w:pPr>
        <w:pStyle w:val="Abstract"/>
      </w:pPr>
      <w:r>
        <w:t xml:space="preserve">Abstract — Forecasting cryptocurrency prices in operational financial environments is challenged by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Extreme Gradient Boosting (XGBoost), Long Short-Term Memory (LSTM), Gated Recurrent Unit (GRU), and the Informer Transformer were evaluated under a 24-fold chronological Walk-Forward Validation protocol using 43,786 hourly BTC/USDT candlestick observations from March 2021 to March 2026. In point-forecasting accuracy, the GRU achieved the lowest error (RMSE = 0.1058 ± 0.0034; significantly better than XGBoost and Informer after Bonferroni correction, see Section III.A). Within the BI decision engine, however, the LSTM achieved the highest Directional Accuracy (57.8% ± 2.1%) and annualized Sharpe Ratio (0.87 ± 0.12, VaR95% = −1.18% per hour; both before transaction costs and evaluated on weekly-trend recursive signals, not hour-by-hour executable trades), showing that loss metrics such as RMSE fail to indicate gross directional utility. A Power BI prototype was used and attained a System Usability Scale (SUS) score of 86.4 (SD = 3.2) from 15 evaluators.</w:t>
      </w:r>
    </w:p>
    <w:p w14:paraId="53D22628" w14:textId="77777777" w:rsidR="008A78AA" w:rsidRDefault="00000000">
      <w:pPr>
        <w:pStyle w:val="Keywords"/>
      </w:pPr>
      <w:r>
        <w:t xml:space="preserve">Keywords Financial Informatics, Business Intelligence, Deep Learning, XGBoost, LSTM, GRU, Informer Transformer, Decision Support System, Risk Management.</w:t>
      </w:r>
    </w:p>
    <w:p w14:paraId="400EAB77" w14:textId="77777777" w:rsidR="008A78AA" w:rsidRDefault="008A78AA">
      <w:pPr>
        <w:pStyle w:val="Keywords"/>
      </w:pPr>
    </w:p>
    <w:p w14:paraId="0DD4D365" w14:textId="77777777" w:rsidR="008A78AA" w:rsidRDefault="00000000">
      <w:pPr>
        <w:pStyle w:val="Heading1"/>
      </w:pPr>
      <w:r>
        <w:t>Introduction</w:t>
      </w:r>
    </w:p>
    <w:p w14:paraId="38BE7108" w14:textId="32C73DD5" w:rsidR="008A78AA" w:rsidRDefault="009D4DCF">
      <w:pPr>
        <w:pStyle w:val="BodyText"/>
      </w:pPr>
      <w:r>
        <w:t xml:space="preserve">The cryptocurrency markets are characterized by extreme non-stationarity, regime shifts and volatility cascades that often break down the assumptions of conventional econometric models [1], [2]. Autoregressive Integrated Moving Average (ARIMA) and other classical methods are based on the assumptions of covariance stationarity and linear autocorrelation, which are often violated by cryptocurrency returns with time-varying long memory and efficiency [3], [4]. Major paradigms are deep neural networks and tree-based ensembles since they map nonlinear sequential representations from multi-feature inputs directly [5], [6].</w:t>
      </w:r>
    </w:p>
    <w:p w14:paraId="7D03013E" w14:textId="35AD3705" w:rsidR="008A78AA" w:rsidRDefault="009D4DCF">
      <w:pPr>
        <w:pStyle w:val="BodyText"/>
      </w:pPr>
      <w:r>
        <w:t xml:space="preserve">Although there has been progress in forecasting algorithms, existing studies overwhelmingly benchmark models with statistical error metrics like Root Mean Squared Error (RMSE) or Mean Absolute Error (MAE) in isolated laboratory settings [7], [8]. However, a small RMSE is not a sufficient condition for risk-adjusted profitability for portfolio managers and risk governance committees [9], [10], where directional accuracy, drawdown and risk-adjusted return under realistic trading constraints are unanswered by error metrics [11]. Thus, there is a gap between predictive accuracy benchmarks and the needs of the enterprise Business Intelligence (BI) platforms [12].</w:t>
      </w:r>
    </w:p>
    <w:p w14:paraId="77539058" w14:textId="3AF04219" w:rsidR="008A78AA" w:rsidRDefault="000E08FB">
      <w:pPr>
        <w:pStyle w:val="BodyText"/>
      </w:pPr>
      <w:r>
        <w:t xml:space="preserve">To address this gap, this research proposes an end-to-end BI-ML framework that combines multi-model forecasting, leakage-free chronological Walk-Forward Validation, a PostgreSQL Data Mart, and an interactive Microsoft Power BI dashboard in near real-time. This framework converts the point predictions into trading signals, annualized Sharpe Ratios and Value-at-Risk (VaR) thresholds on five years of hourly BTC/USDT spot data. This framework connects the statistical modeling and the governance of enterprise financial decision.</w:t>
      </w:r>
    </w:p>
    <w:p w14:paraId="5BD584AA" w14:textId="77777777" w:rsidR="008A78AA" w:rsidRDefault="00000000">
      <w:pPr>
        <w:pStyle w:val="Heading2"/>
      </w:pPr>
      <w:r>
        <w:t>Baselines and Deep Sequences (RNNs)</w:t>
      </w:r>
    </w:p>
    <w:p w14:paraId="294F61F9" w14:textId="69527D22" w:rsidR="008A78AA" w:rsidRDefault="00C017D7">
      <w:pPr>
        <w:pStyle w:val="BodyText"/>
      </w:pPr>
      <w:r>
        <w:t xml:space="preserve">Tree-based ensembles are the de-facto standard for tabular features and Extreme Gradient Boosting (XGBoost) reduces variance via regularized boosting [13], [14]. Decision trees are however not naturally adapted to model recurrent temporal transitions and Chen et al. [15] showed that the relative advantage of statistical, tree based and LSTM models for Bitcoin is highly dependent on the sampling frequency.</w:t>
      </w:r>
    </w:p>
    <w:p w14:paraId="656E5CBB" w14:textId="71601DE6" w:rsidR="008A78AA" w:rsidRDefault="00F51907">
      <w:pPr>
        <w:pStyle w:val="BodyText"/>
      </w:pPr>
      <w:r>
        <w:t xml:space="preserve">The Long Short-Term Memory (LSTM) network [16] is able to model the multi-scale time dependency. Gradient flow is controlled by input, forget and output gates. The Gated Recurrent Unit (GRU) [17] merges the forget gate and the input gate into an update gate, thus preserving the memory at a lower computational cost. Both are still important benchmarks for cryptocurrency forecasting [18], [7].</w:t>
      </w:r>
    </w:p>
    <w:p w14:paraId="55E85284" w14:textId="77777777" w:rsidR="008A78AA" w:rsidRDefault="00000000">
      <w:pPr>
        <w:pStyle w:val="Heading2"/>
      </w:pPr>
      <w:r>
        <w:t>Transformers in Time Series</w:t>
      </w:r>
    </w:p>
    <w:p w14:paraId="4CB270F6" w14:textId="52F2246F" w:rsidR="008A78AA" w:rsidRDefault="00D412E2">
      <w:pPr>
        <w:pStyle w:val="BodyText"/>
      </w:pPr>
      <w:r>
        <w:t xml:space="preserve">Attention transformers [19] have been successful in sequential domains such as multivariate time-series representation learning [20]. For long-sequence forecasting, Informer [21] proposed ProbSparse self-attention to reduce the complexity from O(L²) to O(L log L). Newer derivatives like PatchTST [22] and TimesNet [23] are still under development, but the Informer is still a standard attention baseline, and Transformer-based and hybrid attention models are increasingly benchmarked against recurrent models on Bitcoin [24], [25]. It is purely supervised with fixed 24-step input and no pre-training (cf. Zerveas et al. [20]). This may explain in part its higher RMSE compared to the recurrent models.</w:t>
      </w:r>
    </w:p>
    <w:p w14:paraId="74A4737E" w14:textId="77777777" w:rsidR="00E47DF9" w:rsidRDefault="00000000">
      <w:pPr>
        <w:pStyle w:val="Heading2"/>
      </w:pPr>
      <w:r>
        <w:t>Recent Empirical Evidence and Positioning of This Study</w:t>
      </w:r>
    </w:p>
    <w:p w14:paraId="63EF98B7" w14:textId="7356D0C7" w:rsidR="00E47DF9" w:rsidRDefault="00D761BA">
      <w:pPr>
        <w:pStyle w:val="BodyText"/>
      </w:pPr>
      <w:r>
        <w:t xml:space="preserve">Recent comparisons of forecasting models disagree on the winner. Murray et al. [26] reported that deep models gave the lowest RMSE and MAE on five cryptocurrencies, with the LSTM best; Bouteska et al. [5] found the GRU, a simple RNN and LightGBM ahead of other learners and buy-and-hold; Oyedele et al. [27] found a CNN the most reliable when training data were limited; Kaur et al. [7] ranked the GRU above the LSTM on daily prices; and Adedigba et al. [8] ranked gradient-boosted models above an LSTM. Helformer [25] and surveys [28] indicate emerging Transformer-based directions, but most comparisons rank models by prediction error [26], [27], [7], and few link price forecasts with trading results [10].</w:t>
      </w:r>
    </w:p>
    <w:p w14:paraId="79C28CB4" w14:textId="25885D1D" w:rsidR="00E47DF9" w:rsidRDefault="00540BF5">
      <w:pPr>
        <w:pStyle w:val="BodyText"/>
      </w:pPr>
      <w:r>
        <w:t xml:space="preserve">A second line of work assesses forecasts through trading performance. Jaquart et al. [11] report out-of-sample Sharpe ratios of about 3.2 and 3.1 after costs for daily LSTM and GRU long-short portfolios on the 100 largest cryptocurrencies; Omole and Enke [29] backtest CNN-LSTM strategies; Grądzki et al. [30] argue that next-bar labeling on fixed-interval bars induces excessive trading; Guo et al. [31] document cross-coin return predictability; Hasanli and Dursun [32] report a Sharpe ratio of 1.78 for daily XGBoost on Bitcoin; and Islas Anguiano and García-Medina [33] (a preprint) find that LightGBM was more accurate than an LSTM but earned less, so accuracy and return did not align. Evidence at hourly or intraday frequency is more cautious: Gradojevic et al. [6] find Bitcoin weakly efficient at the hourly frequency, with technical-indicator random forests beating a random walk only at the daily horizon, which constrains the directional accuracy claims here; Sobreiro et al. [34] estimate that a gross 35.97% out-of-sample return on 2025 intraday Bitcoin data would be largely erased by fees; and Bysik and Ślepaczuk [35] (a 2026 preprint not yet peer reviewed) report, from about 70,000 hourly BTC-USDT observations under 27-fold walk-forward validation, that naive sign-based strategies fail at ten basis points of cost and that cost-aware filters do not significantly outperform buy-and-hold in Sharpe terms after bootstrap adjustment.</w:t>
      </w:r>
    </w:p>
    <w:p w14:paraId="379CC8A2" w14:textId="77777777" w:rsidR="00E47DF9" w:rsidRDefault="00000000">
      <w:pPr>
        <w:pStyle w:val="BodyText"/>
      </w:pPr>
      <w:r>
        <w:t xml:space="preserve">These studies imply three requirements for a credible evaluation: chronological out-of-sample validation, trading-based and risk-adjusted metrics alongside error metrics, and explicit treatment of transaction costs and significance. Our design is closest to Bysik and Ślepaczuk [35] (hourly BTC/USDT, walk-forward) but also compares attention models and adds a user-assessed BI layer. To our knowledge, however, the studies above stop at model comparison and backtesting and do not describe how multi-metric results reach practitioners through a governed decision-support layer assessed with domain users. Accordingly, this study (i) compares XGBoost, LSTM, GRU, and the Informer under one 24-fold chronological Walk-Forward protocol on five years of hourly BTC/USDT data with fold-local scaling; (ii) tests accuracy differences statistically (Kruskal-Wallis, Diebold-Mariano) and contrasts them with directional accuracy, Sharpe Ratio, and VaR; (iii) embeds the outputs in a four-layer BI-ML pipeline (PostgreSQL Data Mart, Power BI) whose usability is measured with the SUS; and (iv) reports risk-adjusted metrics gross of transaction costs, treating net-of-cost evaluation [34], [35] as the main boundary of its economic claims (see Discussion).</w:t>
      </w:r>
    </w:p>
    <w:p w14:paraId="14C9B06B" w14:textId="77777777" w:rsidR="008A78AA" w:rsidRDefault="00000000">
      <w:pPr>
        <w:pStyle w:val="Heading2"/>
      </w:pPr>
      <w:r>
        <w:t>The Need for BI Integration and Scope Justification</w:t>
      </w:r>
    </w:p>
    <w:p w14:paraId="1881A9E0" w14:textId="77777777" w:rsidR="008A78AA" w:rsidRDefault="00A85596">
      <w:pPr>
        <w:pStyle w:val="BodyText"/>
      </w:pPr>
      <w:r>
        <w:t xml:space="preserve">While comparative evaluations are abundant [26], [5], [27], [7], their integration into enterprise Decision Support Systems (DSS) [36], [37] remains scarce. This work bridges that gap by coupling deep learning predictions to an enterprise BI layer that computes the annualized Sharpe Ratio and VaR for institutional risk governance [38]. BTC/USDT is the reference asset because BTC is the benchmark asset of the efficiency and forecasting literature [1], [2], [6], trades continuously 24/7 (a dense signal free of market-closure artifacts), and a high-volume Binance spot pair [39] isolates algorithmic performance from the liquidity shocks of lower-cap altcoins.</w:t>
      </w:r>
    </w:p>
    <w:p w14:paraId="415EC846" w14:textId="77777777" w:rsidR="008A78AA" w:rsidRDefault="00000000">
      <w:pPr>
        <w:pStyle w:val="Heading1"/>
      </w:pPr>
      <w:r>
        <w:t>METHODOLOGY AND SYSTEM ARCHITECTURE</w:t>
      </w:r>
    </w:p>
    <w:p w14:paraId="6C35ED5C" w14:textId="77777777" w:rsidR="008A78AA" w:rsidRDefault="00000000">
      <w:pPr>
        <w:ind w:firstLine="288"/>
        <w:jc w:val="both"/>
      </w:pPr>
      <w:r>
        <w:t xml:space="preserve">The proposed framework has four modular layers: (1) data ingestion and stationarity verification; (2) technical feature extraction with fold-local normalization and leakage prevention; (3) model training, hyperparameter optimization, and parallel out-of-sample inference across the four model families; and (4) translation of predictions into trading signals, Sharpe Ratio and VaR computation, and streaming to a live Microsoft Power BI dashboard via DirectQuery (Algorithm 1).</w:t>
      </w:r>
    </w:p>
    <w:p w14:paraId="6BDFCAA5" w14:textId="77777777" w:rsidR="008A78AA" w:rsidRDefault="00000000">
      <w:pPr>
        <w:pStyle w:val="Heading2"/>
      </w:pPr>
      <w:r>
        <w:t>High-Frequency Market Data Extraction (Layer 1)</w:t>
      </w:r>
    </w:p>
    <w:p w14:paraId="036E0F43" w14:textId="77777777" w:rsidR="008A78AA" w:rsidRDefault="00000000">
      <w:pPr>
        <w:pStyle w:val="BodyText"/>
      </w:pPr>
      <w:r>
        <w:t xml:space="preserve">Layer 1 ingests 43,786 consecutive hourly OHLCV records of BTC/USDT from the Binance Spot API (March 2021 to March 2026) [39] (Fig. 1). Three statistical baselines were implemented under identical Walk-Forward folds: (a) Persistence (Naïve Flat): for each 168-hour test window, ŷ_{t+h} = y_{T_train} for all h = 1,...,168, i.e., the last observed normalized close price is repeated flat; it achieved normalized RMSE = 0.2341. Because the signal sign(ŷ_t − y_{t−1}) applied to a flat forecast is a data-dependent mean-reversion bet, the persistence DA is not reported as a fixed number; model DAs are compared against the ARIMA and buy-and-hold baselines in Table II. All models forecast recursively over the 168-hour window (Section II.F), so DA and Sharpe Ratio are gross directional utility metrics computed from stale-forecast signals. (b) Buy-and-Hold: a passive long BTC/USDT position whose Sharpe Ratio is computed over the same 4,032 out-of-sample test hours (the union of the 24 test windows) for a fair comparison: 0.58 (0.63 over the full five-year sample). (c) ARIMA(1,1,1): fitted per fold with a fixed order selected a priori (AIC was not used) and estimated by maximum likelihood; mean out-of-fold RMSE = 0.1987 (normalized), DA = 51.8%, Sharpe Ratio = 0.41. All four ML models achieve a lower normalized RMSE than the three baselines; on DA and Sharpe Ratio only the LSTM and GRU exceed all three (XGBoost trails ARIMA, and XGBoost and Informer fall below buy-and-hold; see Table II). All derived feature series passed the Augmented Dickey-Fuller (ADF) test (AIC lag selection, constant + trend), rejecting the unit-root null at the 5% level (p &lt; 0.05); the raw closing price level is non-stationary and was not used as a feature. Bounded oscillators are stationary by construction, whereas level-dependent features (EMA-12, EMA-26, ATR-14, OBV, Rolling σ_t) showed borderline unit-root behavior in some fold sub-samples and were first-differenced before scaling, after which the ADF null was rejected for all series in all 24 folds.</w:t>
      </w:r>
    </w:p>
    <w:p w14:paraId="304C1F6F" w14:textId="77777777" w:rsidR="008A78AA" w:rsidRDefault="00000000">
      <w:pPr>
        <w:pStyle w:val="Heading2"/>
      </w:pPr>
      <w:r>
        <w:t>Feature Engineering and Temporal Leakage Prevention (Layer 2)</w:t>
      </w:r>
    </w:p>
    <w:p w14:paraId="735EB199" w14:textId="77777777" w:rsidR="008A78AA" w:rsidRDefault="00000000">
      <w:pPr>
        <w:pStyle w:val="BodyText"/>
      </w:pPr>
      <w:r>
        <w:t>A set of 15 technical indicators was engineered to represent price momentum, trend, and volatility at multiple scales. Moving Average Convergence Divergence (MACD) was computed from exponential moving averages [40] (Eq. 2).</w:t>
      </w:r>
    </w:p>
    <w:p w14:paraId="12D03757" w14:textId="77777777" w:rsidR="008A78AA" w:rsidRDefault="00000000">
      <w:pPr>
        <w:pStyle w:val="BodyText"/>
      </w:pPr>
      <w:r>
        <w:t xml:space="preserve">To guarantee zero temporal leakage, all features were normalized with strictly Fold-Local Min-Max Scaling (Eq. 1): scaling parameters (Xmin, Xmax) were computed exclusively from each training window and applied out-of-sample to the corresponding test window, precluding look-ahead bias [41], [42]. Consequently, RMSE and MAE in Table I are on the fold-local normalized [0, 1] scale and cannot be averaged across folds and converted to USD with a single global price range, because each fold's (Xmax − Xmin) differs (global extremes of $16,800 in Nov 2022 and about $126,000 in Oct 2025 span different folds). MAPE is not reported because on this scale it is not a meaningful percentage price error.</w:t>
      </w:r>
    </w:p>
    <w:tbl>
      <w:tblPr>
        <w:tblW w:w="4908" w:type="dxa"/>
        <w:jc w:val="center"/>
        <w:tblLayout w:type="fixed"/>
        <w:tblLook w:val="0000" w:firstRow="0" w:lastRow="0" w:firstColumn="0" w:lastColumn="0" w:noHBand="0" w:noVBand="0"/>
      </w:tblPr>
      <w:tblGrid>
        <w:gridCol w:w="4908"/>
      </w:tblGrid>
      <w:tr w:rsidR="008A78AA" w14:paraId="414CC99B"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58E7C8B7" w14:textId="77777777" w:rsidR="005932C6" w:rsidRDefault="00000000">
            <w:pPr>
              <w:spacing w:line="228" w:lineRule="auto"/>
            </w:pPr>
            <w:r>
              <w:rPr>
                <w:rFonts w:ascii="Consolas" w:hAnsi="Consolas"/>
                <w:b/>
                <w:sz w:val="16"/>
              </w:rPr>
              <w:t>Algorithm 1: 4-Layer BI-ML Implementation Pipeline</w:t>
            </w:r>
          </w:p>
          <w:p w14:paraId="4F0BF297" w14:textId="77777777" w:rsidR="005932C6" w:rsidRDefault="00000000">
            <w:pPr>
              <w:spacing w:line="228" w:lineRule="auto"/>
            </w:pPr>
            <w:r>
              <w:rPr>
                <w:rFonts w:ascii="Consolas" w:hAnsi="Consolas"/>
                <w:i/>
                <w:sz w:val="14"/>
              </w:rPr>
              <w:t>Input:  High-frequency Cryptocurrency OHLCV Spot Data (43,786 Hourly Records)</w:t>
            </w:r>
          </w:p>
          <w:p w14:paraId="18666A18" w14:textId="77777777" w:rsidR="005932C6" w:rsidRDefault="00000000">
            <w:pPr>
              <w:spacing w:line="228" w:lineRule="auto"/>
            </w:pPr>
            <w:r>
              <w:rPr>
                <w:rFonts w:ascii="Consolas" w:hAnsi="Consolas"/>
                <w:i/>
                <w:sz w:val="14"/>
              </w:rPr>
              <w:t>Output: Risk-Adjusted Dashboard Matrix (Sharpe Ratio, VaR95%, Directional Accuracy)</w:t>
            </w:r>
          </w:p>
          <w:p w14:paraId="2C00C907" w14:textId="77777777" w:rsidR="005932C6" w:rsidRDefault="00000000">
            <w:pPr>
              <w:spacing w:line="228" w:lineRule="auto"/>
            </w:pPr>
            <w:r>
              <w:rPr>
                <w:rFonts w:ascii="Consolas" w:hAnsi="Consolas"/>
                <w:sz w:val="15"/>
              </w:rPr>
              <w:t>─────────────────────────────────────────────────────────────────────────────────</w:t>
            </w:r>
          </w:p>
          <w:p w14:paraId="352CCEC3" w14:textId="77777777" w:rsidR="005932C6" w:rsidRDefault="00000000">
            <w:pPr>
              <w:spacing w:line="228" w:lineRule="auto"/>
            </w:pPr>
            <w:r>
              <w:rPr>
                <w:rFonts w:ascii="Consolas" w:hAnsi="Consolas"/>
                <w:b/>
                <w:sz w:val="14"/>
              </w:rPr>
              <w:t>// Layer 1: High-Frequency Market Data Ingestion</w:t>
            </w:r>
          </w:p>
          <w:p w14:paraId="1304D1AE" w14:textId="77777777" w:rsidR="005932C6" w:rsidRDefault="00000000">
            <w:pPr>
              <w:spacing w:line="228" w:lineRule="auto"/>
            </w:pPr>
            <w:r>
              <w:rPr>
                <w:rFonts w:ascii="Consolas" w:hAnsi="Consolas"/>
                <w:sz w:val="14"/>
              </w:rPr>
              <w:t xml:space="preserve">1:  raw_data ← BinanceAPI.get_historical_klines(symbol='BTCUSDT', interval='1h')</w:t>
            </w:r>
          </w:p>
          <w:p w14:paraId="3AECB496" w14:textId="77777777" w:rsidR="005932C6" w:rsidRDefault="00000000">
            <w:pPr>
              <w:spacing w:line="228" w:lineRule="auto"/>
            </w:pPr>
            <w:r>
              <w:rPr>
                <w:rFonts w:ascii="Consolas" w:hAnsi="Consolas"/>
                <w:sz w:val="14"/>
              </w:rPr>
              <w:t xml:space="preserve">2:  StationarityCheck ← AugmentedDickeyFullerTest(raw_data)  // Verify p &lt; 0.05</w:t>
            </w:r>
          </w:p>
          <w:p w14:paraId="25D8B70F" w14:textId="77777777" w:rsidR="005932C6" w:rsidRDefault="005932C6">
            <w:pPr>
              <w:spacing w:line="228" w:lineRule="auto"/>
            </w:pPr>
          </w:p>
          <w:p w14:paraId="05F388C1" w14:textId="77777777" w:rsidR="005932C6" w:rsidRDefault="00000000">
            <w:pPr>
              <w:spacing w:line="228" w:lineRule="auto"/>
            </w:pPr>
            <w:r>
              <w:rPr>
                <w:rFonts w:ascii="Consolas" w:hAnsi="Consolas"/>
                <w:b/>
                <w:sz w:val="14"/>
              </w:rPr>
              <w:lastRenderedPageBreak/>
              <w:t>// Layer 2: Feature Engineering &amp; Temporal Leakage Prevention</w:t>
            </w:r>
          </w:p>
          <w:p w14:paraId="6AD20078" w14:textId="77777777" w:rsidR="005932C6" w:rsidRDefault="00000000">
            <w:pPr>
              <w:spacing w:line="228" w:lineRule="auto"/>
            </w:pPr>
            <w:r>
              <w:rPr>
                <w:rFonts w:ascii="Consolas" w:hAnsi="Consolas"/>
                <w:sz w:val="14"/>
              </w:rPr>
              <w:t xml:space="preserve">3:  Extracted_Features ← GenerateIndicators(raw_data)  // MACD, Volatility σ_t, RSI</w:t>
            </w:r>
          </w:p>
          <w:p w14:paraId="1568E9D1" w14:textId="77777777" w:rsidR="005932C6" w:rsidRDefault="00000000">
            <w:pPr>
              <w:spacing w:line="228" w:lineRule="auto"/>
            </w:pPr>
            <w:r>
              <w:rPr>
                <w:rFonts w:ascii="Consolas" w:hAnsi="Consolas"/>
                <w:sz w:val="14"/>
              </w:rPr>
              <w:t>4:  Folds ← ChronologicalWalkForwardSplit(Extracted_Features, train=720h, test=168h)</w:t>
            </w:r>
          </w:p>
          <w:p w14:paraId="74DEB1E4" w14:textId="77777777" w:rsidR="005932C6" w:rsidRDefault="005932C6">
            <w:pPr>
              <w:spacing w:line="228" w:lineRule="auto"/>
            </w:pPr>
          </w:p>
          <w:p w14:paraId="1E5B7629" w14:textId="77777777" w:rsidR="005932C6" w:rsidRDefault="00000000">
            <w:pPr>
              <w:spacing w:line="228" w:lineRule="auto"/>
            </w:pPr>
            <w:r>
              <w:rPr>
                <w:rFonts w:ascii="Consolas" w:hAnsi="Consolas"/>
                <w:b/>
                <w:sz w:val="14"/>
              </w:rPr>
              <w:t>// Layer 3: Model Optimization &amp; Parallel Out-of-Sample Inference</w:t>
            </w:r>
          </w:p>
          <w:p w14:paraId="35D0BFF6" w14:textId="77777777" w:rsidR="005932C6" w:rsidRDefault="00000000">
            <w:pPr>
              <w:spacing w:line="228" w:lineRule="auto"/>
            </w:pPr>
            <w:r>
              <w:rPr>
                <w:rFonts w:ascii="Consolas" w:hAnsi="Consolas"/>
                <w:b/>
                <w:sz w:val="14"/>
              </w:rPr>
              <w:t xml:space="preserve">5:  for each validation_fold ∈ Folds do</w:t>
            </w:r>
          </w:p>
          <w:p w14:paraId="24611BA2" w14:textId="77777777" w:rsidR="005932C6" w:rsidRDefault="00000000">
            <w:pPr>
              <w:spacing w:line="228" w:lineRule="auto"/>
            </w:pPr>
            <w:r>
              <w:rPr>
                <w:rFonts w:ascii="Consolas" w:hAnsi="Consolas"/>
                <w:sz w:val="14"/>
              </w:rPr>
              <w:t xml:space="preserve">6:      scale_params ← FoldLocalMinMaxFit(validation_fold.train)  // Zero look-ahead</w:t>
            </w:r>
          </w:p>
          <w:p w14:paraId="3C6DD278" w14:textId="77777777" w:rsidR="005932C6" w:rsidRDefault="00000000">
            <w:pPr>
              <w:spacing w:line="228" w:lineRule="auto"/>
            </w:pPr>
            <w:r>
              <w:rPr>
                <w:rFonts w:ascii="Consolas" w:hAnsi="Consolas"/>
                <w:sz w:val="14"/>
              </w:rPr>
              <w:t xml:space="preserve">7:      X_train_norm ← ApplyScaling(validation_fold.train, scale_params)</w:t>
            </w:r>
          </w:p>
          <w:p w14:paraId="5C301D69" w14:textId="77777777" w:rsidR="005932C6" w:rsidRDefault="00000000">
            <w:pPr>
              <w:spacing w:line="228" w:lineRule="auto"/>
            </w:pPr>
            <w:r>
              <w:rPr>
                <w:rFonts w:ascii="Consolas" w:hAnsi="Consolas"/>
                <w:sz w:val="14"/>
              </w:rPr>
              <w:t xml:space="preserve">8:      X_test_norm  ← ApplyScaling(validation_fold.test, scale_params)</w:t>
            </w:r>
          </w:p>
          <w:p w14:paraId="3CE51A7D" w14:textId="77777777" w:rsidR="005932C6" w:rsidRDefault="00000000">
            <w:pPr>
              <w:spacing w:line="228" w:lineRule="auto"/>
            </w:pPr>
            <w:r>
              <w:rPr>
                <w:rFonts w:ascii="Consolas" w:hAnsi="Consolas"/>
                <w:sz w:val="14"/>
              </w:rPr>
              <w:t xml:space="preserve">9:      model_weights ← TrainModels(X_train_norm, [XGBoost, LSTM, GRU, Informer])</w:t>
            </w:r>
          </w:p>
          <w:p w14:paraId="3C3602FB" w14:textId="77777777" w:rsidR="005932C6" w:rsidRDefault="00000000">
            <w:pPr>
              <w:spacing w:line="228" w:lineRule="auto"/>
            </w:pPr>
            <w:r>
              <w:rPr>
                <w:rFonts w:ascii="Consolas" w:hAnsi="Consolas"/>
                <w:sz w:val="14"/>
              </w:rPr>
              <w:t xml:space="preserve">10:     predict_tensor ← model_weights.predict(X_test_norm)</w:t>
            </w:r>
          </w:p>
          <w:p w14:paraId="7F1D1B4A" w14:textId="77777777" w:rsidR="005932C6" w:rsidRDefault="00000000">
            <w:pPr>
              <w:spacing w:line="228" w:lineRule="auto"/>
            </w:pPr>
            <w:r>
              <w:rPr>
                <w:rFonts w:ascii="Consolas" w:hAnsi="Consolas"/>
                <w:b/>
                <w:sz w:val="14"/>
              </w:rPr>
              <w:t>11: end for</w:t>
            </w:r>
          </w:p>
          <w:p w14:paraId="1AACEA5C" w14:textId="77777777" w:rsidR="005932C6" w:rsidRDefault="005932C6">
            <w:pPr>
              <w:spacing w:line="228" w:lineRule="auto"/>
            </w:pPr>
          </w:p>
          <w:p w14:paraId="76A7844A" w14:textId="77777777" w:rsidR="005932C6" w:rsidRDefault="00000000">
            <w:pPr>
              <w:spacing w:line="228" w:lineRule="auto"/>
            </w:pPr>
            <w:r>
              <w:rPr>
                <w:rFonts w:ascii="Consolas" w:hAnsi="Consolas"/>
                <w:b/>
                <w:sz w:val="14"/>
              </w:rPr>
              <w:t>// Layer 4: Enterprise BI Decision Support &amp; Financial Risk Engine</w:t>
            </w:r>
          </w:p>
          <w:p w14:paraId="138B05EB" w14:textId="77777777" w:rsidR="005932C6" w:rsidRDefault="00000000">
            <w:pPr>
              <w:spacing w:line="228" w:lineRule="auto"/>
            </w:pPr>
            <w:r>
              <w:rPr>
                <w:rFonts w:ascii="Consolas" w:hAnsi="Consolas"/>
                <w:sz w:val="14"/>
              </w:rPr>
              <w:t xml:space="preserve">12: trading_signals ← Sign(predict_tensor - actual_{t-1})  // s_t ∈ {+1, -1}</w:t>
            </w:r>
          </w:p>
          <w:p w14:paraId="576EC5BC" w14:textId="77777777" w:rsidR="005932C6" w:rsidRDefault="00000000">
            <w:pPr>
              <w:spacing w:line="228" w:lineRule="auto"/>
            </w:pPr>
            <w:r>
              <w:rPr>
                <w:rFonts w:ascii="Consolas" w:hAnsi="Consolas"/>
                <w:sz w:val="14"/>
              </w:rPr>
              <w:t xml:space="preserve">13: strategy_returns ← trading_signals × LogReturns(actual_prices)</w:t>
            </w:r>
          </w:p>
          <w:p w14:paraId="4FA4B46F" w14:textId="77777777" w:rsidR="005932C6" w:rsidRDefault="00000000">
            <w:pPr>
              <w:spacing w:line="228" w:lineRule="auto"/>
            </w:pPr>
            <w:r>
              <w:rPr>
                <w:rFonts w:ascii="Consolas" w:hAnsi="Consolas"/>
                <w:sz w:val="14"/>
              </w:rPr>
              <w:t xml:space="preserve">14: PostgreSql_DataMart.BulkInsert(predict_tensor, strategy_returns, trading_signals)</w:t>
            </w:r>
          </w:p>
          <w:p w14:paraId="7CAAD8D1" w14:textId="77777777" w:rsidR="005932C6" w:rsidRDefault="00000000">
            <w:pPr>
              <w:spacing w:line="228" w:lineRule="auto"/>
            </w:pPr>
            <w:r>
              <w:rPr>
                <w:rFonts w:ascii="Consolas" w:hAnsi="Consolas"/>
                <w:sz w:val="14"/>
              </w:rPr>
              <w:t xml:space="preserve">15: PowerBI_Dashboard.Render(Sharpe(strategy_returns), VaR95%(strategy_returns), DirAcc(trading_signals))</w:t>
            </w:r>
          </w:p>
        </w:tc>
      </w:tr>
    </w:tbl>
    <w:p w14:paraId="39DF0691" w14:textId="77777777" w:rsidR="008A78AA" w:rsidRDefault="00000000">
      <w:pPr>
        <w:pStyle w:val="BodyText"/>
      </w:pPr>
      <w:r>
        <w:lastRenderedPageBreak/>
        <w:t>The mathematical formulation for fold-local feature normalization is defined as:</w:t>
      </w:r>
    </w:p>
    <w:p w14:paraId="3C0BB88D" w14:textId="77777777" w:rsidR="008A78AA" w:rsidRDefault="00000000">
      <w:pPr>
        <w:pStyle w:val="equation"/>
      </w:pPr>
      <w:r>
        <w:tab/>
        <w:t xml:space="preserve">Xnorm = (X − Xmin) / (Xmax − Xmin)</w:t>
        <w:tab/>
        <w:t>(1)</w:t>
      </w:r>
    </w:p>
    <w:p w14:paraId="28B3C4D4" w14:textId="77777777" w:rsidR="008A78AA" w:rsidRDefault="00000000">
      <w:pPr>
        <w:pStyle w:val="Heading2"/>
      </w:pPr>
      <w:r>
        <w:t>Technical Indicators and Explainability Analysis</w:t>
      </w:r>
    </w:p>
    <w:p w14:paraId="1392B70F" w14:textId="0B4BDE01" w:rsidR="008A78AA" w:rsidRDefault="007F0DB4">
      <w:pPr>
        <w:pStyle w:val="BodyText"/>
      </w:pPr>
      <w:r>
        <w:t xml:space="preserve">The 15 engineered features comprise: (1)–(2) EMA-12 and EMA-26 (trend); (3)–(5) RSI-14, Stochastic %K-14, and Stochastic %D-3 (momentum oscillators); (6)–(9) Bollinger Band Upper, Lower, and Width, and ATR-14 (volatility bands); (10)–(12) MACD line, Signal, and Histogram (convergence/divergence); (13) On-Balance Volume (OBV); (14) (15) 24-h rolling standard deviation of log returns (σ_t-24) and (15) Rate of Change (ROC-10). The log return r_t = ln(P_t / P_{t-1}) is only used internally (for σ_t-24 and ADF testing), not as a separate feature. SHapley Additive exPlanations (SHAP) analysis [43] across all models confirmed that volatility and momentum measures dominated predictive attribution; σ_t-24 consistently ranked first by mean absolute SHAP value, accounting for approximately 23% of total attribution in the GRU. MACD is computed as:</w:t>
      </w:r>
    </w:p>
    <w:p w14:paraId="7E857D35" w14:textId="77777777" w:rsidR="008A78AA" w:rsidRDefault="005002B2">
      <w:pPr>
        <w:pStyle w:val="BodyText"/>
      </w:pPr>
      <w:r>
        <w:tab/>
        <w:t>MACD = EMA12 − EMA26</w:t>
        <w:tab/>
        <w:t>(2)</w:t>
      </w:r>
    </w:p>
    <w:p w14:paraId="62215463" w14:textId="77777777" w:rsidR="008A78AA" w:rsidRDefault="00000000">
      <w:pPr>
        <w:pStyle w:val="BodyText"/>
      </w:pPr>
      <w:r>
        <w:t xml:space="preserve">Within each sliding window, rolling standard deviation σt quantified short-term regime volatility, serving as a primary state indicator:</w:t>
      </w:r>
    </w:p>
    <w:p w14:paraId="33AF36CD" w14:textId="77777777" w:rsidR="008A78AA" w:rsidRDefault="00CF5423">
      <w:pPr>
        <w:pStyle w:val="equation"/>
      </w:pPr>
      <w:r>
        <w:tab/>
        <w:t xml:space="preserve">σt = √[ (1/n) × Σi=0n−1 (Pt−i − P̄)² ]</w:t>
        <w:tab/>
        <w:t>(3)</w:t>
      </w:r>
    </w:p>
    <w:p w14:paraId="63D63255" w14:textId="77777777" w:rsidR="008A78AA" w:rsidRDefault="00000000">
      <w:pPr>
        <w:pStyle w:val="BodyText"/>
        <w:ind w:firstLine="0"/>
        <w:jc w:val="center"/>
      </w:pPr>
      <w:r>
        <w:rPr>
          <w:noProof/>
        </w:rPr>
        <w:drawing>
          <wp:inline distT="0" distB="0" distL="0" distR="0" wp14:anchorId="4B005438" wp14:editId="1B822ED8">
            <wp:extent cx="2606110" cy="1765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2615420" cy="1771606"/>
                    </a:xfrm>
                    <a:prstGeom prst="rect">
                      <a:avLst/>
                    </a:prstGeom>
                  </pic:spPr>
                </pic:pic>
              </a:graphicData>
            </a:graphic>
          </wp:inline>
        </w:drawing>
      </w:r>
    </w:p>
    <w:p w14:paraId="2B55DB3E" w14:textId="77777777" w:rsidR="008A78AA" w:rsidRDefault="00000000">
      <w:pPr>
        <w:pStyle w:val="figurecaption"/>
        <w:jc w:val="center"/>
      </w:pPr>
      <w:r>
        <w:t>Hourly closing prices and trading volume of Bitcoin between Mar 2021 and Mar 2026 (43,786 records).</w:t>
      </w:r>
    </w:p>
    <w:p w14:paraId="17C8B6BD" w14:textId="77777777" w:rsidR="008A78AA" w:rsidRDefault="00000000">
      <w:pPr>
        <w:pStyle w:val="Heading2"/>
      </w:pPr>
      <w:r>
        <w:t>Chronological Walk-Forward Validation and Hyperparameter Optimization</w:t>
      </w:r>
    </w:p>
    <w:p w14:paraId="0A1722A4" w14:textId="77777777" w:rsidR="008A78AA" w:rsidRDefault="00000000">
      <w:pPr>
        <w:pStyle w:val="BodyText"/>
      </w:pPr>
      <w:r>
        <w:t xml:space="preserve">Model evaluation followed a strictly chronological 24-fold Walk-Forward Validation scheme [41]. The dataset spans 2021-03-01 00:00:00 UTC to 2026-02-28 23:00:00 UTC; five calendar years would yield 43,824 hours, and the 38-hour discrepancy reflects 38 candles excluded during quality screening (zero-volume ticks, i.e., Volume = 0 and High = Low = Open = Close, verified by SHA-256 checksum of raw API responses; &lt; 0.01% of the dataset). Folds whose 720-hour training or 168-hour test window spans one of the resulting gaps (4 of 24 folds) shift the boundary forward by one hour so that exactly 720 (or 168) retained candles are used, with no interpolation (boundaries are in the supplementary data manifest available from the corresponding author). Each fold used a fixed 720-hour (30-day) training window (Algorithm 1, line 4). The 24 non-overlapping 168-hour test windows are placed with a uniform stride of 1,865 candles (≈ 77.7 days), so that the final window ends near the last candle. The 24 × 168 = 4,032 out-of-sample hours represent 9.2% of the dataset. Hyperparameters were optimized separately for each architectural family.</w:t>
      </w:r>
    </w:p>
    <w:p w14:paraId="3498A6F9" w14:textId="77777777" w:rsidR="008A78AA" w:rsidRDefault="00000000">
      <w:pPr>
        <w:pStyle w:val="BodyText"/>
      </w:pPr>
      <w:r>
        <w:t xml:space="preserve">For XGBoost, hyperparameters were tuned via Grid Search with TimeSeriesSplit (n = 5) over n_estimators ∈ {100, 300, 500}, max_depth ∈ {3, 5, 7}, learning_rate ∈ {0.01, 0.05, 0.10}, and subsample and colsample_bytree ∈ {0.70, 0.85, 1.00}. Sequential 3D arrays (N × 24 × 15) were flattened into 2D vectors (N × 360) prior to fitting. The optimal configuration (n_estimators = 300, max_depth = 5, learning_rate = 0.05, subsample = 0.85, colsample_bytree = 0.85) was regularized via L1/L2 penalties; unlike the neural networks, XGBoost uses neither Adam optimization nor dropout.</w:t>
      </w:r>
    </w:p>
    <w:p w14:paraId="5F4A7D8A" w14:textId="77777777" w:rsidR="008A78AA" w:rsidRDefault="00000000">
      <w:pPr>
        <w:pStyle w:val="BodyText"/>
        <w:rPr>
          <w:lang w:val="en-US"/>
        </w:rPr>
      </w:pPr>
      <w:r>
        <w:t xml:space="preserve">For the neural networks, the lookback was fixed at T = 24 hours (input 24 × 15). Final selected architectures (lowest out-of-fold validation RMSE) are: LSTM, 2 stacked LSTM layers (128 units each) → Dropout(0.2) → Dense(1), 206,465 trainable parameters; GRU, 2 stacked GRU layers (128 units each) → Dropout(0.2) → Dense(1), 154,881 parameters (fewer than the LSTM owing to its two-gate rather than three-gate design); and Informer Transformer, d_model = 64, n_heads = 4, e_layers = 2, d_layers = 1, d_ff = 256, ProbSparse attention factor = 5, Dropout = 0.2, linear input projection (15→64), 223,617 parameters (all counts verified from PyTorch model.parameters()). All neural models used Adam (lr = 0.001, β₁ = 0.9, β₂ = 0.999; lr = 0.0001 for Informer), batch size = 64, and early stopping (patience = 10 epochs, monitor = val_loss). Training ran on CPU (Intel i7-1260P, no GPU); total time over 24 folds was 106.6 s (LSTM) and 192.2 s (GRU).</w:t>
      </w:r>
    </w:p>
    <w:p w14:paraId="47BF043A" w14:textId="77777777" w:rsidR="008A78AA" w:rsidRDefault="00000000">
      <w:pPr>
        <w:pStyle w:val="Heading2"/>
        <w:jc w:val="center"/>
      </w:pPr>
      <w:r>
        <w:t>Model Topologies and Formulations (Layer 3)</w:t>
      </w:r>
    </w:p>
    <w:p w14:paraId="061210E5" w14:textId="77777777" w:rsidR="008A78AA" w:rsidRDefault="00000000">
      <w:pPr>
        <w:pStyle w:val="BodyText"/>
      </w:pPr>
      <w:r>
        <w:t>In the LSTM architecture, the forget gate ft governs the retention of sequential memory states from previous time steps [16]:</w:t>
      </w:r>
    </w:p>
    <w:p w14:paraId="7E1EE346" w14:textId="77777777" w:rsidR="008A78AA" w:rsidRDefault="00000000">
      <w:pPr>
        <w:pStyle w:val="equation"/>
      </w:pPr>
      <w:r>
        <w:tab/>
        <w:t xml:space="preserve">ft = σ(Wf · [ht−1, xt] + bf)</w:t>
        <w:tab/>
        <w:t>(4)</w:t>
      </w:r>
    </w:p>
    <w:p w14:paraId="0201FC94" w14:textId="77777777" w:rsidR="008A78AA" w:rsidRDefault="00000000">
      <w:pPr>
        <w:pStyle w:val="BodyText"/>
      </w:pPr>
      <w:r>
        <w:t xml:space="preserve">The GRU simplifies this mechanism by integrating the forget and input gates into a single update gate zt [17]:</w:t>
      </w:r>
    </w:p>
    <w:p w14:paraId="21436EE4" w14:textId="77777777" w:rsidR="008A78AA" w:rsidRDefault="00000000">
      <w:pPr>
        <w:pStyle w:val="equation"/>
      </w:pPr>
      <w:r>
        <w:tab/>
        <w:t xml:space="preserve">zt = σ(Wz · [ht−1, xt] + bz)</w:t>
        <w:tab/>
        <w:t>(5)</w:t>
      </w:r>
    </w:p>
    <w:p w14:paraId="3301F25B" w14:textId="77777777" w:rsidR="008A78AA" w:rsidRDefault="00000000">
      <w:pPr>
        <w:pStyle w:val="BodyText"/>
      </w:pPr>
      <w:r>
        <w:t xml:space="preserve">The Informer Transformer replaces canonical self-attention with ProbSparse Self-Attention, reducing computational complexity from O(L²) to O(L log L) [21]:</w:t>
      </w:r>
    </w:p>
    <w:p w14:paraId="6CBB4926" w14:textId="77777777" w:rsidR="008A78AA" w:rsidRDefault="00000000">
      <w:pPr>
        <w:pStyle w:val="equation"/>
      </w:pPr>
      <w:r>
        <w:tab/>
        <w:t xml:space="preserve">Attention(Q, K, V) = Softmax(Q̅KT / √dk) V</w:t>
        <w:tab/>
        <w:t>(6)</w:t>
      </w:r>
    </w:p>
    <w:p w14:paraId="67F22A91" w14:textId="77777777" w:rsidR="008A78AA" w:rsidRDefault="00000000">
      <w:pPr>
        <w:pStyle w:val="BodyText"/>
      </w:pPr>
      <w:r>
        <w:t xml:space="preserve">where Q̅ represents the top-k dominant queries identified via probabilistic Kullback-Leibler measurement, enabling efficient long-horizon sequential dependency modeling.</w:t>
      </w:r>
    </w:p>
    <w:p w14:paraId="5057EEF1" w14:textId="77777777" w:rsidR="008A78AA" w:rsidRDefault="00000000">
      <w:pPr>
        <w:pStyle w:val="Heading2"/>
      </w:pPr>
      <w:r>
        <w:lastRenderedPageBreak/>
        <w:t>Enterprise BI Layer and Risk-Adjusted Decision Support (Layer 4)</w:t>
      </w:r>
    </w:p>
    <w:p w14:paraId="25302FF8" w14:textId="77777777" w:rsidR="00540BF5" w:rsidRDefault="00000000" w:rsidP="00540BF5">
      <w:pPr>
        <w:pStyle w:val="BodyText"/>
      </w:pPr>
      <w:r>
        <w:t xml:space="preserve">Layer 4 computes a stale-forecast signal for each of the 168 hours in the test window: st = sign(ŷt − yt−1) </w:t>
      </w:r>
      <w:r>
        <w:rPr>
          <w:rFonts w:ascii="Cambria Math" w:hAnsi="Cambria Math" w:cs="Cambria Math"/>
        </w:rPr>
        <w:t>∈</w:t>
      </w:r>
      <w:r>
        <w:t xml:space="preserve"> {+1, −1}, where +1 denotes a long position and −1 a protective/short allocation, and ŷt is the recursive prediction from the forecast trajectory fixed at the start of the window. 'Stale' means that ŷt at horizon h was produced from predicted (not actual) values at steps 1,...,h−1 and is not updated as actual prices arrive, so the signal is equivalent to a 168-step directional commitment. The per-hour strategy return is Rtstrategy = st · rt, where rt = ln(Pt / Pt−1) is the realized log-return of BTC/USDT. Therefore we evaluate the gross utility of the model’s weekly directional view (not a true hour-by-hour executable strategy, rolling one-step-ahead inference is a planned extension), in terms of directional accuracy, Sharpe ratio and VaR.</w:t>
      </w:r>
    </w:p>
    <w:p w14:paraId="525246DF" w14:textId="44AD0DB7" w:rsidR="008A78AA" w:rsidRDefault="00540BF5" w:rsidP="00540BF5">
      <w:pPr>
        <w:pStyle w:val="BodyText"/>
      </w:pPr>
      <w:r>
        <w:t>To evaluate risk-adjusted performance in the continuous 24/7 market conditions of cryptocurrency, the annualized Sharpe Ratio is calculated as:</w:t>
      </w:r>
    </w:p>
    <w:p w14:paraId="3975AE48" w14:textId="77777777" w:rsidR="008A78AA" w:rsidRDefault="00000000">
      <w:pPr>
        <w:pStyle w:val="equation"/>
      </w:pPr>
      <w:r>
        <w:tab/>
        <w:t xml:space="preserve">SR = √8760 × (R̄strategy − rf / 8760) / σRstrategy</w:t>
        <w:tab/>
        <w:t>(7)</w:t>
      </w:r>
    </w:p>
    <w:p w14:paraId="72ABCEC1" w14:textId="47A5C2DB" w:rsidR="008A78AA" w:rsidRDefault="00AE7BC5">
      <w:pPr>
        <w:pStyle w:val="BodyText"/>
      </w:pPr>
      <w:r>
        <w:t xml:space="preserve">where √8760 = √(365 × 24) is the annualization factor for 8,760 continuous trading hours per year, rf = 2.0% per annum is the risk-free rate, and σRstrategy is the sample standard deviation of hourly strategy returns. VaR95% is the 5th percentile of the empirical strategy return distribution (historical simulation). Both metrics are computed on gross strategy returns, i.e., before fees and slippage (Binance fee schedule: 0.10% taker / 0.02% maker; see Discussion). All metrics are written to the PostgreSQL Data Mart and streamed into Microsoft Power BI via DirectQuery.</w:t>
      </w:r>
    </w:p>
    <w:p w14:paraId="4427B0B5" w14:textId="77777777" w:rsidR="008A78AA" w:rsidRDefault="00000000">
      <w:pPr>
        <w:pStyle w:val="Heading1"/>
      </w:pPr>
      <w:r>
        <w:t>RESULTS AND DISCUSSION</w:t>
      </w:r>
    </w:p>
    <w:p w14:paraId="41B2ED7D" w14:textId="77777777" w:rsidR="008A78AA" w:rsidRDefault="00B81C38">
      <w:pPr>
        <w:pStyle w:val="BodyText"/>
      </w:pPr>
      <w:r>
        <w:t>Fig. 2 compares the out-of-sample forecasts of the four architectures with realized BTC/USDT prices across representative 168-hour Walk-Forward windows; the loss benchmarks are summarized in Table I.</w:t>
      </w:r>
    </w:p>
    <w:p w14:paraId="084DB72B" w14:textId="77777777" w:rsidR="008A78AA" w:rsidRDefault="00000000">
      <w:pPr>
        <w:pStyle w:val="BodyText"/>
        <w:ind w:firstLine="0"/>
        <w:jc w:val="center"/>
      </w:pPr>
      <w:r>
        <w:rPr>
          <w:noProof/>
        </w:rPr>
        <w:drawing>
          <wp:inline distT="0" distB="0" distL="0" distR="0" wp14:anchorId="67B26652" wp14:editId="78F0230A">
            <wp:extent cx="3079103" cy="152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090607" cy="1529694"/>
                    </a:xfrm>
                    <a:prstGeom prst="rect">
                      <a:avLst/>
                    </a:prstGeom>
                  </pic:spPr>
                </pic:pic>
              </a:graphicData>
            </a:graphic>
          </wp:inline>
        </w:drawing>
      </w:r>
    </w:p>
    <w:p w14:paraId="2878AF89" w14:textId="77777777" w:rsidR="008A78AA" w:rsidRDefault="00D16FC1">
      <w:pPr>
        <w:pStyle w:val="figurecaption"/>
        <w:jc w:val="center"/>
      </w:pPr>
      <w:r>
        <w:t xml:space="preserve">168-hour out-of-sample forecast overlay: actual BTC closing prices (solid) vs. XGBoost, LSTM, GRU and Informer predictions across representative Walk-Forward test folds.</w:t>
      </w:r>
    </w:p>
    <w:p w14:paraId="38F2D61D" w14:textId="77777777" w:rsidR="008A78AA" w:rsidRDefault="00000000">
      <w:pPr>
        <w:pStyle w:val="Heading2"/>
      </w:pPr>
      <w:r>
        <w:t>Validation Across Model Topologies</w:t>
      </w:r>
    </w:p>
    <w:p w14:paraId="570CEAFA" w14:textId="77777777" w:rsidR="008A78AA" w:rsidRDefault="00B81C38">
      <w:pPr>
        <w:pStyle w:val="BodyText"/>
      </w:pPr>
      <w:r>
        <w:t xml:space="preserve">Table I reports mean RMSE and MAE across all 24 Walk-Forward test folds (MAPE is omitted; see Section II.B). XGBoost showed the widest error dispersion (RMSE = 0.1524 ± 0.0068), reflecting the limits of static trees in multi-step sequence forecasting. The Informer recorded an RMSE of 0.1321 ± 0.0081; its self-attention mechanism may be sensitive to high-frequency micro-volatility noise (a hypothesis not tested here); Grądzki et al. [30] likewise found that Transformer variants did not outperform a ResNet-LSTM.</w:t>
      </w:r>
    </w:p>
    <w:p w14:paraId="259F6DDC" w14:textId="1ED7156D" w:rsidR="008A78AA" w:rsidRDefault="00AE7BC5" w:rsidP="00662A52">
      <w:pPr>
        <w:pStyle w:val="BodyText"/>
      </w:pPr>
      <w:r>
        <w:t xml:space="preserve">The GRU had the lowest error (RMSE = 0.1058 +/- 0.0034, MAE = 0.0948 +/- 0.0028) among all models and the point-forecasting stability was the highest. A Kruskal-Wallis test rejected equal performance across architectures (H = 18.4, p &lt; 0.001), and pairwise Diebold-Mariano (DM) tests [44] (two-sided, with the Harvey et al. [45] small-sample correction, T − 1 = 23 degrees of freedom for T = 24 folds) produced: GRU vs. XGBoost, DM = 4.21, p = 0.0003; GRU vs. Informer, DM = 2.87, p = 0.009; GRU vs. LSTM, DM = 2.14, p = 0.043. The GRU performs better than XGBoost and Informer on RMSE after Bonferroni correction for three comparisons (α adj = 0.05/3 = 0.0167). The advantage over LSTM (p = 0.043 &gt; α adj) is in the same direction but not formally significant.</w:t>
      </w:r>
    </w:p>
    <w:p w14:paraId="7046601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734"/>
        <w:gridCol w:w="1532"/>
        <w:gridCol w:w="1534"/>
      </w:tblGrid>
      <w:tr w:rsidR="008A78AA" w14:paraId="736E767F" w14:textId="77777777">
        <w:trPr>
          <w:cantSplit/>
          <w:trHeight w:val="240"/>
          <w:tblHeader/>
          <w:jc w:val="center"/>
        </w:trPr>
        <w:tc>
          <w:tcPr>
            <w:tcW w:w="1734" w:type="dxa"/>
            <w:tcBorders>
              <w:top w:val="single" w:sz="8" w:space="0" w:color="000000"/>
              <w:bottom w:val="single" w:sz="4" w:space="0" w:color="000000"/>
            </w:tcBorders>
            <w:tcMar>
              <w:top w:w="25" w:type="dxa"/>
              <w:left w:w="70" w:type="dxa"/>
              <w:bottom w:w="25" w:type="dxa"/>
              <w:right w:w="70" w:type="dxa"/>
            </w:tcMar>
            <w:vAlign w:val="center"/>
          </w:tcPr>
          <w:p w14:paraId="56E25EE0" w14:textId="77777777" w:rsidR="008A78AA" w:rsidRDefault="00000000">
            <w:pPr>
              <w:pStyle w:val="tablecolhead"/>
              <w:spacing w:line="228" w:lineRule="auto"/>
            </w:pPr>
            <w:r>
              <w:t>Model</w:t>
            </w:r>
          </w:p>
        </w:tc>
        <w:tc>
          <w:tcPr>
            <w:tcW w:w="1532" w:type="dxa"/>
            <w:tcBorders>
              <w:top w:val="single" w:sz="8" w:space="0" w:color="000000"/>
              <w:bottom w:val="single" w:sz="4" w:space="0" w:color="000000"/>
            </w:tcBorders>
            <w:tcMar>
              <w:top w:w="25" w:type="dxa"/>
              <w:left w:w="70" w:type="dxa"/>
              <w:bottom w:w="25" w:type="dxa"/>
              <w:right w:w="70" w:type="dxa"/>
            </w:tcMar>
            <w:vAlign w:val="center"/>
          </w:tcPr>
          <w:p w14:paraId="455E9A81" w14:textId="77777777" w:rsidR="008A78AA" w:rsidRDefault="00000000">
            <w:pPr>
              <w:pStyle w:val="tablecolhead"/>
              <w:spacing w:line="228" w:lineRule="auto"/>
            </w:pPr>
            <w:r>
              <w:t>Mean RMSE (± SD)</w:t>
            </w:r>
          </w:p>
        </w:tc>
        <w:tc>
          <w:tcPr>
            <w:tcW w:w="1534" w:type="dxa"/>
            <w:tcBorders>
              <w:top w:val="single" w:sz="8" w:space="0" w:color="000000"/>
              <w:bottom w:val="single" w:sz="4" w:space="0" w:color="000000"/>
            </w:tcBorders>
            <w:tcMar>
              <w:top w:w="25" w:type="dxa"/>
              <w:left w:w="70" w:type="dxa"/>
              <w:bottom w:w="25" w:type="dxa"/>
              <w:right w:w="70" w:type="dxa"/>
            </w:tcMar>
            <w:vAlign w:val="center"/>
          </w:tcPr>
          <w:p w14:paraId="595A2C9D" w14:textId="77777777" w:rsidR="008A78AA" w:rsidRDefault="00000000">
            <w:pPr>
              <w:pStyle w:val="tablecolhead"/>
              <w:spacing w:line="228" w:lineRule="auto"/>
            </w:pPr>
            <w:r>
              <w:t>Absolute MAE (± SD)</w:t>
            </w:r>
          </w:p>
        </w:tc>
      </w:tr>
      <w:tr w:rsidR="008A78AA" w14:paraId="2BAED9B7" w14:textId="77777777">
        <w:trPr>
          <w:cantSplit/>
          <w:trHeight w:val="240"/>
          <w:jc w:val="center"/>
        </w:trPr>
        <w:tc>
          <w:tcPr>
            <w:tcW w:w="1734" w:type="dxa"/>
            <w:tcMar>
              <w:top w:w="25" w:type="dxa"/>
              <w:left w:w="70" w:type="dxa"/>
              <w:bottom w:w="25" w:type="dxa"/>
              <w:right w:w="70" w:type="dxa"/>
            </w:tcMar>
            <w:vAlign w:val="center"/>
          </w:tcPr>
          <w:p w14:paraId="6FC4E2D1" w14:textId="77777777" w:rsidR="008A78AA" w:rsidRDefault="00000000">
            <w:pPr>
              <w:pStyle w:val="tablecopy"/>
              <w:spacing w:line="228" w:lineRule="auto"/>
              <w:jc w:val="left"/>
            </w:pPr>
            <w:r>
              <w:rPr>
                <w:sz w:val="15"/>
              </w:rPr>
              <w:t>XGBoost</w:t>
            </w:r>
          </w:p>
        </w:tc>
        <w:tc>
          <w:tcPr>
            <w:tcW w:w="1532" w:type="dxa"/>
            <w:tcMar>
              <w:top w:w="25" w:type="dxa"/>
              <w:left w:w="70" w:type="dxa"/>
              <w:bottom w:w="25" w:type="dxa"/>
              <w:right w:w="70" w:type="dxa"/>
            </w:tcMar>
            <w:vAlign w:val="center"/>
          </w:tcPr>
          <w:p w14:paraId="6F3E4F5A" w14:textId="77777777" w:rsidR="008A78AA" w:rsidRDefault="00000000">
            <w:pPr>
              <w:pStyle w:val="tablecopy"/>
              <w:spacing w:line="228" w:lineRule="auto"/>
              <w:jc w:val="center"/>
            </w:pPr>
            <w:r>
              <w:rPr>
                <w:sz w:val="15"/>
              </w:rPr>
              <w:t>0.1524 ± 0.0068</w:t>
            </w:r>
          </w:p>
        </w:tc>
        <w:tc>
          <w:tcPr>
            <w:tcW w:w="1534" w:type="dxa"/>
            <w:tcMar>
              <w:top w:w="25" w:type="dxa"/>
              <w:left w:w="70" w:type="dxa"/>
              <w:bottom w:w="25" w:type="dxa"/>
              <w:right w:w="70" w:type="dxa"/>
            </w:tcMar>
            <w:vAlign w:val="center"/>
          </w:tcPr>
          <w:p w14:paraId="44773165" w14:textId="77777777" w:rsidR="008A78AA" w:rsidRDefault="00000000">
            <w:pPr>
              <w:pStyle w:val="tablecopy"/>
              <w:spacing w:line="228" w:lineRule="auto"/>
              <w:jc w:val="center"/>
            </w:pPr>
            <w:r>
              <w:rPr>
                <w:sz w:val="15"/>
              </w:rPr>
              <w:t>0.1260 ± 0.0055</w:t>
            </w:r>
          </w:p>
        </w:tc>
      </w:tr>
      <w:tr w:rsidR="008A78AA" w14:paraId="69D5264D" w14:textId="77777777">
        <w:trPr>
          <w:cantSplit/>
          <w:trHeight w:val="240"/>
          <w:jc w:val="center"/>
        </w:trPr>
        <w:tc>
          <w:tcPr>
            <w:tcW w:w="1734" w:type="dxa"/>
            <w:tcMar>
              <w:top w:w="25" w:type="dxa"/>
              <w:left w:w="70" w:type="dxa"/>
              <w:bottom w:w="25" w:type="dxa"/>
              <w:right w:w="70" w:type="dxa"/>
            </w:tcMar>
            <w:vAlign w:val="center"/>
          </w:tcPr>
          <w:p w14:paraId="6DE31C24" w14:textId="77777777" w:rsidR="008A78AA" w:rsidRDefault="00000000">
            <w:pPr>
              <w:pStyle w:val="tablecopy"/>
              <w:spacing w:line="228" w:lineRule="auto"/>
              <w:jc w:val="left"/>
            </w:pPr>
            <w:r>
              <w:rPr>
                <w:sz w:val="15"/>
              </w:rPr>
              <w:t>Informer</w:t>
            </w:r>
          </w:p>
        </w:tc>
        <w:tc>
          <w:tcPr>
            <w:tcW w:w="1532" w:type="dxa"/>
            <w:tcMar>
              <w:top w:w="25" w:type="dxa"/>
              <w:left w:w="70" w:type="dxa"/>
              <w:bottom w:w="25" w:type="dxa"/>
              <w:right w:w="70" w:type="dxa"/>
            </w:tcMar>
            <w:vAlign w:val="center"/>
          </w:tcPr>
          <w:p w14:paraId="3CBB890A" w14:textId="77777777" w:rsidR="008A78AA" w:rsidRDefault="00000000">
            <w:pPr>
              <w:pStyle w:val="tablecopy"/>
              <w:spacing w:line="228" w:lineRule="auto"/>
              <w:jc w:val="center"/>
            </w:pPr>
            <w:r>
              <w:rPr>
                <w:sz w:val="15"/>
              </w:rPr>
              <w:t>0.1321 ± 0.0081</w:t>
            </w:r>
          </w:p>
        </w:tc>
        <w:tc>
          <w:tcPr>
            <w:tcW w:w="1534" w:type="dxa"/>
            <w:tcMar>
              <w:top w:w="25" w:type="dxa"/>
              <w:left w:w="70" w:type="dxa"/>
              <w:bottom w:w="25" w:type="dxa"/>
              <w:right w:w="70" w:type="dxa"/>
            </w:tcMar>
            <w:vAlign w:val="center"/>
          </w:tcPr>
          <w:p w14:paraId="01851722" w14:textId="77777777" w:rsidR="008A78AA" w:rsidRDefault="00000000">
            <w:pPr>
              <w:pStyle w:val="tablecopy"/>
              <w:spacing w:line="228" w:lineRule="auto"/>
              <w:jc w:val="center"/>
            </w:pPr>
            <w:r>
              <w:rPr>
                <w:sz w:val="15"/>
              </w:rPr>
              <w:t>0.1119 ± 0.0072</w:t>
            </w:r>
          </w:p>
        </w:tc>
      </w:tr>
      <w:tr w:rsidR="008A78AA" w14:paraId="2827B377" w14:textId="77777777">
        <w:trPr>
          <w:cantSplit/>
          <w:trHeight w:val="240"/>
          <w:jc w:val="center"/>
        </w:trPr>
        <w:tc>
          <w:tcPr>
            <w:tcW w:w="1734" w:type="dxa"/>
            <w:tcMar>
              <w:top w:w="25" w:type="dxa"/>
              <w:left w:w="70" w:type="dxa"/>
              <w:bottom w:w="25" w:type="dxa"/>
              <w:right w:w="70" w:type="dxa"/>
            </w:tcMar>
            <w:vAlign w:val="center"/>
          </w:tcPr>
          <w:p w14:paraId="312B4598" w14:textId="77777777" w:rsidR="008A78AA" w:rsidRDefault="00000000">
            <w:pPr>
              <w:pStyle w:val="tablecopy"/>
              <w:spacing w:line="228" w:lineRule="auto"/>
              <w:jc w:val="left"/>
            </w:pPr>
            <w:r>
              <w:rPr>
                <w:sz w:val="15"/>
              </w:rPr>
              <w:t>LSTM</w:t>
            </w:r>
          </w:p>
        </w:tc>
        <w:tc>
          <w:tcPr>
            <w:tcW w:w="1532" w:type="dxa"/>
            <w:tcMar>
              <w:top w:w="25" w:type="dxa"/>
              <w:left w:w="70" w:type="dxa"/>
              <w:bottom w:w="25" w:type="dxa"/>
              <w:right w:w="70" w:type="dxa"/>
            </w:tcMar>
            <w:vAlign w:val="center"/>
          </w:tcPr>
          <w:p w14:paraId="6419B38E" w14:textId="77777777" w:rsidR="008A78AA" w:rsidRDefault="00000000">
            <w:pPr>
              <w:pStyle w:val="tablecopy"/>
              <w:spacing w:line="228" w:lineRule="auto"/>
              <w:jc w:val="center"/>
            </w:pPr>
            <w:r>
              <w:rPr>
                <w:sz w:val="15"/>
              </w:rPr>
              <w:t>0.1145 ± 0.0051</w:t>
            </w:r>
          </w:p>
        </w:tc>
        <w:tc>
          <w:tcPr>
            <w:tcW w:w="1534" w:type="dxa"/>
            <w:tcMar>
              <w:top w:w="25" w:type="dxa"/>
              <w:left w:w="70" w:type="dxa"/>
              <w:bottom w:w="25" w:type="dxa"/>
              <w:right w:w="70" w:type="dxa"/>
            </w:tcMar>
            <w:vAlign w:val="center"/>
          </w:tcPr>
          <w:p w14:paraId="490A3889" w14:textId="77777777" w:rsidR="008A78AA" w:rsidRDefault="00000000">
            <w:pPr>
              <w:pStyle w:val="tablecopy"/>
              <w:spacing w:line="228" w:lineRule="auto"/>
              <w:jc w:val="center"/>
            </w:pPr>
            <w:r>
              <w:rPr>
                <w:sz w:val="15"/>
              </w:rPr>
              <w:t>0.1008 ± 0.0042</w:t>
            </w:r>
          </w:p>
        </w:tc>
      </w:tr>
      <w:tr w:rsidR="008A78AA" w14:paraId="666B9ECC" w14:textId="77777777">
        <w:trPr>
          <w:cantSplit/>
          <w:trHeight w:val="240"/>
          <w:jc w:val="center"/>
        </w:trPr>
        <w:tc>
          <w:tcPr>
            <w:tcW w:w="1734" w:type="dxa"/>
            <w:tcBorders>
              <w:bottom w:val="single" w:sz="8" w:space="0" w:color="000000"/>
            </w:tcBorders>
            <w:tcMar>
              <w:top w:w="25" w:type="dxa"/>
              <w:left w:w="70" w:type="dxa"/>
              <w:bottom w:w="25" w:type="dxa"/>
              <w:right w:w="70" w:type="dxa"/>
            </w:tcMar>
            <w:vAlign w:val="center"/>
          </w:tcPr>
          <w:p w14:paraId="161CB1F4" w14:textId="77777777" w:rsidR="008A78AA" w:rsidRDefault="00000000">
            <w:pPr>
              <w:pStyle w:val="tablecopy"/>
              <w:spacing w:line="228" w:lineRule="auto"/>
              <w:jc w:val="left"/>
            </w:pPr>
            <w:r>
              <w:rPr>
                <w:sz w:val="15"/>
              </w:rPr>
              <w:t>GRU</w:t>
            </w:r>
          </w:p>
        </w:tc>
        <w:tc>
          <w:tcPr>
            <w:tcW w:w="1532" w:type="dxa"/>
            <w:tcBorders>
              <w:bottom w:val="single" w:sz="8" w:space="0" w:color="000000"/>
            </w:tcBorders>
            <w:tcMar>
              <w:top w:w="25" w:type="dxa"/>
              <w:left w:w="70" w:type="dxa"/>
              <w:bottom w:w="25" w:type="dxa"/>
              <w:right w:w="70" w:type="dxa"/>
            </w:tcMar>
            <w:vAlign w:val="center"/>
          </w:tcPr>
          <w:p w14:paraId="65E38952" w14:textId="77777777" w:rsidR="008A78AA" w:rsidRDefault="00000000">
            <w:pPr>
              <w:pStyle w:val="tablecopy"/>
              <w:spacing w:line="228" w:lineRule="auto"/>
              <w:jc w:val="center"/>
            </w:pPr>
            <w:r>
              <w:rPr>
                <w:sz w:val="15"/>
              </w:rPr>
              <w:t>0.1058 ± 0.0034</w:t>
            </w:r>
          </w:p>
        </w:tc>
        <w:tc>
          <w:tcPr>
            <w:tcW w:w="1534" w:type="dxa"/>
            <w:tcBorders>
              <w:bottom w:val="single" w:sz="8" w:space="0" w:color="000000"/>
            </w:tcBorders>
            <w:tcMar>
              <w:top w:w="25" w:type="dxa"/>
              <w:left w:w="70" w:type="dxa"/>
              <w:bottom w:w="25" w:type="dxa"/>
              <w:right w:w="70" w:type="dxa"/>
            </w:tcMar>
            <w:vAlign w:val="center"/>
          </w:tcPr>
          <w:p w14:paraId="65180B05" w14:textId="77777777" w:rsidR="008A78AA" w:rsidRDefault="00000000">
            <w:pPr>
              <w:pStyle w:val="tablecopy"/>
              <w:spacing w:line="228" w:lineRule="auto"/>
              <w:jc w:val="center"/>
            </w:pPr>
            <w:r>
              <w:rPr>
                <w:sz w:val="15"/>
              </w:rPr>
              <w:t>0.0948 ± 0.0028</w:t>
            </w:r>
          </w:p>
        </w:tc>
      </w:tr>
    </w:tbl>
    <w:p w14:paraId="49B7EC19" w14:textId="77777777" w:rsidR="008A78AA" w:rsidRDefault="00000000">
      <w:pPr>
        <w:pStyle w:val="Heading2"/>
      </w:pPr>
      <w:r>
        <w:t>Operational Microsoft Power BI Prototype Verification</w:t>
      </w:r>
    </w:p>
    <w:p w14:paraId="18FB5AA1" w14:textId="77777777" w:rsidR="009024D9" w:rsidRDefault="009024D9" w:rsidP="009024D9">
      <w:pPr>
        <w:pStyle w:val="BodyText"/>
      </w:pPr>
      <w:r>
        <w:t>As shown in Table II, the evaluation for decision support and risk-adjusted criteria is very different. The operational prototype was tested on a scale adapted from Power [46] and Sharda et al. [36]:</w:t>
      </w:r>
    </w:p>
    <w:p w14:paraId="26742783" w14:textId="7DD09180" w:rsidR="008A78AA" w:rsidRDefault="009024D9" w:rsidP="009024D9">
      <w:pPr>
        <w:pStyle w:val="BodyText"/>
      </w:pPr>
      <w:r>
        <w:t xml:space="preserve">1) Functional Correctness: Inference outputs were streamed to live dashboard tiles with an average refresh latency of 1.2 s and all 43,786 records ingested into the PostgreSQL Data Mart with 100% integrity (row-count audits and SHA-256 checksums). 2) Numerical Stability: Sharpe Ratio and VaR(95%) computed by Dashboard matched Python ground-truth calculations (max deviation &lt;= 0.003).</w:t>
      </w:r>
    </w:p>
    <w:p w14:paraId="3E46F0A4" w14:textId="285BBBCE" w:rsidR="00DE7474" w:rsidRDefault="00000000" w:rsidP="00DE7474">
      <w:pPr>
        <w:pStyle w:val="BodyText"/>
      </w:pPr>
      <w:r>
        <w:t xml:space="preserve">3) Usability Evaluation: After a 30-minute walkthrough, 15 domain evaluators (10 postgraduate informatics researchers and 5 financial analytics professionals) completed the System Usability Scale (SUS) [47]. The dashboard achieved an average SUS score of 86.4 (SD = 3.2, range: 80-92), in the ‘Excellent’ tier (adjective scale 85.5) [48], indicating that evaluators were able to interpret the multi-model outputs after a brief walkthrough. The low SD most probably is due to the homogeneity of the cohort of evaluators. Item-level scores are available on request.</w:t>
      </w:r>
    </w:p>
    <w:p w14:paraId="4E0516DD" w14:textId="3BA302E6" w:rsidR="008A78AA" w:rsidRDefault="00A80842" w:rsidP="00DE7474">
      <w:pPr>
        <w:pStyle w:val="BodyText"/>
      </w:pPr>
      <w:r>
        <w:t>4) Practical Implications: The GRU had the best point RMSE, but the LSTM had the best Directional Accuracy (57.8% ± 2.1%) and annualized Sharpe Ratio (0.87 ± 0.12, VaR95% = −1.18% per hour; Table II, Fig. 3). Therefore, directional agreement is more important than nominal point error for gross risk-adjusted utility of the stale-forecast signal.</w:t>
      </w:r>
    </w:p>
    <w:p w14:paraId="344AFD51"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5872033" w14:textId="77777777">
        <w:trPr>
          <w:cantSplit/>
          <w:trHeight w:val="240"/>
          <w:tblHeader/>
          <w:jc w:val="center"/>
        </w:trPr>
        <w:tc>
          <w:tcPr>
            <w:tcW w:w="1412" w:type="dxa"/>
            <w:tcBorders>
              <w:top w:val="single" w:sz="8" w:space="0" w:color="000000"/>
              <w:bottom w:val="single" w:sz="4" w:space="0" w:color="000000"/>
            </w:tcBorders>
            <w:tcMar>
              <w:top w:w="25" w:type="dxa"/>
              <w:left w:w="70" w:type="dxa"/>
              <w:bottom w:w="25" w:type="dxa"/>
              <w:right w:w="70" w:type="dxa"/>
            </w:tcMar>
            <w:vAlign w:val="center"/>
          </w:tcPr>
          <w:p w14:paraId="3BE4EEE2" w14:textId="77777777" w:rsidR="008A78AA" w:rsidRDefault="00000000">
            <w:pPr>
              <w:pStyle w:val="tablecolhead"/>
              <w:spacing w:line="228" w:lineRule="auto"/>
            </w:pPr>
            <w:r>
              <w:t>System Output</w:t>
            </w:r>
          </w:p>
        </w:tc>
        <w:tc>
          <w:tcPr>
            <w:tcW w:w="851" w:type="dxa"/>
            <w:tcBorders>
              <w:top w:val="single" w:sz="8" w:space="0" w:color="000000"/>
              <w:bottom w:val="single" w:sz="4" w:space="0" w:color="000000"/>
            </w:tcBorders>
            <w:tcMar>
              <w:top w:w="25" w:type="dxa"/>
              <w:left w:w="70" w:type="dxa"/>
              <w:bottom w:w="25" w:type="dxa"/>
              <w:right w:w="70" w:type="dxa"/>
            </w:tcMar>
            <w:vAlign w:val="center"/>
          </w:tcPr>
          <w:p w14:paraId="58AD2180" w14:textId="77777777" w:rsidR="008A78AA" w:rsidRDefault="00000000">
            <w:pPr>
              <w:pStyle w:val="tablecolhead"/>
              <w:spacing w:line="228" w:lineRule="auto"/>
            </w:pPr>
            <w:r>
              <w:t>XGBoost</w:t>
            </w:r>
          </w:p>
        </w:tc>
        <w:tc>
          <w:tcPr>
            <w:tcW w:w="852" w:type="dxa"/>
            <w:tcBorders>
              <w:top w:val="single" w:sz="8" w:space="0" w:color="000000"/>
              <w:bottom w:val="single" w:sz="4" w:space="0" w:color="000000"/>
            </w:tcBorders>
            <w:tcMar>
              <w:top w:w="25" w:type="dxa"/>
              <w:left w:w="70" w:type="dxa"/>
              <w:bottom w:w="25" w:type="dxa"/>
              <w:right w:w="70" w:type="dxa"/>
            </w:tcMar>
            <w:vAlign w:val="center"/>
          </w:tcPr>
          <w:p w14:paraId="04EB1DB2" w14:textId="77777777" w:rsidR="008A78AA" w:rsidRDefault="00000000">
            <w:pPr>
              <w:pStyle w:val="tablecolhead"/>
              <w:spacing w:line="228" w:lineRule="auto"/>
            </w:pPr>
            <w:r>
              <w:t>Informer</w:t>
            </w:r>
          </w:p>
        </w:tc>
        <w:tc>
          <w:tcPr>
            <w:tcW w:w="850" w:type="dxa"/>
            <w:tcBorders>
              <w:top w:val="single" w:sz="8" w:space="0" w:color="000000"/>
              <w:bottom w:val="single" w:sz="4" w:space="0" w:color="000000"/>
            </w:tcBorders>
            <w:tcMar>
              <w:top w:w="25" w:type="dxa"/>
              <w:left w:w="70" w:type="dxa"/>
              <w:bottom w:w="25" w:type="dxa"/>
              <w:right w:w="70" w:type="dxa"/>
            </w:tcMar>
            <w:vAlign w:val="center"/>
          </w:tcPr>
          <w:p w14:paraId="4ADEE23F" w14:textId="77777777" w:rsidR="008A78AA" w:rsidRDefault="00000000">
            <w:pPr>
              <w:pStyle w:val="tablecolhead"/>
              <w:spacing w:line="228" w:lineRule="auto"/>
            </w:pPr>
            <w:r>
              <w:t>LSTM</w:t>
            </w:r>
          </w:p>
        </w:tc>
        <w:tc>
          <w:tcPr>
            <w:tcW w:w="852" w:type="dxa"/>
            <w:tcBorders>
              <w:top w:val="single" w:sz="8" w:space="0" w:color="000000"/>
              <w:bottom w:val="single" w:sz="4" w:space="0" w:color="000000"/>
            </w:tcBorders>
            <w:tcMar>
              <w:top w:w="25" w:type="dxa"/>
              <w:left w:w="70" w:type="dxa"/>
              <w:bottom w:w="25" w:type="dxa"/>
              <w:right w:w="70" w:type="dxa"/>
            </w:tcMar>
            <w:vAlign w:val="center"/>
          </w:tcPr>
          <w:p w14:paraId="639A67A5" w14:textId="77777777" w:rsidR="008A78AA" w:rsidRDefault="00000000">
            <w:pPr>
              <w:pStyle w:val="tablecolhead"/>
              <w:spacing w:line="228" w:lineRule="auto"/>
            </w:pPr>
            <w:r>
              <w:t>GRU</w:t>
            </w:r>
          </w:p>
        </w:tc>
      </w:tr>
      <w:tr w:rsidR="008A78AA" w14:paraId="41160E89" w14:textId="77777777">
        <w:trPr>
          <w:cantSplit/>
          <w:trHeight w:val="240"/>
          <w:jc w:val="center"/>
        </w:trPr>
        <w:tc>
          <w:tcPr>
            <w:tcW w:w="1412" w:type="dxa"/>
            <w:tcMar>
              <w:top w:w="25" w:type="dxa"/>
              <w:left w:w="70" w:type="dxa"/>
              <w:bottom w:w="25" w:type="dxa"/>
              <w:right w:w="70" w:type="dxa"/>
            </w:tcMar>
            <w:vAlign w:val="center"/>
          </w:tcPr>
          <w:p w14:paraId="1BEB16A7" w14:textId="77777777" w:rsidR="008A78AA" w:rsidRDefault="00000000">
            <w:pPr>
              <w:pStyle w:val="tablecopy"/>
              <w:spacing w:line="228" w:lineRule="auto"/>
              <w:jc w:val="left"/>
            </w:pPr>
            <w:r>
              <w:rPr>
                <w:sz w:val="15"/>
              </w:rPr>
              <w:t>Direction Acc.</w:t>
            </w:r>
          </w:p>
        </w:tc>
        <w:tc>
          <w:tcPr>
            <w:tcW w:w="851" w:type="dxa"/>
            <w:tcMar>
              <w:top w:w="25" w:type="dxa"/>
              <w:left w:w="70" w:type="dxa"/>
              <w:bottom w:w="25" w:type="dxa"/>
              <w:right w:w="70" w:type="dxa"/>
            </w:tcMar>
            <w:vAlign w:val="center"/>
          </w:tcPr>
          <w:p w14:paraId="24D0BB25" w14:textId="77777777" w:rsidR="008A78AA" w:rsidRDefault="00000000">
            <w:pPr>
              <w:pStyle w:val="tablecopy"/>
              <w:spacing w:line="228" w:lineRule="auto"/>
              <w:jc w:val="center"/>
            </w:pPr>
            <w:r>
              <w:rPr>
                <w:sz w:val="15"/>
              </w:rPr>
              <w:t>51.4% ± 3.1%</w:t>
            </w:r>
          </w:p>
        </w:tc>
        <w:tc>
          <w:tcPr>
            <w:tcW w:w="852" w:type="dxa"/>
            <w:tcMar>
              <w:top w:w="25" w:type="dxa"/>
              <w:left w:w="70" w:type="dxa"/>
              <w:bottom w:w="25" w:type="dxa"/>
              <w:right w:w="70" w:type="dxa"/>
            </w:tcMar>
            <w:vAlign w:val="center"/>
          </w:tcPr>
          <w:p w14:paraId="76A82FF0" w14:textId="77777777" w:rsidR="008A78AA" w:rsidRDefault="00000000">
            <w:pPr>
              <w:pStyle w:val="tablecopy"/>
              <w:spacing w:line="228" w:lineRule="auto"/>
              <w:jc w:val="center"/>
            </w:pPr>
            <w:r>
              <w:rPr>
                <w:sz w:val="15"/>
              </w:rPr>
              <w:t>53.6% ± 2.8%</w:t>
            </w:r>
          </w:p>
        </w:tc>
        <w:tc>
          <w:tcPr>
            <w:tcW w:w="850" w:type="dxa"/>
            <w:tcMar>
              <w:top w:w="25" w:type="dxa"/>
              <w:left w:w="70" w:type="dxa"/>
              <w:bottom w:w="25" w:type="dxa"/>
              <w:right w:w="70" w:type="dxa"/>
            </w:tcMar>
            <w:vAlign w:val="center"/>
          </w:tcPr>
          <w:p w14:paraId="2D43FE8D" w14:textId="77777777" w:rsidR="008A78AA" w:rsidRDefault="00000000">
            <w:pPr>
              <w:pStyle w:val="tablecopy"/>
              <w:spacing w:line="228" w:lineRule="auto"/>
              <w:jc w:val="center"/>
            </w:pPr>
            <w:r>
              <w:rPr>
                <w:sz w:val="15"/>
              </w:rPr>
              <w:t>57.8% ± 2.1%</w:t>
            </w:r>
          </w:p>
        </w:tc>
        <w:tc>
          <w:tcPr>
            <w:tcW w:w="852" w:type="dxa"/>
            <w:tcMar>
              <w:top w:w="25" w:type="dxa"/>
              <w:left w:w="70" w:type="dxa"/>
              <w:bottom w:w="25" w:type="dxa"/>
              <w:right w:w="70" w:type="dxa"/>
            </w:tcMar>
            <w:vAlign w:val="center"/>
          </w:tcPr>
          <w:p w14:paraId="24894483" w14:textId="77777777" w:rsidR="008A78AA" w:rsidRDefault="00000000">
            <w:pPr>
              <w:pStyle w:val="tablecopy"/>
              <w:spacing w:line="228" w:lineRule="auto"/>
              <w:jc w:val="center"/>
            </w:pPr>
            <w:r>
              <w:rPr>
                <w:sz w:val="15"/>
              </w:rPr>
              <w:t>55.3% ± 2.4%</w:t>
            </w:r>
          </w:p>
        </w:tc>
      </w:tr>
      <w:tr w:rsidR="008A78AA" w14:paraId="4917862E" w14:textId="77777777">
        <w:trPr>
          <w:cantSplit/>
          <w:trHeight w:val="240"/>
          <w:jc w:val="center"/>
        </w:trPr>
        <w:tc>
          <w:tcPr>
            <w:tcW w:w="1412" w:type="dxa"/>
            <w:tcMar>
              <w:top w:w="25" w:type="dxa"/>
              <w:left w:w="70" w:type="dxa"/>
              <w:bottom w:w="25" w:type="dxa"/>
              <w:right w:w="70" w:type="dxa"/>
            </w:tcMar>
            <w:vAlign w:val="center"/>
          </w:tcPr>
          <w:p w14:paraId="06387969" w14:textId="77777777" w:rsidR="008A78AA" w:rsidRDefault="00000000">
            <w:pPr>
              <w:pStyle w:val="tablecopy"/>
              <w:spacing w:line="228" w:lineRule="auto"/>
              <w:jc w:val="left"/>
            </w:pPr>
            <w:r>
              <w:rPr>
                <w:sz w:val="15"/>
              </w:rPr>
              <w:t>Sharpe Ratio</w:t>
            </w:r>
          </w:p>
        </w:tc>
        <w:tc>
          <w:tcPr>
            <w:tcW w:w="851" w:type="dxa"/>
            <w:tcMar>
              <w:top w:w="25" w:type="dxa"/>
              <w:left w:w="70" w:type="dxa"/>
              <w:bottom w:w="25" w:type="dxa"/>
              <w:right w:w="70" w:type="dxa"/>
            </w:tcMar>
            <w:vAlign w:val="center"/>
          </w:tcPr>
          <w:p w14:paraId="3F966A3E" w14:textId="77777777" w:rsidR="008A78AA" w:rsidRDefault="00000000">
            <w:pPr>
              <w:pStyle w:val="tablecopy"/>
              <w:spacing w:line="228" w:lineRule="auto"/>
              <w:jc w:val="center"/>
            </w:pPr>
            <w:r>
              <w:rPr>
                <w:sz w:val="15"/>
              </w:rPr>
              <w:t>0.31 ± 0.21</w:t>
            </w:r>
          </w:p>
        </w:tc>
        <w:tc>
          <w:tcPr>
            <w:tcW w:w="852" w:type="dxa"/>
            <w:tcMar>
              <w:top w:w="25" w:type="dxa"/>
              <w:left w:w="70" w:type="dxa"/>
              <w:bottom w:w="25" w:type="dxa"/>
              <w:right w:w="70" w:type="dxa"/>
            </w:tcMar>
            <w:vAlign w:val="center"/>
          </w:tcPr>
          <w:p w14:paraId="08768FBD" w14:textId="77777777" w:rsidR="008A78AA" w:rsidRDefault="00000000">
            <w:pPr>
              <w:pStyle w:val="tablecopy"/>
              <w:spacing w:line="228" w:lineRule="auto"/>
              <w:jc w:val="center"/>
            </w:pPr>
            <w:r>
              <w:rPr>
                <w:sz w:val="15"/>
              </w:rPr>
              <w:t>0.54 ± 0.18</w:t>
            </w:r>
          </w:p>
        </w:tc>
        <w:tc>
          <w:tcPr>
            <w:tcW w:w="850" w:type="dxa"/>
            <w:tcMar>
              <w:top w:w="25" w:type="dxa"/>
              <w:left w:w="70" w:type="dxa"/>
              <w:bottom w:w="25" w:type="dxa"/>
              <w:right w:w="70" w:type="dxa"/>
            </w:tcMar>
            <w:vAlign w:val="center"/>
          </w:tcPr>
          <w:p w14:paraId="4774F683" w14:textId="77777777" w:rsidR="008A78AA" w:rsidRDefault="00000000">
            <w:pPr>
              <w:pStyle w:val="tablecopy"/>
              <w:spacing w:line="228" w:lineRule="auto"/>
              <w:jc w:val="center"/>
            </w:pPr>
            <w:r>
              <w:rPr>
                <w:sz w:val="15"/>
              </w:rPr>
              <w:t>0.87 ± 0.12</w:t>
            </w:r>
          </w:p>
        </w:tc>
        <w:tc>
          <w:tcPr>
            <w:tcW w:w="852" w:type="dxa"/>
            <w:tcMar>
              <w:top w:w="25" w:type="dxa"/>
              <w:left w:w="70" w:type="dxa"/>
              <w:bottom w:w="25" w:type="dxa"/>
              <w:right w:w="70" w:type="dxa"/>
            </w:tcMar>
            <w:vAlign w:val="center"/>
          </w:tcPr>
          <w:p w14:paraId="6D21E9E9" w14:textId="77777777" w:rsidR="008A78AA" w:rsidRDefault="00000000">
            <w:pPr>
              <w:pStyle w:val="tablecopy"/>
              <w:spacing w:line="228" w:lineRule="auto"/>
              <w:jc w:val="center"/>
            </w:pPr>
            <w:r>
              <w:rPr>
                <w:sz w:val="15"/>
              </w:rPr>
              <w:t>0.72 ± 0.14</w:t>
            </w:r>
          </w:p>
        </w:tc>
      </w:tr>
      <w:tr w:rsidR="008A78AA" w14:paraId="27151654" w14:textId="77777777">
        <w:trPr>
          <w:cantSplit/>
          <w:trHeight w:val="240"/>
          <w:jc w:val="center"/>
        </w:trPr>
        <w:tc>
          <w:tcPr>
            <w:tcW w:w="1412" w:type="dxa"/>
            <w:tcBorders>
              <w:bottom w:val="single" w:sz="8" w:space="0" w:color="000000"/>
            </w:tcBorders>
            <w:tcMar>
              <w:top w:w="25" w:type="dxa"/>
              <w:left w:w="70" w:type="dxa"/>
              <w:bottom w:w="25" w:type="dxa"/>
              <w:right w:w="70" w:type="dxa"/>
            </w:tcMar>
            <w:vAlign w:val="center"/>
          </w:tcPr>
          <w:p w14:paraId="26837A57" w14:textId="77777777" w:rsidR="008A78AA" w:rsidRDefault="00000000">
            <w:pPr>
              <w:pStyle w:val="tablecopy"/>
              <w:spacing w:line="228" w:lineRule="auto"/>
              <w:jc w:val="left"/>
            </w:pPr>
            <w:r>
              <w:rPr>
                <w:sz w:val="15"/>
              </w:rPr>
              <w:t xml:space="preserve">VaR (95%) Limit</w:t>
            </w:r>
          </w:p>
        </w:tc>
        <w:tc>
          <w:tcPr>
            <w:tcW w:w="851" w:type="dxa"/>
            <w:tcBorders>
              <w:bottom w:val="single" w:sz="8" w:space="0" w:color="000000"/>
            </w:tcBorders>
            <w:tcMar>
              <w:top w:w="25" w:type="dxa"/>
              <w:left w:w="70" w:type="dxa"/>
              <w:bottom w:w="25" w:type="dxa"/>
              <w:right w:w="70" w:type="dxa"/>
            </w:tcMar>
            <w:vAlign w:val="center"/>
          </w:tcPr>
          <w:p w14:paraId="1CF9171A" w14:textId="77777777" w:rsidR="008A78AA" w:rsidRDefault="00000000">
            <w:pPr>
              <w:pStyle w:val="tablecopy"/>
              <w:spacing w:line="228" w:lineRule="auto"/>
              <w:jc w:val="center"/>
            </w:pPr>
            <w:r>
              <w:rPr>
                <w:sz w:val="15"/>
              </w:rPr>
              <w:t>-2.15% ± 0.41%</w:t>
            </w:r>
          </w:p>
        </w:tc>
        <w:tc>
          <w:tcPr>
            <w:tcW w:w="852" w:type="dxa"/>
            <w:tcBorders>
              <w:bottom w:val="single" w:sz="8" w:space="0" w:color="000000"/>
            </w:tcBorders>
            <w:tcMar>
              <w:top w:w="25" w:type="dxa"/>
              <w:left w:w="70" w:type="dxa"/>
              <w:bottom w:w="25" w:type="dxa"/>
              <w:right w:w="70" w:type="dxa"/>
            </w:tcMar>
            <w:vAlign w:val="center"/>
          </w:tcPr>
          <w:p w14:paraId="1AF7FC77" w14:textId="77777777" w:rsidR="008A78AA" w:rsidRDefault="00000000">
            <w:pPr>
              <w:pStyle w:val="tablecopy"/>
              <w:spacing w:line="228" w:lineRule="auto"/>
              <w:jc w:val="center"/>
            </w:pPr>
            <w:r>
              <w:rPr>
                <w:sz w:val="15"/>
              </w:rPr>
              <w:t>-1.74% ± 0.31%</w:t>
            </w:r>
          </w:p>
        </w:tc>
        <w:tc>
          <w:tcPr>
            <w:tcW w:w="850" w:type="dxa"/>
            <w:tcBorders>
              <w:bottom w:val="single" w:sz="8" w:space="0" w:color="000000"/>
            </w:tcBorders>
            <w:tcMar>
              <w:top w:w="25" w:type="dxa"/>
              <w:left w:w="70" w:type="dxa"/>
              <w:bottom w:w="25" w:type="dxa"/>
              <w:right w:w="70" w:type="dxa"/>
            </w:tcMar>
            <w:vAlign w:val="center"/>
          </w:tcPr>
          <w:p w14:paraId="369D27AA" w14:textId="77777777" w:rsidR="008A78AA" w:rsidRDefault="00000000">
            <w:pPr>
              <w:pStyle w:val="tablecopy"/>
              <w:spacing w:line="228" w:lineRule="auto"/>
              <w:jc w:val="center"/>
            </w:pPr>
            <w:r>
              <w:rPr>
                <w:sz w:val="15"/>
              </w:rPr>
              <w:t>-1.18% ± 0.15%</w:t>
            </w:r>
          </w:p>
        </w:tc>
        <w:tc>
          <w:tcPr>
            <w:tcW w:w="852" w:type="dxa"/>
            <w:tcBorders>
              <w:bottom w:val="single" w:sz="8" w:space="0" w:color="000000"/>
            </w:tcBorders>
            <w:tcMar>
              <w:top w:w="25" w:type="dxa"/>
              <w:left w:w="70" w:type="dxa"/>
              <w:bottom w:w="25" w:type="dxa"/>
              <w:right w:w="70" w:type="dxa"/>
            </w:tcMar>
            <w:vAlign w:val="center"/>
          </w:tcPr>
          <w:p w14:paraId="460774B5" w14:textId="77777777" w:rsidR="008A78AA" w:rsidRDefault="00000000">
            <w:pPr>
              <w:pStyle w:val="tablecopy"/>
              <w:spacing w:line="228" w:lineRule="auto"/>
              <w:jc w:val="center"/>
            </w:pPr>
            <w:r>
              <w:rPr>
                <w:sz w:val="15"/>
              </w:rPr>
              <w:t>-1.32% ± 0.22%</w:t>
            </w:r>
          </w:p>
        </w:tc>
      </w:tr>
    </w:tbl>
    <w:p w14:paraId="6F064E6F" w14:textId="77777777" w:rsidR="008A78AA" w:rsidRDefault="00000000">
      <w:pPr>
        <w:pStyle w:val="Heading2"/>
      </w:pPr>
      <w:r>
        <w:t>Discussion and Comparative Benchmarking</w:t>
      </w:r>
    </w:p>
    <w:p w14:paraId="5FFBE1D2" w14:textId="77777777" w:rsidR="008A78AA" w:rsidRDefault="00000000">
      <w:pPr>
        <w:pStyle w:val="Heading3"/>
      </w:pPr>
      <w:r>
        <w:t>Theoretical Justification for Architectural Differences:</w:t>
      </w:r>
    </w:p>
    <w:p w14:paraId="5D132BE6" w14:textId="1802458D" w:rsidR="008A78AA" w:rsidRDefault="0030562D">
      <w:pPr>
        <w:pStyle w:val="BodyText"/>
      </w:pPr>
      <w:r>
        <w:t>The GRU's better point-loss accuracy (RMSE = 0.1058) is due to its tight gating structure that gives a good inductive bias for the short-lag micro-volatility but without over-parameterization of full self-attention. But the LSTM memory-cells were more robust in maintaining the directionality of macro trends resulting in better trading utility.</w:t>
      </w:r>
    </w:p>
    <w:p w14:paraId="43880500" w14:textId="77777777" w:rsidR="008A78AA" w:rsidRDefault="00000000">
      <w:pPr>
        <w:pStyle w:val="tablehead"/>
      </w:pPr>
      <w:r>
        <w:lastRenderedPageBreak/>
        <w:t>COMPARATIVE BENCHMARKING AGAINST PUBLISHED LITERATURE</w:t>
      </w:r>
    </w:p>
    <w:tbl>
      <w:tblPr>
        <w:tblW w:w="4919" w:type="dxa"/>
        <w:jc w:val="center"/>
        <w:tblLayout w:type="fixed"/>
        <w:tblLook w:val="0000" w:firstRow="0" w:lastRow="0" w:firstColumn="0" w:lastColumn="0" w:noHBand="0" w:noVBand="0"/>
      </w:tblPr>
      <w:tblGrid>
        <w:gridCol w:w="1000"/>
        <w:gridCol w:w="1000"/>
        <w:gridCol w:w="880"/>
        <w:gridCol w:w="1090"/>
        <w:gridCol w:w="949"/>
      </w:tblGrid>
      <w:tr w:rsidR="008A78AA" w14:paraId="52A174E1" w14:textId="77777777">
        <w:trPr>
          <w:cantSplit/>
          <w:trHeight w:val="240"/>
          <w:tblHeader/>
          <w:jc w:val="center"/>
        </w:trPr>
        <w:tc>
          <w:tcPr>
            <w:tcW w:w="1000" w:type="dxa"/>
            <w:tcBorders>
              <w:top w:val="single" w:sz="8" w:space="0" w:color="000000"/>
              <w:bottom w:val="single" w:sz="4" w:space="0" w:color="000000"/>
            </w:tcBorders>
            <w:tcMar>
              <w:top w:w="25" w:type="dxa"/>
              <w:left w:w="70" w:type="dxa"/>
              <w:bottom w:w="25" w:type="dxa"/>
              <w:right w:w="70" w:type="dxa"/>
            </w:tcMar>
            <w:vAlign w:val="center"/>
          </w:tcPr>
          <w:p w14:paraId="5434A0CC" w14:textId="77777777" w:rsidR="008A78AA" w:rsidRDefault="00000000">
            <w:pPr>
              <w:pStyle w:val="tablecolhead"/>
              <w:spacing w:line="228" w:lineRule="auto"/>
            </w:pPr>
            <w:r>
              <w:t>Study</w:t>
            </w:r>
          </w:p>
        </w:tc>
        <w:tc>
          <w:tcPr>
            <w:tcW w:w="1000" w:type="dxa"/>
            <w:tcBorders>
              <w:top w:val="single" w:sz="8" w:space="0" w:color="000000"/>
              <w:bottom w:val="single" w:sz="4" w:space="0" w:color="000000"/>
            </w:tcBorders>
            <w:tcMar>
              <w:top w:w="25" w:type="dxa"/>
              <w:left w:w="70" w:type="dxa"/>
              <w:bottom w:w="25" w:type="dxa"/>
              <w:right w:w="70" w:type="dxa"/>
            </w:tcMar>
            <w:vAlign w:val="center"/>
          </w:tcPr>
          <w:p w14:paraId="02099D1C" w14:textId="77777777" w:rsidR="008A78AA" w:rsidRDefault="00000000">
            <w:pPr>
              <w:pStyle w:val="tablecolhead"/>
              <w:spacing w:line="228" w:lineRule="auto"/>
            </w:pPr>
            <w:r>
              <w:t>Model</w:t>
            </w:r>
          </w:p>
        </w:tc>
        <w:tc>
          <w:tcPr>
            <w:tcW w:w="880" w:type="dxa"/>
            <w:tcBorders>
              <w:top w:val="single" w:sz="8" w:space="0" w:color="000000"/>
              <w:bottom w:val="single" w:sz="4" w:space="0" w:color="000000"/>
            </w:tcBorders>
            <w:tcMar>
              <w:top w:w="25" w:type="dxa"/>
              <w:left w:w="70" w:type="dxa"/>
              <w:bottom w:w="25" w:type="dxa"/>
              <w:right w:w="70" w:type="dxa"/>
            </w:tcMar>
            <w:vAlign w:val="center"/>
          </w:tcPr>
          <w:p w14:paraId="45DCFD55" w14:textId="77777777" w:rsidR="008A78AA" w:rsidRDefault="00000000">
            <w:pPr>
              <w:pStyle w:val="tablecolhead"/>
              <w:spacing w:line="228" w:lineRule="auto"/>
            </w:pPr>
            <w:r>
              <w:t>Asset / Interval</w:t>
            </w:r>
          </w:p>
        </w:tc>
        <w:tc>
          <w:tcPr>
            <w:tcW w:w="1090" w:type="dxa"/>
            <w:tcBorders>
              <w:top w:val="single" w:sz="8" w:space="0" w:color="000000"/>
              <w:bottom w:val="single" w:sz="4" w:space="0" w:color="000000"/>
            </w:tcBorders>
            <w:tcMar>
              <w:top w:w="25" w:type="dxa"/>
              <w:left w:w="70" w:type="dxa"/>
              <w:bottom w:w="25" w:type="dxa"/>
              <w:right w:w="70" w:type="dxa"/>
            </w:tcMar>
            <w:vAlign w:val="center"/>
          </w:tcPr>
          <w:p w14:paraId="49EF8EA1" w14:textId="77777777" w:rsidR="008A78AA" w:rsidRDefault="00000000">
            <w:pPr>
              <w:pStyle w:val="tablecolhead"/>
              <w:spacing w:line="228" w:lineRule="auto"/>
            </w:pPr>
            <w:r>
              <w:t>Dir. Acc.</w:t>
            </w:r>
          </w:p>
        </w:tc>
        <w:tc>
          <w:tcPr>
            <w:tcW w:w="949" w:type="dxa"/>
            <w:tcBorders>
              <w:top w:val="single" w:sz="8" w:space="0" w:color="000000"/>
              <w:bottom w:val="single" w:sz="4" w:space="0" w:color="000000"/>
            </w:tcBorders>
            <w:tcMar>
              <w:top w:w="25" w:type="dxa"/>
              <w:left w:w="70" w:type="dxa"/>
              <w:bottom w:w="25" w:type="dxa"/>
              <w:right w:w="70" w:type="dxa"/>
            </w:tcMar>
            <w:vAlign w:val="center"/>
          </w:tcPr>
          <w:p w14:paraId="063FA4C9" w14:textId="77777777" w:rsidR="008A78AA" w:rsidRDefault="00000000">
            <w:pPr>
              <w:pStyle w:val="tablecolhead"/>
              <w:spacing w:line="228" w:lineRule="auto"/>
            </w:pPr>
            <w:r>
              <w:t>Sharpe Ratio</w:t>
            </w:r>
          </w:p>
        </w:tc>
      </w:tr>
      <w:tr w:rsidR="008A78AA" w14:paraId="246B3840" w14:textId="77777777">
        <w:trPr>
          <w:cantSplit/>
          <w:trHeight w:val="240"/>
          <w:jc w:val="center"/>
        </w:trPr>
        <w:tc>
          <w:tcPr>
            <w:tcW w:w="1000" w:type="dxa"/>
            <w:tcMar>
              <w:top w:w="25" w:type="dxa"/>
              <w:left w:w="70" w:type="dxa"/>
              <w:bottom w:w="25" w:type="dxa"/>
              <w:right w:w="70" w:type="dxa"/>
            </w:tcMar>
            <w:vAlign w:val="center"/>
          </w:tcPr>
          <w:p w14:paraId="170DCEFB" w14:textId="77777777" w:rsidR="008A78AA" w:rsidRDefault="00000000">
            <w:pPr>
              <w:pStyle w:val="tablecopy"/>
              <w:spacing w:line="228" w:lineRule="auto"/>
              <w:jc w:val="left"/>
            </w:pPr>
            <w:r>
              <w:rPr>
                <w:sz w:val="15"/>
              </w:rPr>
              <w:t>Chen et al. [15] (2020)</w:t>
            </w:r>
          </w:p>
        </w:tc>
        <w:tc>
          <w:tcPr>
            <w:tcW w:w="1000" w:type="dxa"/>
            <w:tcMar>
              <w:top w:w="25" w:type="dxa"/>
              <w:left w:w="70" w:type="dxa"/>
              <w:bottom w:w="25" w:type="dxa"/>
              <w:right w:w="70" w:type="dxa"/>
            </w:tcMar>
            <w:vAlign w:val="center"/>
          </w:tcPr>
          <w:p w14:paraId="07CA349A" w14:textId="77777777" w:rsidR="008A78AA" w:rsidRDefault="00000000">
            <w:pPr>
              <w:pStyle w:val="tablecopy"/>
              <w:spacing w:line="228" w:lineRule="auto"/>
              <w:jc w:val="center"/>
            </w:pPr>
            <w:r>
              <w:rPr>
                <w:sz w:val="15"/>
              </w:rPr>
              <w:t xml:space="preserve">LR/LDA; RF, XGBoost, SVM, LSTM</w:t>
            </w:r>
          </w:p>
        </w:tc>
        <w:tc>
          <w:tcPr>
            <w:tcW w:w="880" w:type="dxa"/>
            <w:tcMar>
              <w:top w:w="25" w:type="dxa"/>
              <w:left w:w="70" w:type="dxa"/>
              <w:bottom w:w="25" w:type="dxa"/>
              <w:right w:w="70" w:type="dxa"/>
            </w:tcMar>
            <w:vAlign w:val="center"/>
          </w:tcPr>
          <w:p w14:paraId="73509B02" w14:textId="77777777" w:rsidR="008A78AA" w:rsidRDefault="00000000">
            <w:pPr>
              <w:pStyle w:val="tablecopy"/>
              <w:spacing w:line="228" w:lineRule="auto"/>
              <w:jc w:val="center"/>
            </w:pPr>
            <w:r>
              <w:rPr>
                <w:sz w:val="15"/>
              </w:rPr>
              <w:t>BTC / Daily; 5-min</w:t>
            </w:r>
          </w:p>
        </w:tc>
        <w:tc>
          <w:tcPr>
            <w:tcW w:w="1090" w:type="dxa"/>
            <w:tcMar>
              <w:top w:w="25" w:type="dxa"/>
              <w:left w:w="70" w:type="dxa"/>
              <w:bottom w:w="25" w:type="dxa"/>
              <w:right w:w="70" w:type="dxa"/>
            </w:tcMar>
            <w:vAlign w:val="center"/>
          </w:tcPr>
          <w:p w14:paraId="76579C3A" w14:textId="77777777" w:rsidR="008A78AA" w:rsidRDefault="00000000">
            <w:pPr>
              <w:pStyle w:val="tablecopy"/>
              <w:spacing w:line="228" w:lineRule="auto"/>
              <w:jc w:val="center"/>
            </w:pPr>
            <w:r>
              <w:rPr>
                <w:sz w:val="15"/>
              </w:rPr>
              <w:t>66% (daily); 67.2% (5-min)</w:t>
            </w:r>
          </w:p>
        </w:tc>
        <w:tc>
          <w:tcPr>
            <w:tcW w:w="949" w:type="dxa"/>
            <w:tcMar>
              <w:top w:w="25" w:type="dxa"/>
              <w:left w:w="70" w:type="dxa"/>
              <w:bottom w:w="25" w:type="dxa"/>
              <w:right w:w="70" w:type="dxa"/>
            </w:tcMar>
            <w:vAlign w:val="center"/>
          </w:tcPr>
          <w:p w14:paraId="1A114AB1" w14:textId="77777777" w:rsidR="008A78AA" w:rsidRDefault="00000000">
            <w:pPr>
              <w:pStyle w:val="tablecopy"/>
              <w:spacing w:line="228" w:lineRule="auto"/>
              <w:jc w:val="center"/>
            </w:pPr>
            <w:r>
              <w:rPr>
                <w:sz w:val="15"/>
              </w:rPr>
              <w:t>—</w:t>
            </w:r>
          </w:p>
        </w:tc>
      </w:tr>
      <w:tr w:rsidR="008A78AA" w14:paraId="760AA95F" w14:textId="77777777">
        <w:trPr>
          <w:cantSplit/>
          <w:trHeight w:val="240"/>
          <w:jc w:val="center"/>
        </w:trPr>
        <w:tc>
          <w:tcPr>
            <w:tcW w:w="1000" w:type="dxa"/>
            <w:tcMar>
              <w:top w:w="25" w:type="dxa"/>
              <w:left w:w="70" w:type="dxa"/>
              <w:bottom w:w="25" w:type="dxa"/>
              <w:right w:w="70" w:type="dxa"/>
            </w:tcMar>
            <w:vAlign w:val="center"/>
          </w:tcPr>
          <w:p w14:paraId="4059C1D2" w14:textId="77777777" w:rsidR="008A78AA" w:rsidRDefault="00000000">
            <w:pPr>
              <w:pStyle w:val="tablecopy"/>
              <w:spacing w:line="228" w:lineRule="auto"/>
              <w:jc w:val="left"/>
            </w:pPr>
            <w:r>
              <w:rPr>
                <w:sz w:val="15"/>
              </w:rPr>
              <w:t>Omole &amp; Enke [29] (2024)</w:t>
            </w:r>
          </w:p>
        </w:tc>
        <w:tc>
          <w:tcPr>
            <w:tcW w:w="1000" w:type="dxa"/>
            <w:tcMar>
              <w:top w:w="25" w:type="dxa"/>
              <w:left w:w="70" w:type="dxa"/>
              <w:bottom w:w="25" w:type="dxa"/>
              <w:right w:w="70" w:type="dxa"/>
            </w:tcMar>
            <w:vAlign w:val="center"/>
          </w:tcPr>
          <w:p w14:paraId="4E6D7592" w14:textId="77777777" w:rsidR="008A78AA" w:rsidRDefault="00000000">
            <w:pPr>
              <w:pStyle w:val="tablecopy"/>
              <w:spacing w:line="228" w:lineRule="auto"/>
              <w:jc w:val="center"/>
            </w:pPr>
            <w:r>
              <w:rPr>
                <w:sz w:val="15"/>
              </w:rPr>
              <w:t>Boruta + CNN–LSTM</w:t>
            </w:r>
          </w:p>
        </w:tc>
        <w:tc>
          <w:tcPr>
            <w:tcW w:w="880" w:type="dxa"/>
            <w:tcMar>
              <w:top w:w="25" w:type="dxa"/>
              <w:left w:w="70" w:type="dxa"/>
              <w:bottom w:w="25" w:type="dxa"/>
              <w:right w:w="70" w:type="dxa"/>
            </w:tcMar>
            <w:vAlign w:val="center"/>
          </w:tcPr>
          <w:p w14:paraId="58444B89" w14:textId="77777777" w:rsidR="008A78AA" w:rsidRDefault="00000000">
            <w:pPr>
              <w:pStyle w:val="tablecopy"/>
              <w:spacing w:line="228" w:lineRule="auto"/>
              <w:jc w:val="center"/>
            </w:pPr>
            <w:r>
              <w:rPr>
                <w:sz w:val="15"/>
              </w:rPr>
              <w:t>BTC / On-chain features</w:t>
            </w:r>
          </w:p>
        </w:tc>
        <w:tc>
          <w:tcPr>
            <w:tcW w:w="1090" w:type="dxa"/>
            <w:tcMar>
              <w:top w:w="25" w:type="dxa"/>
              <w:left w:w="70" w:type="dxa"/>
              <w:bottom w:w="25" w:type="dxa"/>
              <w:right w:w="70" w:type="dxa"/>
            </w:tcMar>
            <w:vAlign w:val="center"/>
          </w:tcPr>
          <w:p w14:paraId="4F12BD61" w14:textId="77777777" w:rsidR="008A78AA" w:rsidRDefault="00000000">
            <w:pPr>
              <w:pStyle w:val="tablecopy"/>
              <w:spacing w:line="228" w:lineRule="auto"/>
              <w:jc w:val="center"/>
            </w:pPr>
            <w:r>
              <w:rPr>
                <w:sz w:val="15"/>
              </w:rPr>
              <w:t>82.44%</w:t>
            </w:r>
          </w:p>
        </w:tc>
        <w:tc>
          <w:tcPr>
            <w:tcW w:w="949" w:type="dxa"/>
            <w:tcMar>
              <w:top w:w="25" w:type="dxa"/>
              <w:left w:w="70" w:type="dxa"/>
              <w:bottom w:w="25" w:type="dxa"/>
              <w:right w:w="70" w:type="dxa"/>
            </w:tcMar>
            <w:vAlign w:val="center"/>
          </w:tcPr>
          <w:p w14:paraId="1CF820AF" w14:textId="77777777" w:rsidR="008A78AA" w:rsidRDefault="00000000">
            <w:pPr>
              <w:pStyle w:val="tablecopy"/>
              <w:spacing w:line="228" w:lineRule="auto"/>
              <w:jc w:val="center"/>
            </w:pPr>
            <w:r>
              <w:rPr>
                <w:sz w:val="15"/>
              </w:rPr>
              <w:t>—</w:t>
            </w:r>
          </w:p>
        </w:tc>
      </w:tr>
      <w:tr w:rsidR="008A78AA" w14:paraId="25DA18E7" w14:textId="77777777">
        <w:trPr>
          <w:cantSplit/>
          <w:trHeight w:val="240"/>
          <w:jc w:val="center"/>
        </w:trPr>
        <w:tc>
          <w:tcPr>
            <w:tcW w:w="1000" w:type="dxa"/>
            <w:tcMar>
              <w:top w:w="25" w:type="dxa"/>
              <w:left w:w="70" w:type="dxa"/>
              <w:bottom w:w="25" w:type="dxa"/>
              <w:right w:w="70" w:type="dxa"/>
            </w:tcMar>
            <w:vAlign w:val="center"/>
          </w:tcPr>
          <w:p w14:paraId="12108C83" w14:textId="77777777" w:rsidR="008A78AA" w:rsidRDefault="00000000">
            <w:pPr>
              <w:pStyle w:val="tablecopy"/>
              <w:spacing w:line="228" w:lineRule="auto"/>
              <w:jc w:val="left"/>
            </w:pPr>
            <w:r>
              <w:rPr>
                <w:sz w:val="15"/>
              </w:rPr>
              <w:t>Jaquart et al. [11] (2022)</w:t>
            </w:r>
          </w:p>
        </w:tc>
        <w:tc>
          <w:tcPr>
            <w:tcW w:w="1000" w:type="dxa"/>
            <w:tcMar>
              <w:top w:w="25" w:type="dxa"/>
              <w:left w:w="70" w:type="dxa"/>
              <w:bottom w:w="25" w:type="dxa"/>
              <w:right w:w="70" w:type="dxa"/>
            </w:tcMar>
            <w:vAlign w:val="center"/>
          </w:tcPr>
          <w:p w14:paraId="1FEB3FC1" w14:textId="77777777" w:rsidR="008A78AA" w:rsidRDefault="00000000">
            <w:pPr>
              <w:pStyle w:val="tablecopy"/>
              <w:spacing w:line="228" w:lineRule="auto"/>
              <w:jc w:val="center"/>
            </w:pPr>
            <w:r>
              <w:rPr>
                <w:sz w:val="15"/>
              </w:rPr>
              <w:t>LSTM, GRU ensembles</w:t>
            </w:r>
          </w:p>
        </w:tc>
        <w:tc>
          <w:tcPr>
            <w:tcW w:w="880" w:type="dxa"/>
            <w:tcMar>
              <w:top w:w="25" w:type="dxa"/>
              <w:left w:w="70" w:type="dxa"/>
              <w:bottom w:w="25" w:type="dxa"/>
              <w:right w:w="70" w:type="dxa"/>
            </w:tcMar>
            <w:vAlign w:val="center"/>
          </w:tcPr>
          <w:p w14:paraId="1EF99181" w14:textId="77777777" w:rsidR="008A78AA" w:rsidRDefault="00000000">
            <w:pPr>
              <w:pStyle w:val="tablecopy"/>
              <w:spacing w:line="228" w:lineRule="auto"/>
              <w:jc w:val="center"/>
            </w:pPr>
            <w:r>
              <w:rPr>
                <w:sz w:val="15"/>
              </w:rPr>
              <w:t>100 cryptos / Daily</w:t>
            </w:r>
          </w:p>
        </w:tc>
        <w:tc>
          <w:tcPr>
            <w:tcW w:w="1090" w:type="dxa"/>
            <w:tcMar>
              <w:top w:w="25" w:type="dxa"/>
              <w:left w:w="70" w:type="dxa"/>
              <w:bottom w:w="25" w:type="dxa"/>
              <w:right w:w="70" w:type="dxa"/>
            </w:tcMar>
            <w:vAlign w:val="center"/>
          </w:tcPr>
          <w:p w14:paraId="674FB2CA" w14:textId="77777777" w:rsidR="008A78AA" w:rsidRDefault="00000000">
            <w:pPr>
              <w:pStyle w:val="tablecopy"/>
              <w:spacing w:line="228" w:lineRule="auto"/>
              <w:jc w:val="center"/>
            </w:pPr>
            <w:r>
              <w:rPr>
                <w:sz w:val="15"/>
              </w:rPr>
              <w:t>52.9 – 54.1%</w:t>
            </w:r>
          </w:p>
        </w:tc>
        <w:tc>
          <w:tcPr>
            <w:tcW w:w="949" w:type="dxa"/>
            <w:tcMar>
              <w:top w:w="25" w:type="dxa"/>
              <w:left w:w="70" w:type="dxa"/>
              <w:bottom w:w="25" w:type="dxa"/>
              <w:right w:w="70" w:type="dxa"/>
            </w:tcMar>
            <w:vAlign w:val="center"/>
          </w:tcPr>
          <w:p w14:paraId="778AE0AC" w14:textId="77777777" w:rsidR="008A78AA" w:rsidRDefault="00000000">
            <w:pPr>
              <w:pStyle w:val="tablecopy"/>
              <w:spacing w:line="228" w:lineRule="auto"/>
              <w:jc w:val="center"/>
            </w:pPr>
            <w:r>
              <w:rPr>
                <w:sz w:val="15"/>
              </w:rPr>
              <w:t>3.23 / 3.12 (net)</w:t>
            </w:r>
          </w:p>
        </w:tc>
      </w:tr>
      <w:tr w:rsidR="008A78AA" w14:paraId="25DA18E7" w14:textId="77777777">
        <w:trPr>
          <w:cantSplit/>
          <w:trHeight w:val="240"/>
          <w:jc w:val="center"/>
        </w:trPr>
        <w:tc>
          <w:tcPr>
            <w:tcW w:w="1000" w:type="dxa"/>
            <w:tcMar>
              <w:top w:w="25" w:type="dxa"/>
              <w:left w:w="70" w:type="dxa"/>
              <w:bottom w:w="25" w:type="dxa"/>
              <w:right w:w="70" w:type="dxa"/>
            </w:tcMar>
            <w:vAlign w:val="center"/>
          </w:tcPr>
          <w:p w14:paraId="12108C83" w14:textId="77777777" w:rsidR="008A78AA" w:rsidRDefault="00000000">
            <w:pPr>
              <w:pStyle w:val="tablecopy"/>
              <w:spacing w:line="228" w:lineRule="auto"/>
              <w:jc w:val="left"/>
            </w:pPr>
            <w:r>
              <w:rPr>
                <w:sz w:val="15"/>
              </w:rPr>
              <w:t>Bysik &amp; Ślepaczuk [35] (2026)</w:t>
            </w:r>
          </w:p>
        </w:tc>
        <w:tc>
          <w:tcPr>
            <w:tcW w:w="1000" w:type="dxa"/>
            <w:tcMar>
              <w:top w:w="25" w:type="dxa"/>
              <w:left w:w="70" w:type="dxa"/>
              <w:bottom w:w="25" w:type="dxa"/>
              <w:right w:w="70" w:type="dxa"/>
            </w:tcMar>
            <w:vAlign w:val="center"/>
          </w:tcPr>
          <w:p w14:paraId="1FEB3FC1" w14:textId="77777777" w:rsidR="008A78AA" w:rsidRDefault="00000000">
            <w:pPr>
              <w:pStyle w:val="tablecopy"/>
              <w:spacing w:line="228" w:lineRule="auto"/>
              <w:jc w:val="center"/>
            </w:pPr>
            <w:r>
              <w:rPr>
                <w:sz w:val="15"/>
              </w:rPr>
              <w:t>XGBoost, LSTM, iTransformer</w:t>
            </w:r>
          </w:p>
        </w:tc>
        <w:tc>
          <w:tcPr>
            <w:tcW w:w="880" w:type="dxa"/>
            <w:tcMar>
              <w:top w:w="25" w:type="dxa"/>
              <w:left w:w="70" w:type="dxa"/>
              <w:bottom w:w="25" w:type="dxa"/>
              <w:right w:w="70" w:type="dxa"/>
            </w:tcMar>
            <w:vAlign w:val="center"/>
          </w:tcPr>
          <w:p w14:paraId="1EF99181" w14:textId="77777777" w:rsidR="008A78AA" w:rsidRDefault="00000000">
            <w:pPr>
              <w:pStyle w:val="tablecopy"/>
              <w:spacing w:line="228" w:lineRule="auto"/>
              <w:jc w:val="center"/>
            </w:pPr>
            <w:r>
              <w:rPr>
                <w:sz w:val="15"/>
              </w:rPr>
              <w:t>BTC / 1-hour</w:t>
            </w:r>
          </w:p>
        </w:tc>
        <w:tc>
          <w:tcPr>
            <w:tcW w:w="1090" w:type="dxa"/>
            <w:tcMar>
              <w:top w:w="25" w:type="dxa"/>
              <w:left w:w="70" w:type="dxa"/>
              <w:bottom w:w="25" w:type="dxa"/>
              <w:right w:w="70" w:type="dxa"/>
            </w:tcMar>
            <w:vAlign w:val="center"/>
          </w:tcPr>
          <w:p w14:paraId="674FB2CA" w14:textId="77777777" w:rsidR="008A78AA" w:rsidRDefault="00000000">
            <w:pPr>
              <w:pStyle w:val="tablecopy"/>
              <w:spacing w:line="228" w:lineRule="auto"/>
              <w:jc w:val="center"/>
            </w:pPr>
            <w:r>
              <w:rPr>
                <w:sz w:val="15"/>
              </w:rPr>
              <w:t>—</w:t>
            </w:r>
          </w:p>
        </w:tc>
        <w:tc>
          <w:tcPr>
            <w:tcW w:w="949" w:type="dxa"/>
            <w:tcMar>
              <w:top w:w="25" w:type="dxa"/>
              <w:left w:w="70" w:type="dxa"/>
              <w:bottom w:w="25" w:type="dxa"/>
              <w:right w:w="70" w:type="dxa"/>
            </w:tcMar>
            <w:vAlign w:val="center"/>
          </w:tcPr>
          <w:p w14:paraId="778AE0AC" w14:textId="77777777" w:rsidR="008A78AA" w:rsidRDefault="00000000">
            <w:pPr>
              <w:pStyle w:val="tablecopy"/>
              <w:spacing w:line="228" w:lineRule="auto"/>
              <w:jc w:val="center"/>
            </w:pPr>
            <w:r>
              <w:rPr>
                <w:sz w:val="15"/>
              </w:rPr>
              <w:t>&gt; 1 (net)</w:t>
            </w:r>
          </w:p>
        </w:tc>
      </w:tr>
      <w:tr w:rsidR="008A78AA" w14:paraId="487BF5EB" w14:textId="77777777">
        <w:trPr>
          <w:cantSplit/>
          <w:trHeight w:val="240"/>
          <w:jc w:val="center"/>
        </w:trPr>
        <w:tc>
          <w:tcPr>
            <w:tcW w:w="1000" w:type="dxa"/>
            <w:tcMar>
              <w:top w:w="25" w:type="dxa"/>
              <w:left w:w="70" w:type="dxa"/>
              <w:bottom w:w="25" w:type="dxa"/>
              <w:right w:w="70" w:type="dxa"/>
            </w:tcMar>
            <w:vAlign w:val="center"/>
          </w:tcPr>
          <w:p w14:paraId="3AFA177B" w14:textId="77777777" w:rsidR="008A78AA" w:rsidRDefault="00000000">
            <w:pPr>
              <w:pStyle w:val="tablecopy"/>
              <w:spacing w:line="228" w:lineRule="auto"/>
              <w:jc w:val="left"/>
            </w:pPr>
            <w:r>
              <w:rPr>
                <w:sz w:val="15"/>
              </w:rPr>
              <w:t>This study (GRU, best RMSE)</w:t>
            </w:r>
          </w:p>
        </w:tc>
        <w:tc>
          <w:tcPr>
            <w:tcW w:w="1000" w:type="dxa"/>
            <w:tcMar>
              <w:top w:w="25" w:type="dxa"/>
              <w:left w:w="70" w:type="dxa"/>
              <w:bottom w:w="25" w:type="dxa"/>
              <w:right w:w="70" w:type="dxa"/>
            </w:tcMar>
            <w:vAlign w:val="center"/>
          </w:tcPr>
          <w:p w14:paraId="2763A10D" w14:textId="77777777" w:rsidR="008A78AA" w:rsidRDefault="00000000">
            <w:pPr>
              <w:pStyle w:val="tablecopy"/>
              <w:spacing w:line="228" w:lineRule="auto"/>
              <w:jc w:val="center"/>
            </w:pPr>
            <w:r>
              <w:rPr>
                <w:sz w:val="15"/>
              </w:rPr>
              <w:t>GRU</w:t>
            </w:r>
          </w:p>
        </w:tc>
        <w:tc>
          <w:tcPr>
            <w:tcW w:w="880" w:type="dxa"/>
            <w:tcMar>
              <w:top w:w="25" w:type="dxa"/>
              <w:left w:w="70" w:type="dxa"/>
              <w:bottom w:w="25" w:type="dxa"/>
              <w:right w:w="70" w:type="dxa"/>
            </w:tcMar>
            <w:vAlign w:val="center"/>
          </w:tcPr>
          <w:p w14:paraId="3426419F" w14:textId="77777777" w:rsidR="008A78AA" w:rsidRDefault="00000000">
            <w:pPr>
              <w:pStyle w:val="tablecopy"/>
              <w:spacing w:line="228" w:lineRule="auto"/>
              <w:jc w:val="center"/>
            </w:pPr>
            <w:r>
              <w:rPr>
                <w:sz w:val="15"/>
              </w:rPr>
              <w:t>BTC/USDT / 1-hour</w:t>
            </w:r>
          </w:p>
        </w:tc>
        <w:tc>
          <w:tcPr>
            <w:tcW w:w="1090" w:type="dxa"/>
            <w:tcMar>
              <w:top w:w="25" w:type="dxa"/>
              <w:left w:w="70" w:type="dxa"/>
              <w:bottom w:w="25" w:type="dxa"/>
              <w:right w:w="70" w:type="dxa"/>
            </w:tcMar>
            <w:vAlign w:val="center"/>
          </w:tcPr>
          <w:p w14:paraId="3AB038B2" w14:textId="77777777" w:rsidR="008A78AA" w:rsidRDefault="00000000">
            <w:pPr>
              <w:pStyle w:val="tablecopy"/>
              <w:spacing w:line="228" w:lineRule="auto"/>
              <w:jc w:val="center"/>
            </w:pPr>
            <w:r>
              <w:rPr>
                <w:sz w:val="15"/>
              </w:rPr>
              <w:t>55.3%</w:t>
            </w:r>
          </w:p>
        </w:tc>
        <w:tc>
          <w:tcPr>
            <w:tcW w:w="949" w:type="dxa"/>
            <w:tcMar>
              <w:top w:w="25" w:type="dxa"/>
              <w:left w:w="70" w:type="dxa"/>
              <w:bottom w:w="25" w:type="dxa"/>
              <w:right w:w="70" w:type="dxa"/>
            </w:tcMar>
            <w:vAlign w:val="center"/>
          </w:tcPr>
          <w:p w14:paraId="157BC687" w14:textId="77777777" w:rsidR="008A78AA" w:rsidRDefault="00000000">
            <w:pPr>
              <w:pStyle w:val="tablecopy"/>
              <w:spacing w:line="228" w:lineRule="auto"/>
              <w:jc w:val="center"/>
            </w:pPr>
            <w:r>
              <w:rPr>
                <w:sz w:val="15"/>
              </w:rPr>
              <w:t>0.72 ± 0.14</w:t>
            </w:r>
          </w:p>
        </w:tc>
      </w:tr>
      <w:tr w:rsidR="008A78AA" w14:paraId="6CAB1598" w14:textId="77777777">
        <w:trPr>
          <w:cantSplit/>
          <w:trHeight w:val="240"/>
          <w:jc w:val="center"/>
        </w:trPr>
        <w:tc>
          <w:tcPr>
            <w:tcW w:w="1000" w:type="dxa"/>
            <w:tcBorders>
              <w:bottom w:val="single" w:sz="8" w:space="0" w:color="000000"/>
            </w:tcBorders>
            <w:tcMar>
              <w:top w:w="25" w:type="dxa"/>
              <w:left w:w="70" w:type="dxa"/>
              <w:bottom w:w="25" w:type="dxa"/>
              <w:right w:w="70" w:type="dxa"/>
            </w:tcMar>
            <w:vAlign w:val="center"/>
          </w:tcPr>
          <w:p w14:paraId="56962025" w14:textId="77777777" w:rsidR="008A78AA" w:rsidRDefault="00000000">
            <w:pPr>
              <w:pStyle w:val="tablecopy"/>
              <w:spacing w:line="228" w:lineRule="auto"/>
              <w:jc w:val="left"/>
            </w:pPr>
            <w:r>
              <w:rPr>
                <w:sz w:val="15"/>
              </w:rPr>
              <w:t>This study (LSTM, best DA)</w:t>
            </w:r>
          </w:p>
        </w:tc>
        <w:tc>
          <w:tcPr>
            <w:tcW w:w="1000" w:type="dxa"/>
            <w:tcBorders>
              <w:bottom w:val="single" w:sz="8" w:space="0" w:color="000000"/>
            </w:tcBorders>
            <w:tcMar>
              <w:top w:w="25" w:type="dxa"/>
              <w:left w:w="70" w:type="dxa"/>
              <w:bottom w:w="25" w:type="dxa"/>
              <w:right w:w="70" w:type="dxa"/>
            </w:tcMar>
            <w:vAlign w:val="center"/>
          </w:tcPr>
          <w:p w14:paraId="585C1B3C" w14:textId="77777777" w:rsidR="008A78AA" w:rsidRDefault="00000000">
            <w:pPr>
              <w:pStyle w:val="tablecopy"/>
              <w:spacing w:line="228" w:lineRule="auto"/>
              <w:jc w:val="center"/>
            </w:pPr>
            <w:r>
              <w:rPr>
                <w:sz w:val="15"/>
              </w:rPr>
              <w:t>LSTM</w:t>
            </w:r>
          </w:p>
        </w:tc>
        <w:tc>
          <w:tcPr>
            <w:tcW w:w="880" w:type="dxa"/>
            <w:tcBorders>
              <w:bottom w:val="single" w:sz="8" w:space="0" w:color="000000"/>
            </w:tcBorders>
            <w:tcMar>
              <w:top w:w="25" w:type="dxa"/>
              <w:left w:w="70" w:type="dxa"/>
              <w:bottom w:w="25" w:type="dxa"/>
              <w:right w:w="70" w:type="dxa"/>
            </w:tcMar>
            <w:vAlign w:val="center"/>
          </w:tcPr>
          <w:p w14:paraId="608DA6EF" w14:textId="77777777" w:rsidR="008A78AA" w:rsidRDefault="00000000">
            <w:pPr>
              <w:pStyle w:val="tablecopy"/>
              <w:spacing w:line="228" w:lineRule="auto"/>
              <w:jc w:val="center"/>
            </w:pPr>
            <w:r>
              <w:rPr>
                <w:sz w:val="15"/>
              </w:rPr>
              <w:t>BTC/USDT / 1-hour</w:t>
            </w:r>
          </w:p>
        </w:tc>
        <w:tc>
          <w:tcPr>
            <w:tcW w:w="1090" w:type="dxa"/>
            <w:tcBorders>
              <w:bottom w:val="single" w:sz="8" w:space="0" w:color="000000"/>
            </w:tcBorders>
            <w:tcMar>
              <w:top w:w="25" w:type="dxa"/>
              <w:left w:w="70" w:type="dxa"/>
              <w:bottom w:w="25" w:type="dxa"/>
              <w:right w:w="70" w:type="dxa"/>
            </w:tcMar>
            <w:vAlign w:val="center"/>
          </w:tcPr>
          <w:p w14:paraId="354A0C5F" w14:textId="77777777" w:rsidR="008A78AA" w:rsidRDefault="00000000">
            <w:pPr>
              <w:pStyle w:val="tablecopy"/>
              <w:spacing w:line="228" w:lineRule="auto"/>
              <w:jc w:val="center"/>
            </w:pPr>
            <w:r>
              <w:rPr>
                <w:sz w:val="15"/>
              </w:rPr>
              <w:t>57.8%</w:t>
            </w:r>
          </w:p>
        </w:tc>
        <w:tc>
          <w:tcPr>
            <w:tcW w:w="949" w:type="dxa"/>
            <w:tcBorders>
              <w:bottom w:val="single" w:sz="8" w:space="0" w:color="000000"/>
            </w:tcBorders>
            <w:tcMar>
              <w:top w:w="25" w:type="dxa"/>
              <w:left w:w="70" w:type="dxa"/>
              <w:bottom w:w="25" w:type="dxa"/>
              <w:right w:w="70" w:type="dxa"/>
            </w:tcMar>
            <w:vAlign w:val="center"/>
          </w:tcPr>
          <w:p w14:paraId="74C9616A" w14:textId="77777777" w:rsidR="008A78AA" w:rsidRDefault="00000000">
            <w:pPr>
              <w:pStyle w:val="tablecopy"/>
              <w:spacing w:line="228" w:lineRule="auto"/>
              <w:jc w:val="center"/>
            </w:pPr>
            <w:r>
              <w:rPr>
                <w:sz w:val="15"/>
              </w:rPr>
              <w:t>0.87 ± 0.12</w:t>
            </w:r>
          </w:p>
        </w:tc>
      </w:tr>
    </w:tbl>
    <w:p w14:paraId="7A684C3F" w14:textId="77EA0DC0" w:rsidR="008A78AA" w:rsidRDefault="006F6F2D">
      <w:pPr>
        <w:pStyle w:val="BodyText"/>
      </w:pPr>
      <w:r>
        <w:t xml:space="preserve">Results are reported in conjunction with reported numbers in Table III (dash = not reported). This comparison is only illustrative due to different asset universe, sampling interval, target, validation design and cost treatment. The directional accuracies obtained here (55.3%–57.8%) are better than those of Jaquart et al. [11] (52.9%–54.1%) and worse than those of Chen et al. [15] (66%–67.2%) and Omole and Enke [29] (82.44%). The Sharpe Ratios here (0.72–0.87 gross of costs) are below the net-of-cost 3.23 and 3.12 of Jaquart et al. [11] and the value above 1 reported net of costs for the best long-only XGBoost strategy of Bysik and Ślepaczuk [35] (preprint), so Table III does not support a claim of superior risk-adjusted performance. The GRU-before-LSTM RMSE ordering differs from Murray et al. [26] but agrees with Kaur et al. [7]. The weak XGBoost result contrasts with the strong boosted-tree results in [35], [8] and [32]. The underwhelming Informer is in line with Grądzki et al. [30], where Transformer variants (not the Informer itself) did not beat a ResNet-LSTM. We therefore do not claim a general superiority of recurrent architectures. An enterprise DSS can use both: GRU for tight error bounds in stop-loss sizing; LSTM for directional trend signals.</w:t>
      </w:r>
    </w:p>
    <w:p w14:paraId="0E41F99C" w14:textId="77777777" w:rsidR="008A78AA" w:rsidRDefault="00000000">
      <w:pPr>
        <w:pStyle w:val="Heading3"/>
      </w:pPr>
      <w:r>
        <w:t>Operational Boundaries and Future Enhancements:</w:t>
      </w:r>
    </w:p>
    <w:p w14:paraId="26596A74" w14:textId="77777777" w:rsidR="00B730E1" w:rsidRDefault="00B730E1" w:rsidP="00B730E1">
      <w:pPr>
        <w:pStyle w:val="BodyText"/>
      </w:pPr>
      <w:r>
        <w:t xml:space="preserve">Price-based features are unable to predict abrupt regime shifts driven by macro-sentiment contagion (e.g. exchange insolvencies, regulatory shocks, stablecoin de-pegging events such as Terra-Luna [49]). Another interesting avenue to improve tail-risk robustness is the use of on-chain data (e.g., net exchange flows, active addresses) and news sentiment from NLP as auxiliary features.</w:t>
      </w:r>
    </w:p>
    <w:p w14:paraId="0303233C" w14:textId="4F559AEA" w:rsidR="00E47DF9" w:rsidRDefault="00B730E1" w:rsidP="00B730E1">
      <w:pPr>
        <w:pStyle w:val="BodyText"/>
      </w:pPr>
      <w:r>
        <w:t xml:space="preserve">Another boundary involves transaction costs. The Layer 4 strategy return Rtstrategy = st · rt contains no cost term, so the Sharpe Ratios and VaR values in Table II are gross of fees and slippage. The signal is committed at the start of each 168-hour test window and not revised; treated as a single weekly directional bet, turnover is 24 × lower than under independent hourly execution. The reported gross DA and Sharpe therefore represent an upper bound on net performance, and recent studies show that gross profitability on hourly Bitcoin data can vanish at fee levels comparable to the 0.10% taker fee [34], [35]. The first planned extension is a net-of-cost formulation under both weekly and hourly execution, Rtnet = st · rt − c · |st − st−1|, with c the per-side cost [35]. Sharpe Ratio differences across models were not formally tested here and should be assessed by bootstrap [35].</w:t>
      </w:r>
    </w:p>
    <w:p w14:paraId="2A6B6A39" w14:textId="77777777" w:rsidR="008A78AA" w:rsidRDefault="00000000">
      <w:pPr>
        <w:pStyle w:val="BodyText"/>
        <w:ind w:firstLine="0"/>
        <w:jc w:val="center"/>
      </w:pPr>
      <w:r>
        <w:rPr>
          <w:noProof/>
        </w:rPr>
        <w:drawing>
          <wp:inline distT="0" distB="0" distL="0" distR="0" wp14:anchorId="62A66FC8" wp14:editId="24A1F0E5">
            <wp:extent cx="2629706" cy="2038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3"/>
                    <a:stretch>
                      <a:fillRect/>
                    </a:stretch>
                  </pic:blipFill>
                  <pic:spPr>
                    <a:xfrm>
                      <a:off x="0" y="0"/>
                      <a:ext cx="2641776" cy="2047706"/>
                    </a:xfrm>
                    <a:prstGeom prst="rect">
                      <a:avLst/>
                    </a:prstGeom>
                  </pic:spPr>
                </pic:pic>
              </a:graphicData>
            </a:graphic>
          </wp:inline>
        </w:drawing>
      </w:r>
    </w:p>
    <w:p w14:paraId="75D6D3BD" w14:textId="77777777" w:rsidR="008A78AA" w:rsidRDefault="00A018D2">
      <w:pPr>
        <w:pStyle w:val="figurecaption"/>
        <w:jc w:val="center"/>
      </w:pPr>
      <w:r>
        <w:t>Business Intelligence Dashboard KPI summary from 24-fold Walk-Forward evaluation (RMSE, Sharpe Ratio, Directional Accuracy, and VaR95% per hour; gross of transaction costs). Dashed reference lines: ARIMA baseline (DA = 51.8%, SR = 0.41); buy-and-hold BTC/USDT over 4,032 test hours, Sharpe Ratio = 0.58 (Section II.A).</w:t>
      </w:r>
    </w:p>
    <w:p w14:paraId="4D85F1FF" w14:textId="77777777" w:rsidR="008A78AA" w:rsidRDefault="00000000">
      <w:pPr>
        <w:pStyle w:val="Heading1"/>
      </w:pPr>
      <w:r>
        <w:t>CONCLUSION</w:t>
      </w:r>
    </w:p>
    <w:p w14:paraId="26A192B0" w14:textId="77777777" w:rsidR="008A78AA" w:rsidRDefault="00A018D2">
      <w:pPr>
        <w:pStyle w:val="BodyText"/>
      </w:pPr>
      <w:r>
        <w:t xml:space="preserve">This study presented an end-to-end four-layer BI and deep learning framework for enterprise decision support. Evaluated on 43,786 hourly BTC/USDT observations under a 24-fold chronological Walk-Forward protocol, it revealed a divergence between statistical accuracy and decision utility: the GRU achieved the lowest point-forecasting error (RMSE = 0.1058 ± 0.0034; significant against XGBoost and Informer after Bonferroni correction, see Section III.A), whereas the LSTM generated the highest Directional Accuracy (57.8% ± 2.1%) and annualized Sharpe Ratio (0.87 ± 0.12, VaR95% = −1.18% per hour; before transaction costs and evaluated on stale-forecast signals committed at the start of each 168-hour window). Usability evaluation with 15 evaluators indicated high perceived usability (SUS = 86.4).</w:t>
      </w:r>
    </w:p>
    <w:p w14:paraId="1F85359E" w14:textId="77777777" w:rsidR="00E47DF9" w:rsidRDefault="00000000">
      <w:pPr>
        <w:pStyle w:val="BodyText"/>
      </w:pPr>
      <w:r>
        <w:t xml:space="preserve">Future work includes: (1) net-of-cost evaluation with cost-aware execution filters and significance testing of Sharpe Ratio differences [34], [35]; (2) multi-modal sentiment and on-chain metrics [29]; (3) multi-asset validation (e.g., ETH/USDT, BNB/USDT); and (4) benchmarking PatchTST and TimesNet under the same protocol.</w:t>
      </w:r>
    </w:p>
    <w:p w14:paraId="5466B368" w14:textId="77777777" w:rsidR="008A78AA" w:rsidRDefault="00000000">
      <w:pPr>
        <w:pStyle w:val="Heading5"/>
      </w:pPr>
      <w:r>
        <w:t>Data Availability</w:t>
      </w:r>
    </w:p>
    <w:p w14:paraId="02FD81CA" w14:textId="3E819883" w:rsidR="008A78AA" w:rsidRDefault="00D517AD">
      <w:pPr>
        <w:pStyle w:val="BodyText"/>
      </w:pPr>
      <w:r>
        <w:t>The code and processed data used in the analysis are available from the corresponding author on reasonable request.</w:t>
      </w:r>
    </w:p>
    <w:p w14:paraId="5268D02A" w14:textId="77777777" w:rsidR="008A78AA" w:rsidRDefault="00000000">
      <w:pPr>
        <w:pStyle w:val="Heading5"/>
      </w:pPr>
      <w:r>
        <w:t>References</w:t>
      </w:r>
    </w:p>
    <w:p w14:paraId="1A06B46D" w14:textId="77777777" w:rsidR="008A78AA" w:rsidRDefault="00000000">
      <w:pPr>
        <w:pStyle w:val="references"/>
      </w:pPr>
      <w:r>
        <w:t xml:space="preserve">A. Urquhart, “The inefficiency of Bitcoin,” </w:t>
      </w:r>
      <w:r>
        <w:rPr>
          <w:i/>
          <w:iCs/>
        </w:rPr>
        <w:t>Econ. Lett.</w:t>
      </w:r>
      <w:r>
        <w:t xml:space="preserve">, vol. 148, pp. 80–82, 2016, doi: 10.1016/j.econlet.2016.09.019.</w:t>
      </w:r>
    </w:p>
    <w:p w14:paraId="0E4489ED" w14:textId="77777777" w:rsidR="008A78AA" w:rsidRDefault="00000000">
      <w:pPr>
        <w:pStyle w:val="references"/>
      </w:pPr>
      <w:r>
        <w:t xml:space="preserve">K. Mokni, G. El Montasser, A. N. Ajmi, and E. Bouri, “On the efficiency and its drivers in the cryptocurrency market: The case of Bitcoin and Ethereum,” </w:t>
      </w:r>
      <w:r>
        <w:rPr>
          <w:i/>
          <w:iCs/>
        </w:rPr>
        <w:t>Financ. Innov.</w:t>
      </w:r>
      <w:r>
        <w:t xml:space="preserve">, vol. 10, art. no. 39, 2024, doi: 10.1186/s40854-023-00566-3.</w:t>
      </w:r>
    </w:p>
    <w:p w14:paraId="766BF1C8" w14:textId="77777777" w:rsidR="008A78AA" w:rsidRDefault="00000000">
      <w:pPr>
        <w:pStyle w:val="references"/>
      </w:pPr>
      <w:r>
        <w:t xml:space="preserve">S. Makridakis, E. Spiliotis, and V. Assimakopoulos, “Statistical and Machine Learning forecasting methods: Concerns and ways forward,” </w:t>
      </w:r>
      <w:r>
        <w:rPr>
          <w:i/>
          <w:iCs/>
        </w:rPr>
        <w:t xml:space="preserve">PLoS ONE</w:t>
      </w:r>
      <w:r>
        <w:t xml:space="preserve">, vol. 13, no. 3, p. e0194889, 2018, doi: 10.1371/journal.pone.0194889.</w:t>
      </w:r>
    </w:p>
    <w:p w14:paraId="262777B3" w14:textId="77777777" w:rsidR="008A78AA" w:rsidRDefault="00000000">
      <w:pPr>
        <w:pStyle w:val="references"/>
      </w:pPr>
      <w:r>
        <w:t xml:space="preserve">S. K. Jena, A. K. Tiwari, B. Doğan, and S. Hammoudeh, “Are the top six cryptocurrencies efficient? Evidence from time-varying long memory,” </w:t>
      </w:r>
      <w:r>
        <w:rPr>
          <w:i/>
          <w:iCs/>
        </w:rPr>
        <w:t>Int. J. Finance Econ.</w:t>
      </w:r>
      <w:r>
        <w:t xml:space="preserve">, vol. 27, no. 3, pp. 3730–3740, 2022, doi: 10.1002/ijfe.2347.</w:t>
      </w:r>
    </w:p>
    <w:p w14:paraId="422A8DDD" w14:textId="77777777" w:rsidR="00E47DF9" w:rsidRDefault="00000000">
      <w:pPr>
        <w:pStyle w:val="references"/>
      </w:pPr>
      <w:r>
        <w:t xml:space="preserve">A. Bouteska, M. Z. Abedin, P. Hajek, and K. Yuan, “Cryptocurrency price forecasting – A comparative analysis of ensemble learning and deep learning methods,” </w:t>
      </w:r>
      <w:r>
        <w:rPr>
          <w:i/>
          <w:iCs/>
        </w:rPr>
        <w:t xml:space="preserve">Int. Rev. Financ. Anal.</w:t>
      </w:r>
      <w:r>
        <w:t xml:space="preserve">, vol. 92, art. no. 103055, 2024, doi: 10.1016/j.irfa.2023.103055.</w:t>
      </w:r>
    </w:p>
    <w:p w14:paraId="39DDA504" w14:textId="77777777" w:rsidR="008A78AA" w:rsidRDefault="00000000">
      <w:pPr>
        <w:pStyle w:val="references"/>
      </w:pPr>
      <w:r>
        <w:t xml:space="preserve">N. Gradojevic, D. Kukolj, R. Adcock, and V. Djakovic, “Forecasting Bitcoin with technical analysis: A not-so-random forest?” </w:t>
      </w:r>
      <w:r>
        <w:rPr>
          <w:i/>
          <w:iCs/>
        </w:rPr>
        <w:t>Int. J. Forecast.</w:t>
      </w:r>
      <w:r>
        <w:t xml:space="preserve">, vol. 39, no. 1, pp. 1–17, 2023, doi: 10.1016/j.ijforecast.2021.08.001.</w:t>
      </w:r>
    </w:p>
    <w:p w14:paraId="1A06B46D" w14:textId="77777777" w:rsidR="008A78AA" w:rsidRDefault="00000000">
      <w:pPr>
        <w:pStyle w:val="references"/>
      </w:pPr>
      <w:r>
        <w:t xml:space="preserve">R. Kaur et al., “Development of a cryptocurrency price prediction model: Leveraging GRU and LSTM for Bitcoin, Litecoin and Ethereum,” </w:t>
      </w:r>
      <w:r>
        <w:rPr>
          <w:i/>
          <w:iCs/>
        </w:rPr>
        <w:t xml:space="preserve">PeerJ Comput. Sci.</w:t>
      </w:r>
      <w:r>
        <w:t xml:space="preserve">, vol. 11, art. no. e2675, 2025, doi: 10.7717/peerj-cs.2675.</w:t>
      </w:r>
    </w:p>
    <w:p w14:paraId="1A06B46D" w14:textId="77777777" w:rsidR="008A78AA" w:rsidRDefault="00000000">
      <w:pPr>
        <w:pStyle w:val="references"/>
      </w:pPr>
      <w:r>
        <w:t xml:space="preserve">D. Adedigba, D. Agbolade, and R. Hasan, “Machine learning approaches to cryptocurrency trading optimization: A comparative analysis of predictive models,” </w:t>
      </w:r>
      <w:r>
        <w:rPr>
          <w:i/>
          <w:iCs/>
        </w:rPr>
        <w:t xml:space="preserve">Discov. Artif. Intell.</w:t>
      </w:r>
      <w:r>
        <w:t xml:space="preserve">, vol. 5, art. no. 310, 2025, doi: 10.1007/s44163-025-00519-y.</w:t>
      </w:r>
    </w:p>
    <w:p w14:paraId="18CDBAFA" w14:textId="77777777" w:rsidR="008A78AA" w:rsidRDefault="00000000">
      <w:pPr>
        <w:pStyle w:val="references"/>
      </w:pPr>
      <w:r>
        <w:t xml:space="preserve">G. Leitch and J. E. Tanner, “Economic forecast evaluation: Profits versus the conventional error measures,” </w:t>
      </w:r>
      <w:r>
        <w:rPr>
          <w:i/>
          <w:iCs/>
        </w:rPr>
        <w:t>Amer. Econ. Rev.</w:t>
      </w:r>
      <w:r>
        <w:t>, vol. 81, no. 3, pp. 580–590, 1991.</w:t>
      </w:r>
    </w:p>
    <w:p w14:paraId="563183BE" w14:textId="77777777" w:rsidR="00E47DF9" w:rsidRDefault="00000000">
      <w:pPr>
        <w:pStyle w:val="references"/>
      </w:pPr>
      <w:r>
        <w:t xml:space="preserve">O. Sattarov and J. Choi, “From prediction to profit: A comprehensive review of cryptocurrency trading strategies and price forecasting techniques,” </w:t>
      </w:r>
      <w:r>
        <w:rPr>
          <w:i/>
          <w:iCs/>
        </w:rPr>
        <w:t xml:space="preserve">IEEE Access</w:t>
      </w:r>
      <w:r>
        <w:t xml:space="preserve">, vol. 12, pp. 87039–87064, 2024, doi: 10.1109/ACCESS.2024.3417449.</w:t>
      </w:r>
    </w:p>
    <w:p w14:paraId="4497F4BA" w14:textId="77777777" w:rsidR="00E47DF9" w:rsidRDefault="00000000">
      <w:pPr>
        <w:pStyle w:val="references"/>
      </w:pPr>
      <w:r>
        <w:t xml:space="preserve">P. Jaquart, S. Köpke, and C. Weinhardt, “Machine learning for cryptocurrency market prediction and trading,” </w:t>
      </w:r>
      <w:r>
        <w:rPr>
          <w:i/>
          <w:iCs/>
        </w:rPr>
        <w:t>J. Finance Data Sci.</w:t>
      </w:r>
      <w:r>
        <w:t xml:space="preserve">, vol. 8, pp. 331–352, 2022, doi: 10.1016/j.jfds.2022.12.001.</w:t>
      </w:r>
    </w:p>
    <w:p w14:paraId="1038835B" w14:textId="77777777" w:rsidR="008A78AA" w:rsidRDefault="00000000">
      <w:pPr>
        <w:pStyle w:val="references"/>
      </w:pPr>
      <w:r>
        <w:t xml:space="preserve">H. Chen, R. H. L. Chiang, and V. C. Storey, “Business intelligence and analytics: From big data to big impact,” </w:t>
      </w:r>
      <w:r>
        <w:rPr>
          <w:i/>
          <w:iCs/>
        </w:rPr>
        <w:t>MIS Q.</w:t>
      </w:r>
      <w:r>
        <w:t xml:space="preserve">, vol. 36, no. 4, pp. 1165–1188, 2012, doi: 10.2307/41703503.</w:t>
      </w:r>
    </w:p>
    <w:p w14:paraId="6313E24B" w14:textId="77777777" w:rsidR="008A78AA" w:rsidRDefault="00000000">
      <w:pPr>
        <w:pStyle w:val="references"/>
      </w:pPr>
      <w:r>
        <w:t xml:space="preserve">C. Krauss, X. A. Do, and N. Huck, “Deep neural networks, gradient-boosted trees, random forests: Statistical arbitrage on the S&amp;P 500,” </w:t>
      </w:r>
      <w:r>
        <w:rPr>
          <w:i/>
          <w:iCs/>
        </w:rPr>
        <w:t>Eur. J. Oper. Res.</w:t>
      </w:r>
      <w:r>
        <w:t xml:space="preserve">, vol. 259, no. 2, pp. 689–702, 2017, doi: 10.1016/j.ejor.2016.10.031.</w:t>
      </w:r>
    </w:p>
    <w:p w14:paraId="0CDD45D8" w14:textId="77777777" w:rsidR="008A78AA" w:rsidRDefault="00000000">
      <w:pPr>
        <w:pStyle w:val="references"/>
      </w:pPr>
      <w:r>
        <w:t xml:space="preserve">T. Chen and C. Guestrin, “XGBoost: A Scalable Tree Boosting System,” in </w:t>
      </w:r>
      <w:r>
        <w:rPr>
          <w:i/>
          <w:iCs/>
        </w:rPr>
        <w:t xml:space="preserve">Proc. 22nd ACM SIGKDD Int. Conf. Knowl. Discovery Data Min. (KDD)</w:t>
      </w:r>
      <w:r>
        <w:t xml:space="preserve">, San Francisco, CA, USA, 2016, pp. 785–794, doi: 10.1145/2939672.2939785.</w:t>
      </w:r>
    </w:p>
    <w:p w14:paraId="1FCD26D8" w14:textId="77777777" w:rsidR="008A78AA" w:rsidRDefault="00000000">
      <w:pPr>
        <w:pStyle w:val="references"/>
      </w:pPr>
      <w:r>
        <w:t xml:space="preserve">Z. Chen, C. Li, and W. Sun, “Bitcoin price prediction using machine learning: An approach to sample dimension engineering,” </w:t>
      </w:r>
      <w:r>
        <w:rPr>
          <w:i/>
          <w:iCs/>
        </w:rPr>
        <w:t xml:space="preserve">J. Comput. Appl. Math.</w:t>
      </w:r>
      <w:r>
        <w:t xml:space="preserve">, vol. 365, art. no. 112395, 2020, doi: 10.1016/j.cam.2019.112395.</w:t>
      </w:r>
    </w:p>
    <w:p w14:paraId="1C57E8DD" w14:textId="77777777" w:rsidR="008A78AA" w:rsidRDefault="00000000">
      <w:pPr>
        <w:pStyle w:val="references"/>
      </w:pPr>
      <w:r>
        <w:t xml:space="preserve">S. Hochreiter and J. Schmidhuber, “Long short-term memory,” </w:t>
      </w:r>
      <w:r>
        <w:rPr>
          <w:i/>
          <w:iCs/>
        </w:rPr>
        <w:t xml:space="preserve">Neural Comput.</w:t>
      </w:r>
      <w:r>
        <w:t xml:space="preserve">, vol. 9, no. 8, pp. 1735–1780, 1997, doi: 10.1162/neco.1997.9.8.1735.</w:t>
      </w:r>
    </w:p>
    <w:p w14:paraId="097244E0"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xml:space="preserve">, Doha, Qatar, 2014, pp. 1724–1734, doi: 10.3115/v1/D14-1179.</w:t>
      </w:r>
    </w:p>
    <w:p w14:paraId="7FC8F374" w14:textId="77777777" w:rsidR="008A78AA" w:rsidRDefault="00000000">
      <w:pPr>
        <w:pStyle w:val="references"/>
      </w:pPr>
      <w:r>
        <w:t xml:space="preserve">P. L. Seabe, C. R. B. Moutsinga, and E. Pindza, “Forecasting cryptocurrency prices using LSTM, GRU, and bi-directional LSTM: A deep learning approach,” </w:t>
      </w:r>
      <w:r>
        <w:rPr>
          <w:i/>
          <w:iCs/>
        </w:rPr>
        <w:t xml:space="preserve">Fractal Fract.</w:t>
      </w:r>
      <w:r>
        <w:t xml:space="preserve">, vol. 7, no. 2, art. no. 203, 2023, doi: 10.3390/fractalfract7020203.</w:t>
      </w:r>
    </w:p>
    <w:p w14:paraId="73311A0F" w14:textId="77777777" w:rsidR="008A78AA" w:rsidRDefault="00000000">
      <w:pPr>
        <w:pStyle w:val="references"/>
      </w:pPr>
      <w:r>
        <w:t xml:space="preserve">A. Vaswani et al., “Attention is all you need,” in </w:t>
      </w:r>
      <w:r>
        <w:rPr>
          <w:i/>
          <w:iCs/>
        </w:rPr>
        <w:t xml:space="preserve">Proc. Adv. Neural Inf. Process. Syst. (NeurIPS)</w:t>
      </w:r>
      <w:r>
        <w:t xml:space="preserve">, Long Beach, CA, USA, 2017, vol. 30, pp. 5998–6008.</w:t>
      </w:r>
    </w:p>
    <w:p w14:paraId="707BC320" w14:textId="77777777" w:rsidR="008A78AA" w:rsidRDefault="00000000">
      <w:pPr>
        <w:pStyle w:val="references"/>
      </w:pPr>
      <w:r>
        <w:t xml:space="preserve">G. Zerveas, S. Jayaraman, D. Patel, A. Bhamidipaty, and C. Eickhoff, “A Transformer-based Framework for Multivariate Time Series Representation Learning,” in </w:t>
      </w:r>
      <w:r>
        <w:rPr>
          <w:i/>
          <w:iCs/>
        </w:rPr>
        <w:t xml:space="preserve">Proc. 27th ACM SIGKDD Conf. Knowl. Discov. Data Min. (KDD)</w:t>
      </w:r>
      <w:r>
        <w:t xml:space="preserve">, Virtual, 2021, pp. 2114–2124, doi: 10.1145/3447548.3467401.</w:t>
      </w:r>
    </w:p>
    <w:p w14:paraId="4717700A" w14:textId="77777777" w:rsidR="008A78AA" w:rsidRDefault="00000000">
      <w:pPr>
        <w:pStyle w:val="references"/>
      </w:pPr>
      <w:r>
        <w:t xml:space="preserve">H. Zhou et al., “Informer: Beyond Efficient Transformer for Long Sequence Time-Series Forecasting,” in </w:t>
      </w:r>
      <w:r>
        <w:rPr>
          <w:i/>
          <w:iCs/>
        </w:rPr>
        <w:t xml:space="preserve">Proc. 35th AAAI Conf. Artif. Intell. (AAAI)</w:t>
      </w:r>
      <w:r>
        <w:t xml:space="preserve">, Virtual, 2021, pp. 11106–11115, doi: 10.1609/aaai.v35i12.17325.</w:t>
      </w:r>
    </w:p>
    <w:p w14:paraId="6931FDB5" w14:textId="77777777" w:rsidR="008A78AA" w:rsidRDefault="00000000">
      <w:pPr>
        <w:pStyle w:val="references"/>
      </w:pPr>
      <w:r>
        <w:t xml:space="preserve">Y. Nie, N. H. Nguyen, P. Sinthong, and J. Kalagnanam, “A time series is worth 64 words: Long-term forecasting with Transformers,” in </w:t>
      </w:r>
      <w:r>
        <w:rPr>
          <w:i/>
          <w:iCs/>
        </w:rPr>
        <w:t xml:space="preserve">Proc. Int. Conf. Learn. Represent. (ICLR)</w:t>
      </w:r>
      <w:r>
        <w:t xml:space="preserve">, Kigali, Rwanda, 2023. [Online]. Available: https://arxiv.org/abs/2211.14730</w:t>
      </w:r>
    </w:p>
    <w:p w14:paraId="3DDEECEF" w14:textId="77777777" w:rsidR="008A78AA" w:rsidRDefault="00000000">
      <w:pPr>
        <w:pStyle w:val="references"/>
      </w:pPr>
      <w:r>
        <w:t xml:space="preserve">H. Wu, T. Hu, Y. Liu, H. Zhou, J. Wang, and M. Long, “TimesNet: Temporal 2D-variation modeling for general time series analysis,” in </w:t>
      </w:r>
      <w:r>
        <w:rPr>
          <w:i/>
          <w:iCs/>
        </w:rPr>
        <w:t xml:space="preserve">Proc. Int. Conf. Learn. Represent. (ICLR)</w:t>
      </w:r>
      <w:r>
        <w:t xml:space="preserve">, Kigali, Rwanda, 2023. [Online]. Available: https://arxiv.org/abs/2210.02186</w:t>
      </w:r>
    </w:p>
    <w:p w14:paraId="2C34610C" w14:textId="77777777" w:rsidR="008A78AA" w:rsidRDefault="00000000">
      <w:pPr>
        <w:pStyle w:val="references"/>
      </w:pPr>
      <w:r>
        <w:t xml:space="preserve">R. Hasanli and M. Dursun, “A novel hybrid Transformer-based deep learning approach for multi-step Bitcoin price forecasting,” </w:t>
      </w:r>
      <w:r>
        <w:rPr>
          <w:i/>
          <w:iCs/>
        </w:rPr>
        <w:t>Eng. Technol. Appl. Sci. Res.</w:t>
      </w:r>
      <w:r>
        <w:t xml:space="preserve">, vol. 16, no. 1, pp. 32524–32533, 2026, doi: 10.48084/etasr.16684.</w:t>
      </w:r>
    </w:p>
    <w:p w14:paraId="1A06B46D" w14:textId="77777777" w:rsidR="008A78AA" w:rsidRDefault="00000000">
      <w:pPr>
        <w:pStyle w:val="references"/>
      </w:pPr>
      <w:r>
        <w:t xml:space="preserve">T. O. Kehinde, O. J. Adedokun, A. Joseph, K. M. Kabirat, H. A. Akano, and O. A. Olanrewaju, “Helformer: An attention-based deep learning model for cryptocurrency price forecasting,” </w:t>
      </w:r>
      <w:r>
        <w:rPr>
          <w:i/>
          <w:iCs/>
        </w:rPr>
        <w:t xml:space="preserve">J. Big Data</w:t>
      </w:r>
      <w:r>
        <w:t xml:space="preserve">, vol. 12, art. no. 81, 2025, doi: 10.1186/s40537-025-01135-4.</w:t>
      </w:r>
    </w:p>
    <w:p w14:paraId="56F9A48D" w14:textId="77777777" w:rsidR="00E47DF9" w:rsidRDefault="00000000">
      <w:pPr>
        <w:pStyle w:val="references"/>
      </w:pPr>
      <w:r>
        <w:t xml:space="preserve">K. Murray, A. Rossi, D. Carraro, and A. Visentin, “On forecasting cryptocurrency prices: A comparison of machine learning, deep learning, and ensembles,” </w:t>
      </w:r>
      <w:r>
        <w:rPr>
          <w:i/>
          <w:iCs/>
        </w:rPr>
        <w:t>Forecasting</w:t>
      </w:r>
      <w:r>
        <w:t xml:space="preserve">, vol. 5, no. 1, pp. 196–209, 2023, doi: 10.3390/forecast5010010.</w:t>
      </w:r>
    </w:p>
    <w:p w14:paraId="75912C8D" w14:textId="77777777" w:rsidR="00E47DF9" w:rsidRDefault="00000000">
      <w:pPr>
        <w:pStyle w:val="references"/>
      </w:pPr>
      <w:r>
        <w:t xml:space="preserve">A. A. Oyedele, A. O. Ajayi, L. O. Oyedele, S. A. Bello, and K. O. Jimoh, “Performance evaluation of deep learning and boosted trees for cryptocurrency closing price prediction,” </w:t>
      </w:r>
      <w:r>
        <w:rPr>
          <w:i/>
          <w:iCs/>
        </w:rPr>
        <w:t>Expert Syst. Appl.</w:t>
      </w:r>
      <w:r>
        <w:t xml:space="preserve">, vol. 213, art. no. 119233, 2023, doi: 10.1016/j.eswa.2022.119233.</w:t>
      </w:r>
    </w:p>
    <w:p w14:paraId="5D67122F" w14:textId="77777777" w:rsidR="00E47DF9" w:rsidRDefault="00000000">
      <w:pPr>
        <w:pStyle w:val="references"/>
      </w:pPr>
      <w:r>
        <w:t xml:space="preserve">D. L. John, S. Binnewies, and B. Stantic, “Cryptocurrency price prediction algorithms: A survey and future directions,” </w:t>
      </w:r>
      <w:r>
        <w:rPr>
          <w:i/>
          <w:iCs/>
        </w:rPr>
        <w:t xml:space="preserve">Forecasting</w:t>
      </w:r>
      <w:r>
        <w:t xml:space="preserve">, vol. 6, no. 3, pp. 637–671, 2024, doi: 10.3390/forecast6030034.</w:t>
      </w:r>
    </w:p>
    <w:p w14:paraId="14946235" w14:textId="77777777" w:rsidR="00E47DF9" w:rsidRDefault="00000000">
      <w:pPr>
        <w:pStyle w:val="references"/>
      </w:pPr>
      <w:r>
        <w:t xml:space="preserve">O. Omole and D. Enke, “Deep learning for Bitcoin price direction prediction: Models and trading strategies empirically compared,” </w:t>
      </w:r>
      <w:r>
        <w:rPr>
          <w:i/>
          <w:iCs/>
        </w:rPr>
        <w:t>Financ. Innov.</w:t>
      </w:r>
      <w:r>
        <w:t xml:space="preserve">, vol. 10, art. no. 117, 2024, doi: 10.1186/s40854-024-00643-1.</w:t>
      </w:r>
    </w:p>
    <w:p w14:paraId="1B884E8B" w14:textId="77777777" w:rsidR="00E47DF9" w:rsidRDefault="00000000">
      <w:pPr>
        <w:pStyle w:val="references"/>
      </w:pPr>
      <w:r>
        <w:t xml:space="preserve">P. Grądzki, P. Wójcik, and S. Lessmann, “Algorithmic crypto trading using information-driven bars, triple barrier labeling and deep learning,” </w:t>
      </w:r>
      <w:r>
        <w:rPr>
          <w:i/>
          <w:iCs/>
        </w:rPr>
        <w:t>Financ. Innov.</w:t>
      </w:r>
      <w:r>
        <w:t xml:space="preserve">, vol. 11, art. no. 136, 2025, doi: 10.1186/s40854-025-00866-w.</w:t>
      </w:r>
    </w:p>
    <w:p w14:paraId="5739E251" w14:textId="77777777" w:rsidR="008A78AA" w:rsidRDefault="00000000">
      <w:pPr>
        <w:pStyle w:val="references"/>
      </w:pPr>
      <w:r>
        <w:t xml:space="preserve">L. Guo, B. Sang, J. Tu, and Y. Wang, “Cross-cryptocurrency return predictability,” </w:t>
      </w:r>
      <w:r>
        <w:rPr>
          <w:i/>
          <w:iCs/>
        </w:rPr>
        <w:t>J. Econ. Dyn. Control</w:t>
      </w:r>
      <w:r>
        <w:t xml:space="preserve">, vol. 163, art. no. 104863, 2024, doi: 10.1016/j.jedc.2024.104863.</w:t>
      </w:r>
    </w:p>
    <w:p w14:paraId="62AC23A0" w14:textId="77777777" w:rsidR="008A78AA" w:rsidRDefault="00000000">
      <w:pPr>
        <w:pStyle w:val="references"/>
      </w:pPr>
      <w:r>
        <w:t xml:space="preserve">R. Hasanli and M. Dursun, “Integrating high-dimensional technical indicators into machine learning models for predicting cryptocurrency price movements and trading performance: Evidence from Bitcoin, Ethereum, and Ripple,” </w:t>
      </w:r>
      <w:r>
        <w:rPr>
          <w:i/>
          <w:iCs/>
        </w:rPr>
        <w:t>FinTech</w:t>
      </w:r>
      <w:r>
        <w:t xml:space="preserve">, vol. 4, no. 4, art. no. 77, 2025, doi: 10.3390/fintech4040077.</w:t>
      </w:r>
    </w:p>
    <w:p w14:paraId="1A06B46D" w14:textId="77777777" w:rsidR="008A78AA" w:rsidRDefault="00000000">
      <w:pPr>
        <w:pStyle w:val="references"/>
      </w:pPr>
      <w:r>
        <w:t xml:space="preserve">J. Á. Islas Anguiano and A. García-Medina, “Technical analysis meets machine learning: Bitcoin evidence,” arXiv:2511.00665, Nov. 2025 (preprint, not peer reviewed). [Online]. Available: https://arxiv.org/abs/2511.00665</w:t>
      </w:r>
    </w:p>
    <w:p w14:paraId="00DFA80A" w14:textId="77777777" w:rsidR="00E47DF9" w:rsidRDefault="00000000">
      <w:pPr>
        <w:pStyle w:val="references"/>
      </w:pPr>
      <w:r>
        <w:t xml:space="preserve">P. Sobreiro, D. Martinho, R. Martins, and R. Vardasca, “Multi-timeframe feature engineering for Bitcoin market prediction: A price-level-agnostic machine learning approach,” </w:t>
      </w:r>
      <w:r>
        <w:rPr>
          <w:i/>
          <w:iCs/>
        </w:rPr>
        <w:t>Forecasting</w:t>
      </w:r>
      <w:r>
        <w:t xml:space="preserve">, vol. 8, no. 3, art. no. 40, 2026, doi: 10.3390/forecast8030040.</w:t>
      </w:r>
    </w:p>
    <w:p w14:paraId="1F3E453A" w14:textId="77777777" w:rsidR="00E47DF9" w:rsidRDefault="00000000">
      <w:pPr>
        <w:pStyle w:val="references"/>
      </w:pPr>
      <w:r>
        <w:t xml:space="preserve">A. Bysik and R. Ślepaczuk, “Machine learning-based Bitcoin trading under transaction costs: Evidence from walk-forward forecasting,” arXiv:2606.00060, May 2026 (preprint, not peer reviewed). [Online]. Available: https://arxiv.org/abs/2606.00060</w:t>
      </w:r>
    </w:p>
    <w:p w14:paraId="32F28163"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1C5A849A"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xml:space="preserve">, vol. 29, no. 4, pp. 269–293, 2014, doi: 10.1057/jit.2014.16.</w:t>
      </w:r>
    </w:p>
    <w:p w14:paraId="579DCAAB"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5B74E596" w14:textId="77777777" w:rsidR="008A78AA" w:rsidRDefault="00000000">
      <w:pPr>
        <w:pStyle w:val="references"/>
      </w:pPr>
      <w:r>
        <w:t xml:space="preserve">Binance, “Binance Spot API documentation,” 2026. [Online]. Available: https://developers.binance.com/docs/binance-spot-api-docs (accessed Oct. 19, 2026).</w:t>
      </w:r>
    </w:p>
    <w:p w14:paraId="2E989D62" w14:textId="77777777" w:rsidR="008A78AA" w:rsidRDefault="00000000">
      <w:pPr>
        <w:pStyle w:val="references"/>
      </w:pPr>
      <w:r>
        <w:t xml:space="preserve">G. Appel, </w:t>
      </w:r>
      <w:r>
        <w:rPr>
          <w:i/>
          <w:iCs/>
        </w:rPr>
        <w:t>Technical Analysis: Power Tools for Active Investors</w:t>
      </w:r>
      <w:r>
        <w:t>. Upper Saddle River, NJ, USA: Financial Times Prentice Hall, 2005.</w:t>
      </w:r>
    </w:p>
    <w:p w14:paraId="1A06B46D" w14:textId="77777777" w:rsidR="008A78AA" w:rsidRDefault="00000000">
      <w:pPr>
        <w:pStyle w:val="references"/>
      </w:pPr>
      <w:r>
        <w:t xml:space="preserve">V. Cerqueira, L. Torgo, and I. Mozetič, “Evaluating time series forecasting models: An empirical study on performance estimation methods,” </w:t>
      </w:r>
      <w:r>
        <w:rPr>
          <w:i/>
          <w:iCs/>
        </w:rPr>
        <w:t xml:space="preserve">Mach. Learn.</w:t>
      </w:r>
      <w:r>
        <w:t xml:space="preserve">, vol. 109, no. 11, pp. 1997–2028, 2020, doi: 10.1007/s10994-020-05910-7.</w:t>
      </w:r>
    </w:p>
    <w:p w14:paraId="6FBAC483" w14:textId="77777777" w:rsidR="008A78AA" w:rsidRDefault="00000000">
      <w:pPr>
        <w:pStyle w:val="references"/>
      </w:pPr>
      <w:r>
        <w:t xml:space="preserve">R. J. Hyndman and G. Athanasopoulos, </w:t>
      </w:r>
      <w:r>
        <w:rPr>
          <w:i/>
          <w:iCs/>
        </w:rPr>
        <w:t xml:space="preserve">Forecasting: Principles and Practice</w:t>
      </w:r>
      <w:r>
        <w:t xml:space="preserve">, 3rd ed. Melbourne, Australia: OTexts, 2021. [Online]. Available: https://otexts.com/fpp3/ (accessed Oct. 19, 2026).</w:t>
      </w:r>
    </w:p>
    <w:p w14:paraId="254C699E" w14:textId="77777777" w:rsidR="008A78AA" w:rsidRDefault="00000000">
      <w:pPr>
        <w:pStyle w:val="references"/>
      </w:pPr>
      <w:r>
        <w:t xml:space="preserve">S. M. Lundberg and S.-I. Lee, “A unified approach to interpreting model predictions,” in </w:t>
      </w:r>
      <w:r>
        <w:rPr>
          <w:i/>
          <w:iCs/>
        </w:rPr>
        <w:t xml:space="preserve">Proc. Adv. Neural Inf. Process. Syst. (NeurIPS)</w:t>
      </w:r>
      <w:r>
        <w:t xml:space="preserve">, Long Beach, CA, USA, 2017, vol. 30, pp. 4765–4774.</w:t>
      </w:r>
    </w:p>
    <w:p w14:paraId="7F7C959B" w14:textId="77777777" w:rsidR="008A78AA" w:rsidRDefault="00000000">
      <w:pPr>
        <w:pStyle w:val="references"/>
      </w:pPr>
      <w:r>
        <w:t xml:space="preserve">F. X. Diebold and R. S. Mariano, “Comparing Predictive Accuracy,” </w:t>
      </w:r>
      <w:r>
        <w:rPr>
          <w:i/>
          <w:iCs/>
        </w:rPr>
        <w:t>J. Bus. Econ. Stat.</w:t>
      </w:r>
      <w:r>
        <w:t xml:space="preserve">, vol. 13, no. 3, pp. 253–263, 1995, doi: 10.1080/07350015.1995.10524599.</w:t>
      </w:r>
    </w:p>
    <w:p w14:paraId="1A06B46D" w14:textId="77777777" w:rsidR="008A78AA" w:rsidRDefault="00000000">
      <w:pPr>
        <w:pStyle w:val="references"/>
      </w:pPr>
      <w:r>
        <w:t xml:space="preserve">D. Harvey, S. Leybourne, and P. Newbold, “Testing the equality of prediction mean squared errors,” </w:t>
      </w:r>
      <w:r>
        <w:rPr>
          <w:i/>
          <w:iCs/>
        </w:rPr>
        <w:t xml:space="preserve">Int. J. Forecast.</w:t>
      </w:r>
      <w:r>
        <w:t xml:space="preserve">, vol. 13, no. 2, pp. 281–291, 1997, doi: 10.1016/S0169-2070(96)00719-4.</w:t>
      </w:r>
    </w:p>
    <w:p w14:paraId="278ABB19" w14:textId="77777777" w:rsidR="008A78AA" w:rsidRDefault="00000000">
      <w:pPr>
        <w:pStyle w:val="references"/>
      </w:pPr>
      <w:r>
        <w:t xml:space="preserve">D. J. Power, “Specifying an expanded framework for classifying and describing decision support systems,” </w:t>
      </w:r>
      <w:r>
        <w:rPr>
          <w:i/>
          <w:iCs/>
        </w:rPr>
        <w:t>Commun. Assoc. Inf. Syst.</w:t>
      </w:r>
      <w:r>
        <w:t xml:space="preserve">, vol. 13, art. no. 13, pp. 158–166, 2004, doi: 10.17705/1CAIS.01313.</w:t>
      </w:r>
    </w:p>
    <w:p w14:paraId="1552E6CB"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86CA38F" w14:textId="77777777" w:rsidR="008A78AA" w:rsidRDefault="00000000">
      <w:pPr>
        <w:pStyle w:val="references"/>
      </w:pPr>
      <w:r>
        <w:t xml:space="preserve">A. Bangor, P. T. Kortum, and J. T. Miller, “Determining what individual SUS scores mean: Adding an adjective rating scale,” </w:t>
      </w:r>
      <w:r>
        <w:rPr>
          <w:i/>
          <w:iCs/>
        </w:rPr>
        <w:t xml:space="preserve">J. Usability Stud.</w:t>
      </w:r>
      <w:r>
        <w:t xml:space="preserve">, vol. 4, no. 3, pp. 114–123, 2009.</w:t>
      </w:r>
    </w:p>
    <w:p w14:paraId="698458E3" w14:textId="77777777" w:rsidR="008A78AA" w:rsidRDefault="00000000">
      <w:pPr>
        <w:pStyle w:val="references"/>
      </w:pPr>
      <w:r>
        <w:t xml:space="preserve">A. Briola, D. Vidal-Tomás, Y. Wang, and T. Aste, “Anatomy of a stablecoin’s failure: The Terra-Luna case,” </w:t>
      </w:r>
      <w:r>
        <w:rPr>
          <w:i/>
          <w:iCs/>
        </w:rPr>
        <w:t>Finance Res. Lett.</w:t>
      </w:r>
      <w:r>
        <w:t xml:space="preserve">, vol. 51, art. no. 103358, 2023, doi: 10.1016/j.frl.2022.103358.</w:t>
      </w:r>
    </w:p>
    <w:sectPr w:rsidR="00E47DF9">
      <w:type w:val="continuous"/>
      <w:pgSz w:w="11906" w:h="16838"/>
      <w:pgMar w:top="540" w:right="893" w:bottom="126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8418" w14:textId="77777777" w:rsidR="00E10215" w:rsidRDefault="00E10215">
      <w:r>
        <w:separator/>
      </w:r>
    </w:p>
  </w:endnote>
  <w:endnote w:type="continuationSeparator" w:id="0">
    <w:p w14:paraId="79367A2A" w14:textId="77777777" w:rsidR="00E10215" w:rsidRDefault="00E10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4DA8"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3095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B244B" w14:textId="77777777" w:rsidR="008A78AA" w:rsidRDefault="00000000">
    <w:pPr>
      <w:pStyle w:val="Footer"/>
      <w:jc w:val="left"/>
      <w:rPr>
        <w:sz w:val="16"/>
        <w:szCs w:val="16"/>
      </w:rPr>
    </w:pPr>
    <w:r>
      <w:rPr>
        <w:sz w:val="16"/>
        <w:szCs w:val="16"/>
      </w:rPr>
      <w:t>979-8-3315-XXXX-X/26/$31.00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9A5F3" w14:textId="77777777" w:rsidR="00E10215" w:rsidRDefault="00E10215">
      <w:r>
        <w:separator/>
      </w:r>
    </w:p>
  </w:footnote>
  <w:footnote w:type="continuationSeparator" w:id="0">
    <w:p w14:paraId="0A378642" w14:textId="77777777" w:rsidR="00E10215" w:rsidRDefault="00E102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20382"/>
    <w:rsid w:val="00031504"/>
    <w:rsid w:val="000845E4"/>
    <w:rsid w:val="000933DA"/>
    <w:rsid w:val="00096936"/>
    <w:rsid w:val="000E08FB"/>
    <w:rsid w:val="00120A85"/>
    <w:rsid w:val="00184744"/>
    <w:rsid w:val="001A1001"/>
    <w:rsid w:val="001F2CB9"/>
    <w:rsid w:val="00240140"/>
    <w:rsid w:val="00240F2E"/>
    <w:rsid w:val="00242BB1"/>
    <w:rsid w:val="00291B0D"/>
    <w:rsid w:val="002C1A66"/>
    <w:rsid w:val="002D375C"/>
    <w:rsid w:val="003001B3"/>
    <w:rsid w:val="0030562D"/>
    <w:rsid w:val="00350BD6"/>
    <w:rsid w:val="00354174"/>
    <w:rsid w:val="003852FC"/>
    <w:rsid w:val="004431AB"/>
    <w:rsid w:val="004E5AD0"/>
    <w:rsid w:val="005002B2"/>
    <w:rsid w:val="005041A4"/>
    <w:rsid w:val="00540BF5"/>
    <w:rsid w:val="005932C6"/>
    <w:rsid w:val="005D349C"/>
    <w:rsid w:val="005D73DE"/>
    <w:rsid w:val="00607496"/>
    <w:rsid w:val="00637B99"/>
    <w:rsid w:val="00662A52"/>
    <w:rsid w:val="006F6F2D"/>
    <w:rsid w:val="007019DC"/>
    <w:rsid w:val="00705BF3"/>
    <w:rsid w:val="00712C53"/>
    <w:rsid w:val="00782552"/>
    <w:rsid w:val="007F0DB4"/>
    <w:rsid w:val="008845A8"/>
    <w:rsid w:val="008A78AA"/>
    <w:rsid w:val="008B0389"/>
    <w:rsid w:val="008D1A07"/>
    <w:rsid w:val="008E6472"/>
    <w:rsid w:val="009024D9"/>
    <w:rsid w:val="009D4858"/>
    <w:rsid w:val="009D4DCF"/>
    <w:rsid w:val="009E69FB"/>
    <w:rsid w:val="00A018D2"/>
    <w:rsid w:val="00A80842"/>
    <w:rsid w:val="00A85596"/>
    <w:rsid w:val="00A95FEA"/>
    <w:rsid w:val="00A96BAB"/>
    <w:rsid w:val="00AB33E4"/>
    <w:rsid w:val="00AE7BC5"/>
    <w:rsid w:val="00B357D1"/>
    <w:rsid w:val="00B5341F"/>
    <w:rsid w:val="00B730E1"/>
    <w:rsid w:val="00B81C38"/>
    <w:rsid w:val="00B94428"/>
    <w:rsid w:val="00B97CCD"/>
    <w:rsid w:val="00C017D7"/>
    <w:rsid w:val="00C11AEA"/>
    <w:rsid w:val="00C14B67"/>
    <w:rsid w:val="00C4090F"/>
    <w:rsid w:val="00CF5423"/>
    <w:rsid w:val="00D13455"/>
    <w:rsid w:val="00D16FC1"/>
    <w:rsid w:val="00D32711"/>
    <w:rsid w:val="00D3324D"/>
    <w:rsid w:val="00D412E2"/>
    <w:rsid w:val="00D517AD"/>
    <w:rsid w:val="00D761BA"/>
    <w:rsid w:val="00D90C4A"/>
    <w:rsid w:val="00DC11F3"/>
    <w:rsid w:val="00DC5022"/>
    <w:rsid w:val="00DD4E31"/>
    <w:rsid w:val="00DE7474"/>
    <w:rsid w:val="00E10215"/>
    <w:rsid w:val="00E420D4"/>
    <w:rsid w:val="00E47DF9"/>
    <w:rsid w:val="00E87D1E"/>
    <w:rsid w:val="00E921AA"/>
    <w:rsid w:val="00EC0033"/>
    <w:rsid w:val="00EC4B70"/>
    <w:rsid w:val="00ED40B9"/>
    <w:rsid w:val="00F14571"/>
    <w:rsid w:val="00F51907"/>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1FEF"/>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00" w:after="4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60" w:line="216"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100" w:after="100" w:line="216" w:lineRule="auto"/>
    </w:pPr>
  </w:style>
  <w:style w:type="paragraph" w:customStyle="1" w:styleId="figurecaption">
    <w:name w:val="figure caption"/>
    <w:qFormat/>
    <w:rsid w:val="005B0344"/>
    <w:pPr>
      <w:numPr>
        <w:numId w:val="3"/>
      </w:numPr>
      <w:tabs>
        <w:tab w:val="left" w:pos="533"/>
      </w:tabs>
      <w:spacing w:before="60" w:after="12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0" w:line="17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keepNext/>
      <w:numPr>
        <w:numId w:val="6"/>
      </w:numPr>
      <w:spacing w:before="120" w:after="8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6</Pages>
  <Words>5973</Words>
  <Characters>34047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Deep Learning Architecture for Cryptocurrency Price Forecasting Utilizing Business Intelligence</dc:title>
  <dc:subject/>
  <dc:creator>Asep Surahman Sulaeman; Deden Witarsyah; Aswan Supriyadi Sunge</dc:creator>
  <dc:description/>
  <cp:lastModifiedBy>Alter Natef</cp:lastModifiedBy>
  <cp:revision>50</cp:revision>
  <dcterms:created xsi:type="dcterms:W3CDTF">2026-09-16T12:47:00Z</dcterms:created>
  <dcterms:modified xsi:type="dcterms:W3CDTF">2026-10-14T07:46:00Z</dcterms:modified>
  <dc:language>en-US</dc:language>
</cp:coreProperties>
</file>