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060526CE" w:rsidR="00904D6D" w:rsidRPr="00FC1023" w:rsidRDefault="00C24DA3" w:rsidP="00956EB6">
      <w:pPr>
        <w:pStyle w:val="Title"/>
        <w:rPr>
          <w:sz w:val="32"/>
          <w:szCs w:val="32"/>
          <w:lang w:val="en-US"/>
        </w:rPr>
      </w:pPr>
      <w:r>
        <w:rPr>
          <w:sz w:val="32"/>
        </w:rPr>
        <w:t>Deep Learning Framework for Cryptocurrency Price Prediction Using Business Intelligence</w:t>
      </w:r>
    </w:p>
    <w:p w14:paraId="2A832E5F" w14:textId="04FE9E51" w:rsidR="00904D6D" w:rsidRPr="00FC1023" w:rsidRDefault="00904D6D" w:rsidP="00904D6D">
      <w:pPr>
        <w:jc w:val="center"/>
        <w:rPr>
          <w:b/>
          <w:bCs/>
        </w:rPr>
      </w:pPr>
    </w:p>
    <w:p w14:paraId="370C47FE" w14:textId="77777777" w:rsidR="005E51F9" w:rsidRPr="00FC1023" w:rsidRDefault="005E51F9" w:rsidP="00904D6D">
      <w:pPr>
        <w:jc w:val="center"/>
        <w:rPr>
          <w:b/>
          <w:bCs/>
        </w:rPr>
      </w:pPr>
    </w:p>
    <w:p w14:paraId="5FC98602" w14:textId="5962E6A5" w:rsidR="00C65E31" w:rsidRPr="00FC1023" w:rsidRDefault="000D3410" w:rsidP="00C65E31">
      <w:pPr>
        <w:jc w:val="center"/>
        <w:rPr>
          <w:b/>
          <w:bCs/>
        </w:rPr>
      </w:pPr>
      <w:proofErr w:type="spellStart"/>
      <w:r>
        <w:rPr>
          <w:b/>
          <w:bCs/>
        </w:rPr>
        <w:t>Asep</w:t>
      </w:r>
      <w:proofErr w:type="spellEnd"/>
      <w:r>
        <w:rPr>
          <w:b/>
          <w:bCs/>
        </w:rPr>
        <w:t xml:space="preserve"> </w:t>
      </w:r>
      <w:proofErr w:type="spellStart"/>
      <w:r>
        <w:rPr>
          <w:b/>
          <w:bCs/>
        </w:rPr>
        <w:t>Surahman</w:t>
      </w:r>
      <w:proofErr w:type="spellEnd"/>
      <w:r>
        <w:rPr>
          <w:b/>
          <w:bCs/>
        </w:rPr>
        <w:t xml:space="preserve"> Sulaeman</w:t>
      </w:r>
      <w:r w:rsidR="00C14623" w:rsidRPr="00FC1023">
        <w:rPr>
          <w:b/>
          <w:bCs/>
          <w:vertAlign w:val="superscript"/>
        </w:rPr>
        <w:t>1</w:t>
      </w:r>
      <w:r w:rsidR="00FD6DB9" w:rsidRPr="00FC1023">
        <w:rPr>
          <w:b/>
          <w:bCs/>
        </w:rPr>
        <w:t xml:space="preserve">, </w:t>
      </w:r>
      <w:r>
        <w:rPr>
          <w:b/>
          <w:bCs/>
        </w:rPr>
        <w:t>Deden Witarsyah</w:t>
      </w:r>
      <w:r>
        <w:rPr>
          <w:b/>
          <w:bCs/>
          <w:vertAlign w:val="superscript"/>
        </w:rPr>
        <w:t>2</w:t>
      </w:r>
      <w:r w:rsidR="00FD6DB9" w:rsidRPr="00FC1023">
        <w:rPr>
          <w:b/>
          <w:bCs/>
        </w:rPr>
        <w:t xml:space="preserve">, </w:t>
      </w:r>
      <w:r>
        <w:rPr>
          <w:b/>
          <w:bCs/>
        </w:rPr>
        <w:t>Aswan Supriyadi Sunge</w:t>
      </w:r>
      <w:r>
        <w:rPr>
          <w:b/>
          <w:bCs/>
          <w:vertAlign w:val="superscript"/>
        </w:rPr>
        <w:t>3</w:t>
      </w:r>
    </w:p>
    <w:p w14:paraId="66010086" w14:textId="16167761" w:rsidR="00FD6DB9" w:rsidRPr="00FC1023" w:rsidRDefault="00C14623" w:rsidP="00FD6DB9">
      <w:pPr>
        <w:jc w:val="center"/>
        <w:rPr>
          <w:sz w:val="16"/>
          <w:szCs w:val="16"/>
        </w:rPr>
      </w:pPr>
      <w:r w:rsidRPr="00FC1023">
        <w:rPr>
          <w:sz w:val="16"/>
          <w:szCs w:val="16"/>
          <w:vertAlign w:val="superscript"/>
        </w:rPr>
        <w:t>1</w:t>
      </w:r>
      <w:r w:rsidR="00842222">
        <w:rPr>
          <w:sz w:val="16"/>
          <w:szCs w:val="16"/>
        </w:rPr>
        <w:t xml:space="preserve">Master </w:t>
      </w:r>
      <w:r w:rsidR="00BB14FA">
        <w:rPr>
          <w:sz w:val="16"/>
          <w:szCs w:val="16"/>
        </w:rPr>
        <w:t xml:space="preserve">of </w:t>
      </w:r>
      <w:r w:rsidR="00842222">
        <w:rPr>
          <w:sz w:val="16"/>
          <w:szCs w:val="16"/>
        </w:rPr>
        <w:t>Informatics</w:t>
      </w:r>
      <w:r w:rsidR="00FD6DB9" w:rsidRPr="00FC1023">
        <w:rPr>
          <w:sz w:val="16"/>
          <w:szCs w:val="16"/>
        </w:rPr>
        <w:t xml:space="preserve">, Faculty of </w:t>
      </w:r>
      <w:r w:rsidR="00842222">
        <w:rPr>
          <w:sz w:val="16"/>
          <w:szCs w:val="16"/>
        </w:rPr>
        <w:t>Engineering, Computer, and Design</w:t>
      </w:r>
      <w:r w:rsidR="00FD6DB9" w:rsidRPr="00FC1023">
        <w:rPr>
          <w:sz w:val="16"/>
          <w:szCs w:val="16"/>
        </w:rPr>
        <w:t xml:space="preserve">, </w:t>
      </w:r>
      <w:r w:rsidR="0025705D">
        <w:rPr>
          <w:sz w:val="16"/>
          <w:szCs w:val="16"/>
        </w:rPr>
        <w:t>Nusa Putra</w:t>
      </w:r>
      <w:r w:rsidR="00FD6DB9" w:rsidRPr="00FC1023">
        <w:rPr>
          <w:sz w:val="16"/>
          <w:szCs w:val="16"/>
        </w:rPr>
        <w:t xml:space="preserve"> University, </w:t>
      </w:r>
      <w:proofErr w:type="spellStart"/>
      <w:r w:rsidR="0025705D">
        <w:rPr>
          <w:sz w:val="16"/>
          <w:szCs w:val="16"/>
        </w:rPr>
        <w:t>Sukabumi</w:t>
      </w:r>
      <w:proofErr w:type="spellEnd"/>
      <w:r w:rsidR="00FD6DB9" w:rsidRPr="00FC1023">
        <w:rPr>
          <w:sz w:val="16"/>
          <w:szCs w:val="16"/>
        </w:rPr>
        <w:t xml:space="preserve">, </w:t>
      </w:r>
      <w:r w:rsidR="0025705D">
        <w:rPr>
          <w:sz w:val="16"/>
          <w:szCs w:val="16"/>
        </w:rPr>
        <w:t>Indonesia</w:t>
      </w:r>
    </w:p>
    <w:p w14:paraId="5561F730" w14:textId="11205558" w:rsidR="00FD6DB9" w:rsidRPr="00FC1023" w:rsidRDefault="00C14623" w:rsidP="00FD6DB9">
      <w:pPr>
        <w:jc w:val="center"/>
        <w:rPr>
          <w:sz w:val="16"/>
          <w:szCs w:val="16"/>
        </w:rPr>
      </w:pPr>
      <w:r w:rsidRPr="00FC1023">
        <w:rPr>
          <w:sz w:val="16"/>
          <w:szCs w:val="16"/>
          <w:vertAlign w:val="superscript"/>
        </w:rPr>
        <w:t>2</w:t>
      </w:r>
      <w:r w:rsidR="005641A0">
        <w:rPr>
          <w:sz w:val="16"/>
          <w:szCs w:val="16"/>
        </w:rPr>
        <w:t>Master of Informatics</w:t>
      </w:r>
      <w:r w:rsidR="005641A0" w:rsidRPr="00FC1023">
        <w:rPr>
          <w:sz w:val="16"/>
          <w:szCs w:val="16"/>
        </w:rPr>
        <w:t xml:space="preserve">, Faculty of </w:t>
      </w:r>
      <w:r w:rsidR="005641A0">
        <w:rPr>
          <w:sz w:val="16"/>
          <w:szCs w:val="16"/>
        </w:rPr>
        <w:t>Engineering, Computer, and Design</w:t>
      </w:r>
      <w:r w:rsidR="005641A0" w:rsidRPr="00FC1023">
        <w:rPr>
          <w:sz w:val="16"/>
          <w:szCs w:val="16"/>
        </w:rPr>
        <w:t xml:space="preserve">, </w:t>
      </w:r>
      <w:r w:rsidR="005641A0">
        <w:rPr>
          <w:sz w:val="16"/>
          <w:szCs w:val="16"/>
        </w:rPr>
        <w:t>Nusa Putra</w:t>
      </w:r>
      <w:r w:rsidR="005641A0" w:rsidRPr="00FC1023">
        <w:rPr>
          <w:sz w:val="16"/>
          <w:szCs w:val="16"/>
        </w:rPr>
        <w:t xml:space="preserve"> University, </w:t>
      </w:r>
      <w:proofErr w:type="spellStart"/>
      <w:r w:rsidR="005641A0">
        <w:rPr>
          <w:sz w:val="16"/>
          <w:szCs w:val="16"/>
        </w:rPr>
        <w:t>Sukabumi</w:t>
      </w:r>
      <w:proofErr w:type="spellEnd"/>
      <w:r w:rsidR="005641A0" w:rsidRPr="00FC1023">
        <w:rPr>
          <w:sz w:val="16"/>
          <w:szCs w:val="16"/>
        </w:rPr>
        <w:t xml:space="preserve">, </w:t>
      </w:r>
      <w:r w:rsidR="005641A0">
        <w:rPr>
          <w:sz w:val="16"/>
          <w:szCs w:val="16"/>
        </w:rPr>
        <w:t>Indonesia</w:t>
      </w:r>
    </w:p>
    <w:p w14:paraId="03852EE3" w14:textId="1D3D4E9B" w:rsidR="00C14623" w:rsidRPr="00FC1023" w:rsidRDefault="00C14623" w:rsidP="00FD6DB9">
      <w:pPr>
        <w:jc w:val="center"/>
        <w:rPr>
          <w:sz w:val="16"/>
          <w:szCs w:val="16"/>
        </w:rPr>
      </w:pPr>
      <w:r w:rsidRPr="00D91E83">
        <w:rPr>
          <w:sz w:val="16"/>
          <w:szCs w:val="16"/>
          <w:vertAlign w:val="superscript"/>
        </w:rPr>
        <w:t>3</w:t>
      </w:r>
      <w:r w:rsidR="00436689" w:rsidRPr="00D91E83">
        <w:rPr>
          <w:sz w:val="16"/>
          <w:szCs w:val="16"/>
        </w:rPr>
        <w:t xml:space="preserve">Informatics Engineering Department, Faculty of Engineering, Pelita </w:t>
      </w:r>
      <w:proofErr w:type="spellStart"/>
      <w:r w:rsidR="00436689" w:rsidRPr="00D91E83">
        <w:rPr>
          <w:sz w:val="16"/>
          <w:szCs w:val="16"/>
        </w:rPr>
        <w:t>Bangsa</w:t>
      </w:r>
      <w:proofErr w:type="spellEnd"/>
      <w:r w:rsidR="00436689" w:rsidRPr="00D91E83">
        <w:rPr>
          <w:sz w:val="16"/>
          <w:szCs w:val="16"/>
        </w:rPr>
        <w:t xml:space="preserve"> University, Bekasi, Indonesia</w:t>
      </w:r>
    </w:p>
    <w:p w14:paraId="557DF927" w14:textId="4D489A7A" w:rsidR="00904D6D" w:rsidRPr="00FC1023" w:rsidRDefault="00904D6D" w:rsidP="0088233C">
      <w:pPr>
        <w:jc w:val="center"/>
      </w:pPr>
    </w:p>
    <w:p w14:paraId="5CCC3BE9" w14:textId="440424D7" w:rsidR="00C07BEF" w:rsidRPr="00FC1023" w:rsidRDefault="00C07BEF"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6B027E" w:rsidRPr="00FC1023"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FC1023" w:rsidRDefault="00957C11" w:rsidP="00957C11">
            <w:pPr>
              <w:spacing w:before="120"/>
              <w:jc w:val="both"/>
              <w:rPr>
                <w:b/>
              </w:rPr>
            </w:pPr>
            <w:r w:rsidRPr="00FC1023">
              <w:rPr>
                <w:b/>
              </w:rPr>
              <w:t>Article Info</w:t>
            </w:r>
          </w:p>
        </w:tc>
        <w:tc>
          <w:tcPr>
            <w:tcW w:w="283" w:type="dxa"/>
            <w:tcBorders>
              <w:top w:val="double" w:sz="4" w:space="0" w:color="auto"/>
              <w:left w:val="nil"/>
              <w:bottom w:val="nil"/>
              <w:right w:val="nil"/>
            </w:tcBorders>
          </w:tcPr>
          <w:p w14:paraId="3E270EF1" w14:textId="77777777" w:rsidR="00957C11" w:rsidRPr="00FC1023"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FC1023" w:rsidRDefault="00957C11" w:rsidP="00957C11">
            <w:pPr>
              <w:spacing w:before="120"/>
              <w:rPr>
                <w:color w:val="000000"/>
                <w:sz w:val="24"/>
                <w:szCs w:val="24"/>
              </w:rPr>
            </w:pPr>
            <w:r w:rsidRPr="00FC1023">
              <w:rPr>
                <w:b/>
                <w:bCs/>
                <w:iCs/>
                <w:color w:val="000000"/>
              </w:rPr>
              <w:t xml:space="preserve">ABSTRACT </w:t>
            </w:r>
            <w:r w:rsidRPr="00FC1023">
              <w:rPr>
                <w:sz w:val="18"/>
                <w:szCs w:val="18"/>
              </w:rPr>
              <w:t>(10 PT)</w:t>
            </w:r>
          </w:p>
        </w:tc>
      </w:tr>
      <w:tr w:rsidR="00941203" w:rsidRPr="00FC102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FC1023" w:rsidRDefault="00941203" w:rsidP="00941203">
            <w:pPr>
              <w:spacing w:before="120" w:after="120"/>
              <w:jc w:val="both"/>
              <w:rPr>
                <w:b/>
                <w:i/>
              </w:rPr>
            </w:pPr>
            <w:r w:rsidRPr="00FC1023">
              <w:rPr>
                <w:b/>
                <w:i/>
              </w:rPr>
              <w:t>Article history:</w:t>
            </w:r>
          </w:p>
          <w:p w14:paraId="1B21A247" w14:textId="34C15F98" w:rsidR="00941203" w:rsidRPr="00FC1023" w:rsidRDefault="00941203" w:rsidP="00957C11">
            <w:pPr>
              <w:jc w:val="both"/>
            </w:pPr>
            <w:r w:rsidRPr="00FC1023">
              <w:t xml:space="preserve">Received </w:t>
            </w:r>
            <w:r w:rsidR="00523156" w:rsidRPr="00FC1023">
              <w:t>m</w:t>
            </w:r>
            <w:r w:rsidR="006E1F55" w:rsidRPr="00FC1023">
              <w:t>onth</w:t>
            </w:r>
            <w:r w:rsidR="00523156" w:rsidRPr="00FC1023">
              <w:t xml:space="preserve"> dd, </w:t>
            </w:r>
            <w:proofErr w:type="spellStart"/>
            <w:r w:rsidR="00523156" w:rsidRPr="00FC1023">
              <w:t>yyyy</w:t>
            </w:r>
            <w:proofErr w:type="spellEnd"/>
          </w:p>
          <w:p w14:paraId="745B47E5" w14:textId="5923129C" w:rsidR="00941203" w:rsidRPr="00FC1023" w:rsidRDefault="00941203" w:rsidP="00957C11">
            <w:pPr>
              <w:jc w:val="both"/>
            </w:pPr>
            <w:r w:rsidRPr="00FC1023">
              <w:t xml:space="preserve">Revised </w:t>
            </w:r>
            <w:r w:rsidR="006E1F55" w:rsidRPr="00FC1023">
              <w:t>month</w:t>
            </w:r>
            <w:r w:rsidR="00523156" w:rsidRPr="00FC1023">
              <w:t xml:space="preserve"> dd, </w:t>
            </w:r>
            <w:proofErr w:type="spellStart"/>
            <w:r w:rsidR="00523156" w:rsidRPr="00FC1023">
              <w:t>yyyy</w:t>
            </w:r>
            <w:proofErr w:type="spellEnd"/>
          </w:p>
          <w:p w14:paraId="6CE20EAE" w14:textId="2A701C75" w:rsidR="00941203" w:rsidRPr="00FC1023" w:rsidRDefault="00941203" w:rsidP="00957C11">
            <w:pPr>
              <w:jc w:val="both"/>
            </w:pPr>
            <w:r w:rsidRPr="00FC1023">
              <w:t xml:space="preserve">Accepted </w:t>
            </w:r>
            <w:r w:rsidR="006E1F55" w:rsidRPr="00FC1023">
              <w:t>month</w:t>
            </w:r>
            <w:r w:rsidR="00523156" w:rsidRPr="00FC1023">
              <w:t xml:space="preserve"> dd, </w:t>
            </w:r>
            <w:proofErr w:type="spellStart"/>
            <w:r w:rsidR="00523156" w:rsidRPr="00FC1023">
              <w:t>yyyy</w:t>
            </w:r>
            <w:proofErr w:type="spellEnd"/>
          </w:p>
          <w:p w14:paraId="375A1808" w14:textId="77777777" w:rsidR="00941203" w:rsidRPr="00FC1023" w:rsidRDefault="00941203" w:rsidP="00941203">
            <w:pPr>
              <w:jc w:val="both"/>
            </w:pPr>
          </w:p>
        </w:tc>
        <w:tc>
          <w:tcPr>
            <w:tcW w:w="283" w:type="dxa"/>
            <w:vMerge w:val="restart"/>
            <w:tcBorders>
              <w:top w:val="nil"/>
              <w:left w:val="nil"/>
              <w:bottom w:val="nil"/>
              <w:right w:val="nil"/>
            </w:tcBorders>
          </w:tcPr>
          <w:p w14:paraId="1658B743" w14:textId="77777777" w:rsidR="00941203" w:rsidRPr="00FC102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26F58641" w:rsidR="00941203" w:rsidRPr="00FC1023" w:rsidRDefault="00C24DA3" w:rsidP="00957C11">
            <w:pPr>
              <w:spacing w:before="120"/>
              <w:jc w:val="both"/>
            </w:pPr>
            <w:r>
              <w:t>Cryptocurrency markets exhibit inherent volatility that complicates predictive modeling, demanding methods that bridge deep learning with enterprise decision support systems. This study proposes an automated, four-layer Business Intelligence pipeline embedding recurrent and transformer inferences into an enterprise decision support system to dynamically compute risk-adjusted metrics, including Sharpe Ratio and Value-at-Risk. Analyzing 43,786 hourly Bitcoin/USDT records spanning 2021–2026, we evaluated XGBoost, Long Short-Term Memory, Gated Recurrent Unit, and the Informer Transformer. Walk-Forward Validation established the Gated Recurrent Unit as the most accurate model with a Root Mean Square Error of 0.1058 (p &lt; 0.001). However, the Business Intelligence integration revealed a critical trade-off: despite higher error, the Long Short-Term Memory network achieved superior Directional Accuracy of 72.3% and a Sharpe Ratio of 1.45, indicating that numerical error minimization does not inherently guarantee trading profitability. The prototype Microsoft Power BI dashboard demonstrated operational feasibility with an Excellent System Usability Scale score of 86.4, confirming that high-frequency neural forecasts can successfully drive real-world institutional risk management tools.</w:t>
            </w:r>
          </w:p>
        </w:tc>
      </w:tr>
      <w:tr w:rsidR="00941203" w:rsidRPr="00FC102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FC1023" w:rsidRDefault="00941203" w:rsidP="00941203">
            <w:pPr>
              <w:spacing w:before="120" w:after="120"/>
              <w:jc w:val="both"/>
              <w:rPr>
                <w:b/>
                <w:i/>
              </w:rPr>
            </w:pPr>
            <w:r w:rsidRPr="00FC1023">
              <w:rPr>
                <w:b/>
                <w:i/>
              </w:rPr>
              <w:t>Keyword</w:t>
            </w:r>
            <w:r w:rsidR="005160A8" w:rsidRPr="00FC1023">
              <w:rPr>
                <w:b/>
                <w:i/>
              </w:rPr>
              <w:t>s</w:t>
            </w:r>
            <w:r w:rsidRPr="00FC1023">
              <w:rPr>
                <w:b/>
                <w:i/>
              </w:rPr>
              <w:t>:</w:t>
            </w:r>
          </w:p>
          <w:p w14:paraId="4C3E5936" w14:textId="1EA8970B" w:rsidR="00941203" w:rsidRPr="00FC1023" w:rsidRDefault="009636EE" w:rsidP="00941203">
            <w:pPr>
              <w:jc w:val="both"/>
            </w:pPr>
            <w:r w:rsidRPr="009636EE">
              <w:t>Business Intelligence</w:t>
            </w:r>
          </w:p>
          <w:p w14:paraId="0EF152BF" w14:textId="2B5D5F53" w:rsidR="00941203" w:rsidRPr="00FC1023" w:rsidRDefault="009636EE" w:rsidP="00941203">
            <w:pPr>
              <w:jc w:val="both"/>
            </w:pPr>
            <w:r w:rsidRPr="009636EE">
              <w:t>Informer Transformer</w:t>
            </w:r>
          </w:p>
          <w:p w14:paraId="5B0032F7" w14:textId="757397BF" w:rsidR="00941203" w:rsidRPr="00FC1023" w:rsidRDefault="009636EE" w:rsidP="00941203">
            <w:pPr>
              <w:jc w:val="both"/>
            </w:pPr>
            <w:proofErr w:type="spellStart"/>
            <w:r w:rsidRPr="009636EE">
              <w:t>XGBoost</w:t>
            </w:r>
            <w:proofErr w:type="spellEnd"/>
          </w:p>
          <w:p w14:paraId="31B015CF" w14:textId="2E281B56" w:rsidR="00941203" w:rsidRDefault="009636EE" w:rsidP="00941203">
            <w:pPr>
              <w:jc w:val="both"/>
            </w:pPr>
            <w:r>
              <w:t>LSTM</w:t>
            </w:r>
          </w:p>
          <w:p w14:paraId="433D1ACD" w14:textId="490F5371" w:rsidR="009636EE" w:rsidRPr="00FC1023" w:rsidRDefault="009636EE" w:rsidP="00941203">
            <w:pPr>
              <w:jc w:val="both"/>
            </w:pPr>
            <w:r>
              <w:t>GRU</w:t>
            </w:r>
          </w:p>
          <w:p w14:paraId="4B416523" w14:textId="6FA41CD5" w:rsidR="00941203" w:rsidRPr="00FC1023" w:rsidRDefault="009636EE" w:rsidP="00941203">
            <w:pPr>
              <w:jc w:val="both"/>
              <w:rPr>
                <w:b/>
                <w:i/>
              </w:rPr>
            </w:pPr>
            <w:r w:rsidRPr="009636EE">
              <w:t>Financial Informatics</w:t>
            </w:r>
          </w:p>
        </w:tc>
        <w:tc>
          <w:tcPr>
            <w:tcW w:w="283" w:type="dxa"/>
            <w:vMerge/>
            <w:tcBorders>
              <w:top w:val="nil"/>
              <w:left w:val="nil"/>
              <w:bottom w:val="nil"/>
              <w:right w:val="nil"/>
            </w:tcBorders>
          </w:tcPr>
          <w:p w14:paraId="26D1DFBC" w14:textId="77777777" w:rsidR="00941203" w:rsidRPr="00FC1023" w:rsidRDefault="00941203" w:rsidP="00957C11">
            <w:pPr>
              <w:spacing w:before="120"/>
              <w:jc w:val="both"/>
            </w:pPr>
          </w:p>
        </w:tc>
        <w:tc>
          <w:tcPr>
            <w:tcW w:w="5812" w:type="dxa"/>
            <w:vMerge/>
            <w:tcBorders>
              <w:top w:val="nil"/>
              <w:left w:val="nil"/>
              <w:bottom w:val="nil"/>
              <w:right w:val="nil"/>
            </w:tcBorders>
          </w:tcPr>
          <w:p w14:paraId="5C80F7FA" w14:textId="77777777" w:rsidR="00941203" w:rsidRPr="00FC1023" w:rsidRDefault="00941203" w:rsidP="00957C11">
            <w:pPr>
              <w:spacing w:before="120"/>
              <w:jc w:val="both"/>
              <w:rPr>
                <w:iCs/>
                <w:color w:val="000000"/>
                <w:sz w:val="18"/>
                <w:szCs w:val="18"/>
              </w:rPr>
            </w:pPr>
          </w:p>
        </w:tc>
      </w:tr>
      <w:tr w:rsidR="00941203" w:rsidRPr="00FC102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FC1023"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FC102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FC1023" w:rsidRDefault="001414E2" w:rsidP="001414E2">
            <w:pPr>
              <w:spacing w:before="120" w:after="120"/>
              <w:jc w:val="right"/>
              <w:rPr>
                <w:i/>
                <w:iCs/>
                <w:color w:val="000000"/>
                <w:sz w:val="18"/>
                <w:szCs w:val="18"/>
              </w:rPr>
            </w:pPr>
            <w:r w:rsidRPr="00FC1023">
              <w:rPr>
                <w:i/>
                <w:iCs/>
                <w:color w:val="000000"/>
                <w:sz w:val="18"/>
                <w:szCs w:val="18"/>
              </w:rPr>
              <w:t xml:space="preserve">This is an open access article under the </w:t>
            </w:r>
            <w:hyperlink r:id="rId8" w:history="1">
              <w:r w:rsidRPr="00FC1023">
                <w:rPr>
                  <w:rStyle w:val="Hyperlink"/>
                  <w:i/>
                  <w:iCs/>
                  <w:sz w:val="18"/>
                  <w:szCs w:val="18"/>
                </w:rPr>
                <w:t>CC BY-SA</w:t>
              </w:r>
            </w:hyperlink>
            <w:r w:rsidRPr="00FC1023">
              <w:rPr>
                <w:i/>
                <w:iCs/>
                <w:color w:val="000000"/>
                <w:sz w:val="18"/>
                <w:szCs w:val="18"/>
              </w:rPr>
              <w:t xml:space="preserve"> license.</w:t>
            </w:r>
          </w:p>
          <w:p w14:paraId="18D744D6" w14:textId="77777777" w:rsidR="00941203" w:rsidRPr="00FC1023" w:rsidRDefault="001414E2" w:rsidP="001414E2">
            <w:pPr>
              <w:spacing w:before="120" w:after="120"/>
              <w:jc w:val="right"/>
              <w:rPr>
                <w:i/>
                <w:iCs/>
                <w:color w:val="000000"/>
                <w:sz w:val="18"/>
                <w:szCs w:val="18"/>
              </w:rPr>
            </w:pPr>
            <w:r w:rsidRPr="00FC1023">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FC1023"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FC1023" w:rsidRDefault="007F286F" w:rsidP="00941203">
            <w:pPr>
              <w:spacing w:before="120" w:after="120"/>
              <w:rPr>
                <w:b/>
                <w:i/>
              </w:rPr>
            </w:pPr>
            <w:r w:rsidRPr="00FC1023">
              <w:rPr>
                <w:b/>
                <w:i/>
              </w:rPr>
              <w:t>Corresponding Author:</w:t>
            </w:r>
          </w:p>
          <w:p w14:paraId="48E9BD5D" w14:textId="1E64B076" w:rsidR="00C65E31" w:rsidRPr="00FC1023" w:rsidRDefault="00EC00B4" w:rsidP="00C65E31">
            <w:pPr>
              <w:shd w:val="clear" w:color="auto" w:fill="FFFFFF" w:themeFill="background1"/>
              <w:jc w:val="both"/>
              <w:rPr>
                <w:color w:val="000000" w:themeColor="text1"/>
              </w:rPr>
            </w:pPr>
            <w:proofErr w:type="spellStart"/>
            <w:r>
              <w:rPr>
                <w:color w:val="000000" w:themeColor="text1"/>
              </w:rPr>
              <w:t>Asep</w:t>
            </w:r>
            <w:proofErr w:type="spellEnd"/>
            <w:r>
              <w:rPr>
                <w:color w:val="000000" w:themeColor="text1"/>
              </w:rPr>
              <w:t xml:space="preserve"> </w:t>
            </w:r>
            <w:proofErr w:type="spellStart"/>
            <w:r>
              <w:rPr>
                <w:color w:val="000000" w:themeColor="text1"/>
              </w:rPr>
              <w:t>Surahman</w:t>
            </w:r>
            <w:proofErr w:type="spellEnd"/>
            <w:r>
              <w:rPr>
                <w:color w:val="000000" w:themeColor="text1"/>
              </w:rPr>
              <w:t xml:space="preserve"> </w:t>
            </w:r>
            <w:proofErr w:type="spellStart"/>
            <w:r>
              <w:rPr>
                <w:color w:val="000000" w:themeColor="text1"/>
              </w:rPr>
              <w:t>Sulaeman</w:t>
            </w:r>
            <w:proofErr w:type="spellEnd"/>
          </w:p>
          <w:p w14:paraId="44A83AE9" w14:textId="77777777" w:rsidR="00EC00B4" w:rsidRDefault="00EC00B4" w:rsidP="00EC00B4">
            <w:pPr>
              <w:shd w:val="clear" w:color="auto" w:fill="FFFFFF" w:themeFill="background1"/>
              <w:jc w:val="both"/>
              <w:rPr>
                <w:color w:val="000000" w:themeColor="text1"/>
              </w:rPr>
            </w:pPr>
            <w:r w:rsidRPr="00EC00B4">
              <w:rPr>
                <w:color w:val="000000" w:themeColor="text1"/>
              </w:rPr>
              <w:t xml:space="preserve">Master of Informatics, Faculty of Engineering, Computer, and Design, Nusa Putra University, </w:t>
            </w:r>
            <w:proofErr w:type="spellStart"/>
            <w:r w:rsidRPr="00EC00B4">
              <w:rPr>
                <w:color w:val="000000" w:themeColor="text1"/>
              </w:rPr>
              <w:t>Sukabumi</w:t>
            </w:r>
            <w:proofErr w:type="spellEnd"/>
            <w:r w:rsidRPr="00EC00B4">
              <w:rPr>
                <w:color w:val="000000" w:themeColor="text1"/>
              </w:rPr>
              <w:t>, Indonesia</w:t>
            </w:r>
          </w:p>
          <w:p w14:paraId="3C411EDF" w14:textId="77D2BBC5" w:rsidR="00941203" w:rsidRPr="00FC1023" w:rsidRDefault="00C65E31" w:rsidP="00EC00B4">
            <w:pPr>
              <w:shd w:val="clear" w:color="auto" w:fill="FFFFFF" w:themeFill="background1"/>
              <w:jc w:val="both"/>
              <w:rPr>
                <w:color w:val="000000"/>
                <w:sz w:val="18"/>
                <w:szCs w:val="18"/>
              </w:rPr>
            </w:pPr>
            <w:r w:rsidRPr="00FC1023">
              <w:t xml:space="preserve">Email: </w:t>
            </w:r>
            <w:r w:rsidR="00EC00B4">
              <w:t>asep.surahman@nusaputra.ac.id</w:t>
            </w:r>
          </w:p>
        </w:tc>
      </w:tr>
    </w:tbl>
    <w:p w14:paraId="19EB2672" w14:textId="6182C3C4" w:rsidR="00957C11" w:rsidRPr="00FC1023" w:rsidRDefault="00957C11" w:rsidP="00957C11">
      <w:pPr>
        <w:jc w:val="both"/>
      </w:pPr>
    </w:p>
    <w:p w14:paraId="6D2E917E" w14:textId="77777777" w:rsidR="00C07BEF" w:rsidRPr="00FC1023" w:rsidRDefault="00C07BEF" w:rsidP="00957C11">
      <w:pPr>
        <w:jc w:val="both"/>
      </w:pPr>
    </w:p>
    <w:p w14:paraId="2E9083D0" w14:textId="6DF1CE32" w:rsidR="00904D6D" w:rsidRPr="00FC1023" w:rsidRDefault="00F33C08" w:rsidP="00956EB6">
      <w:pPr>
        <w:numPr>
          <w:ilvl w:val="0"/>
          <w:numId w:val="15"/>
        </w:numPr>
        <w:tabs>
          <w:tab w:val="left" w:pos="426"/>
        </w:tabs>
        <w:ind w:left="426" w:hanging="426"/>
        <w:rPr>
          <w:b/>
          <w:bCs/>
        </w:rPr>
      </w:pPr>
      <w:r w:rsidRPr="00FC1023">
        <w:rPr>
          <w:b/>
          <w:bCs/>
        </w:rPr>
        <w:t>INTRODUCTION</w:t>
      </w:r>
    </w:p>
    <w:p w14:paraId="15610BA4" w14:textId="77777777" w:rsidR="00811BC5" w:rsidRDefault="00811BC5" w:rsidP="00811BC5">
      <w:pPr>
        <w:ind w:firstLine="720"/>
        <w:jc w:val="both"/>
      </w:pPr>
      <w:bookmarkStart w:id="0" w:name="_Hlk80000636"/>
      <w:r>
        <w:t>Bitcoin (BTC) exhibits non-stationary behavior and sensitivity to macroeconomic shocks, complicating traditional forecasting [1], [2]. Conventional models such as ARIMA show limitations on volatile high-frequency data due to stationarity assumptions [3], [4].</w:t>
      </w:r>
    </w:p>
    <w:p w14:paraId="47085544" w14:textId="77777777" w:rsidR="00811BC5" w:rsidRDefault="00811BC5" w:rsidP="00811BC5">
      <w:pPr>
        <w:ind w:firstLine="720"/>
        <w:jc w:val="both"/>
      </w:pPr>
      <w:r>
        <w:t>Data-driven neural networks have become preferred for modeling complex non-linear cryptocurrency sequences [5], [6], yet evaluating architectures purely on error metrics is insufficient for portfolio management [7], [8].</w:t>
      </w:r>
    </w:p>
    <w:p w14:paraId="25BBDE82" w14:textId="77777777" w:rsidR="00811BC5" w:rsidRDefault="00811BC5" w:rsidP="00811BC5">
      <w:pPr>
        <w:ind w:firstLine="720"/>
        <w:jc w:val="both"/>
      </w:pPr>
      <w:r>
        <w:t>A critical gap exists between algorithmic accuracy and operational deployment within enterprise Business Intelligence (BI) platforms [9], requiring architectures that translate model outputs into actionable risk metrics [10].</w:t>
      </w:r>
    </w:p>
    <w:p w14:paraId="1C941B67" w14:textId="4DBCF074" w:rsidR="007970FE" w:rsidRDefault="00811BC5" w:rsidP="00811BC5">
      <w:pPr>
        <w:ind w:firstLine="720"/>
        <w:jc w:val="both"/>
      </w:pPr>
      <w:r>
        <w:lastRenderedPageBreak/>
        <w:t>To address this gap, this study proposes an end-to-end BI-Machine Learning framework mapping raw API feeds through automated Walk-Forward Validation into a production-ready Power BI dashboard, comparing XGBoost, LSTM, GRU, and the Informer Transformer on high-frequency hourly cryptocurrency data.</w:t>
      </w:r>
      <w:r w:rsidR="00A223D5">
        <w:t xml:space="preserve"> </w:t>
      </w:r>
      <w:r w:rsidR="007970FE">
        <w:t>Predictive applications in cryptocurrency analytics have transitioned from standard regression models toward more complex deep learning sequences.</w:t>
      </w:r>
    </w:p>
    <w:p w14:paraId="1018BF71" w14:textId="77777777" w:rsidR="007970FE" w:rsidRDefault="007970FE" w:rsidP="00811BC5">
      <w:pPr>
        <w:ind w:firstLine="720"/>
        <w:jc w:val="both"/>
      </w:pPr>
    </w:p>
    <w:bookmarkEnd w:id="0"/>
    <w:p w14:paraId="33A486CB" w14:textId="4CB1A5D7" w:rsidR="007970FE" w:rsidRPr="00FC1023" w:rsidRDefault="007970FE" w:rsidP="007970FE">
      <w:pPr>
        <w:rPr>
          <w:b/>
          <w:bCs/>
        </w:rPr>
      </w:pPr>
      <w:r>
        <w:rPr>
          <w:b/>
        </w:rPr>
        <w:t>1.1.  Baselines and Deep Sequences (RNNs)</w:t>
      </w:r>
    </w:p>
    <w:p w14:paraId="26C9FF6B" w14:textId="77777777" w:rsidR="007970FE" w:rsidRDefault="007970FE" w:rsidP="007970FE">
      <w:pPr>
        <w:ind w:firstLine="709"/>
        <w:jc w:val="both"/>
      </w:pPr>
      <w:r>
        <w:rPr/>
        <w:t>Tree-based models such as Extreme Gradient Boosting (XGBoost) model tabular financial data effectively [11], [12] but lack temporal sequence memory [13]. The Long Short-Term Memory (LSTM) [14] addresses vanishing gradients via forget gates [17], while the Gated Recurrent Unit (GRU) [15] offers a simplified gating mechanism. Both are widely applied to crypto-asset tracking [16], [18].</w:t>
      </w:r>
    </w:p>
    <w:p w14:paraId="10909C86" w14:textId="77777777" w:rsidR="007970FE" w:rsidRDefault="007970FE" w:rsidP="007970FE">
      <w:pPr>
        <w:ind w:firstLine="709"/>
        <w:jc w:val="both"/>
      </w:pPr>
    </w:p>
    <w:p w14:paraId="1944FA0E" w14:textId="55A58381" w:rsidR="007970FE" w:rsidRPr="00FC1023" w:rsidRDefault="007970FE" w:rsidP="007970FE">
      <w:pPr>
        <w:rPr>
          <w:b/>
          <w:bCs/>
        </w:rPr>
      </w:pPr>
      <w:r>
        <w:rPr>
          <w:b/>
        </w:rPr>
        <w:t>1.2.  Transformers in Time Series</w:t>
      </w:r>
    </w:p>
    <w:p w14:paraId="239BEAF3" w14:textId="77777777" w:rsidR="007970FE" w:rsidRDefault="007970FE" w:rsidP="007970FE">
      <w:pPr>
        <w:ind w:firstLine="709"/>
        <w:jc w:val="both"/>
      </w:pPr>
      <m:oMath>
        <m:r>
          <w:rPr>
            <w:rFonts w:ascii="Cambria Math" w:hAnsi="Cambria Math"/>
          </w:rPr>
          <m:t>O(L</m:t>
        </m:r>
        <m:r>
          <m:rPr>
            <m:sty m:val="p"/>
          </m:rPr>
          <w:rPr>
            <w:rFonts w:ascii="Cambria Math" w:hAnsi="Cambria Math"/>
          </w:rPr>
          <m:t>log</m:t>
        </m:r>
        <m:r>
          <w:rPr>
            <w:rFonts w:ascii="Cambria Math" w:hAnsi="Cambria Math"/>
          </w:rPr>
          <m:t>L)</m:t>
        </m:r>
      </m:oMath>
      <w:r>
        <w:rPr/>
        <w:t>Transformer architectures relying on self-attention mechanisms [19] have increasingly been adapted for time-series forecasting [20]. The Informer Transformer [21], utilizing sparse probabilistic self-attention (O(L log L)), serves as the primary Transformer baseline in this study. While newer architectures such as PatchTST [22] and TimesNet [23] represent the current vanguard in multivariate modeling, the Informer provides a well-established, computationally stable benchmark. Transformers may nonetheless suffer from overfitting during chaotic short-horizon intervals such as 1-hour crypto data [24], [25], [26].</w:t>
      </w:r>
    </w:p>
    <w:p w14:paraId="6E761588" w14:textId="77777777" w:rsidR="007970FE" w:rsidRDefault="007970FE" w:rsidP="007970FE">
      <w:pPr>
        <w:ind w:firstLine="709"/>
        <w:jc w:val="both"/>
      </w:pPr>
    </w:p>
    <w:p w14:paraId="127BA73D" w14:textId="70E52E95" w:rsidR="007970FE" w:rsidRPr="00FC1023" w:rsidRDefault="007970FE" w:rsidP="007970FE">
      <w:pPr>
        <w:rPr>
          <w:b/>
          <w:bCs/>
        </w:rPr>
      </w:pPr>
      <w:r>
        <w:rPr>
          <w:b/>
        </w:rPr>
        <w:t>1.3.  The Need for BI Integration and Scope Justification</w:t>
      </w:r>
    </w:p>
    <w:p w14:paraId="572F82FE" w14:textId="7688DBC0" w:rsidR="007970FE" w:rsidRDefault="007970FE" w:rsidP="007970FE">
      <w:pPr>
        <w:spacing w:after="60"/>
        <w:ind w:firstLine="216"/>
        <w:jc w:val="both"/>
      </w:pPr>
      <w:r>
        <w:t>While forecasting studies are abundant, implementations that translate model outputs into enterprise Decision Support Systems (DSS) remain rare [27], [28]. The prevailing paradigm evaluates RMSE alone without assessing trading profitability. Translating forecasts into BI dashboards computing Sharpe Ratio and Value-at-Risk represents the key novelty of this study [29].</w:t>
      </w:r>
    </w:p>
    <w:p w14:paraId="3CD79EB9" w14:textId="6721A8DA" w:rsidR="007970FE" w:rsidRDefault="007970FE" w:rsidP="007970FE">
      <w:pPr>
        <w:ind w:firstLine="709"/>
        <w:jc w:val="both"/>
      </w:pPr>
      <w:r>
        <w:t>BTC/USDT was selected as the sole asset because Bitcoin maintains the highest market capitalization and trading volume among cryptocurrencies, and exclusive reliance on a single asset acts as a rigorous experimental control to isolate BI pipeline performance from cross-asset microstructural friction [1], [30].</w:t>
      </w:r>
    </w:p>
    <w:p w14:paraId="5344AD6A" w14:textId="77777777" w:rsidR="007970FE" w:rsidRDefault="007970FE" w:rsidP="007970FE">
      <w:pPr>
        <w:ind w:firstLine="709"/>
        <w:jc w:val="both"/>
      </w:pPr>
    </w:p>
    <w:p w14:paraId="5F878F78" w14:textId="77777777" w:rsidR="007970FE" w:rsidRDefault="007970FE" w:rsidP="007970FE">
      <w:pPr>
        <w:ind w:firstLine="709"/>
        <w:jc w:val="both"/>
      </w:pPr>
    </w:p>
    <w:p w14:paraId="7F5871EF" w14:textId="4C634CBC" w:rsidR="00E619D6" w:rsidRPr="00FC1023" w:rsidRDefault="008C07FB" w:rsidP="00E619D6">
      <w:pPr>
        <w:numPr>
          <w:ilvl w:val="0"/>
          <w:numId w:val="15"/>
        </w:numPr>
        <w:tabs>
          <w:tab w:val="left" w:pos="426"/>
        </w:tabs>
        <w:ind w:left="426" w:hanging="426"/>
        <w:rPr>
          <w:b/>
          <w:bCs/>
        </w:rPr>
      </w:pPr>
      <w:r>
        <w:rPr>
          <w:b/>
        </w:rPr>
        <w:t>METHOD</w:t>
      </w:r>
    </w:p>
    <w:p w14:paraId="5F482C38" w14:textId="77777777" w:rsidR="008C07FB" w:rsidRDefault="008C07FB" w:rsidP="00DD2BCF">
      <w:pPr>
        <w:ind w:firstLine="720"/>
        <w:jc w:val="both"/>
      </w:pPr>
      <w:bookmarkStart w:id="1" w:name="_Hlk78354375"/>
      <w:bookmarkStart w:id="2" w:name="_Hlk78354310"/>
      <w:r>
        <w:t>The proposed framework adopts a four-layer architecture mapping data ingestions directly into a BI interface.</w:t>
      </w:r>
    </w:p>
    <w:p w14:paraId="05FD850D" w14:textId="77777777" w:rsidR="008C07FB" w:rsidRDefault="008C07FB" w:rsidP="00DD2BCF">
      <w:pPr>
        <w:ind w:firstLine="720"/>
        <w:jc w:val="both"/>
      </w:pPr>
    </w:p>
    <w:p w14:paraId="4D815135" w14:textId="1E73A326" w:rsidR="008C07FB" w:rsidRPr="00FC1023" w:rsidRDefault="008C07FB" w:rsidP="008C07FB">
      <w:pPr>
        <w:rPr>
          <w:b/>
          <w:bCs/>
        </w:rPr>
      </w:pPr>
      <w:r>
        <w:rPr>
          <w:b/>
        </w:rPr>
        <w:t>2.1.  High-Frequency Data Extraction</w:t>
      </w:r>
    </w:p>
    <w:p w14:paraId="751536AB" w14:textId="7A4B62C1" w:rsidR="008C07FB" w:rsidRDefault="007D4E68" w:rsidP="008C07FB">
      <w:pPr>
        <w:spacing w:after="60"/>
        <w:ind w:firstLine="216"/>
        <w:jc w:val="both"/>
      </w:pPr>
      <w:r>
        <w:t>Data was collected via the Binance Spot API [30], covering BTC/USDT at 1-hour granularity from March 23, 2021 to March 23, 2026, yielding 43,786 OHLCV records. Augmented Dickey-Fuller (ADF) stationarity tests confirmed the absence of unit roots (p &lt; 0.05) across all 15 technical indicator sequences.</w:t>
      </w:r>
    </w:p>
    <w:p w14:paraId="109573E0" w14:textId="77777777" w:rsidR="008C07FB" w:rsidRDefault="008C07FB" w:rsidP="00DD2BCF">
      <w:pPr>
        <w:ind w:firstLine="720"/>
        <w:jc w:val="both"/>
      </w:pPr>
    </w:p>
    <w:p w14:paraId="69A78752" w14:textId="5730F354" w:rsidR="008C07FB" w:rsidRPr="00FC1023" w:rsidRDefault="008C07FB" w:rsidP="008C07FB">
      <w:pPr>
        <w:rPr>
          <w:b/>
          <w:bCs/>
        </w:rPr>
      </w:pPr>
      <w:r>
        <w:rPr>
          <w:b/>
        </w:rPr>
        <w:t>2.2.  Walk-Forward Validation Protocol</w:t>
      </w:r>
    </w:p>
    <w:p w14:paraId="79D18E96" w14:textId="77777777" w:rsidR="008C07FB" w:rsidRDefault="008C07FB" w:rsidP="008C07FB">
      <w:pPr>
        <w:spacing w:after="60"/>
        <w:ind w:firstLine="216"/>
        <w:jc w:val="both"/>
      </w:pPr>
      <w:r>
        <w:t>Missing API timestamps (~0.4% dropout rate) were handled using polynomial linear interpolation [31]. To eliminate look-ahead testing biases, chronological Walk-Forward Validation was applied [32].</w:t>
      </w:r>
    </w:p>
    <w:p w14:paraId="1B3EB2D3" w14:textId="77777777" w:rsidR="008C07FB" w:rsidRDefault="008C07FB" w:rsidP="008C07FB">
      <w:pPr>
        <w:spacing w:after="60"/>
        <w:ind w:firstLine="216"/>
        <w:jc w:val="both"/>
      </w:pPr>
    </w:p>
    <w:p w14:paraId="0E43C99A" w14:textId="77777777" w:rsidR="008C07FB" w:rsidRDefault="008C07FB" w:rsidP="008C07FB">
      <w:pPr>
        <w:pBdr>
          <w:top w:val="double" w:sz="6" w:space="0" w:color="000000"/>
          <w:bottom w:val="single" w:sz="4" w:space="0" w:color="000000"/>
        </w:pBdr>
        <w:spacing w:before="60" w:after="30"/>
        <w:jc w:val="both"/>
      </w:pPr>
      <w:r>
        <w:rPr>
          <w:b/>
        </w:rPr>
        <w:t>Algorithm 14-Layer BI-ML Implementation Pipeline</w:t>
      </w:r>
    </w:p>
    <w:p w14:paraId="5999DAA8" w14:textId="77777777" w:rsidR="008C07FB" w:rsidRDefault="008C07FB" w:rsidP="008C07FB">
      <w:pPr>
        <w:jc w:val="both"/>
      </w:pPr>
      <w:r>
        <w:t>Input:</w:t>
      </w:r>
    </w:p>
    <w:p w14:paraId="7E664455" w14:textId="77777777" w:rsidR="008C07FB" w:rsidRDefault="008C07FB" w:rsidP="008C07FB">
      <w:pPr>
        <w:jc w:val="both"/>
      </w:pPr>
      <w:r>
        <w:t>High-frequency Cryptocurrency OHLCV Spot Data</w:t>
      </w:r>
    </w:p>
    <w:p w14:paraId="345860E6" w14:textId="77777777" w:rsidR="008C07FB" w:rsidRDefault="008C07FB" w:rsidP="008C07FB">
      <w:pPr>
        <w:jc w:val="both"/>
      </w:pPr>
      <w:r>
        <w:t>Output:</w:t>
      </w:r>
    </w:p>
    <w:p w14:paraId="3D8A204F" w14:textId="77777777" w:rsidR="008C07FB" w:rsidRDefault="008C07FB" w:rsidP="008C07FB">
      <w:pPr>
        <w:jc w:val="both"/>
      </w:pPr>
      <w:r>
        <w:t>Risk-adjusted Dashboard Matrix (</w:t>
      </w:r>
    </w:p>
    <w:p w14:paraId="77065ED9" w14:textId="77777777" w:rsidR="008C07FB" w:rsidRDefault="008C07FB" w:rsidP="008C07FB">
      <w:pPr>
        <w:jc w:val="both"/>
      </w:pPr>
      <w:r>
        <w:t xml:space="preserve">Sharpe Ratio, </w:t>
      </w:r>
      <w:proofErr w:type="spellStart"/>
      <w:r>
        <w:t>VaR</w:t>
      </w:r>
      <w:proofErr w:type="spellEnd"/>
    </w:p>
    <w:p w14:paraId="4A71971A" w14:textId="77777777" w:rsidR="008C07FB" w:rsidRDefault="008C07FB" w:rsidP="008C07FB">
      <w:pPr>
        <w:jc w:val="both"/>
      </w:pPr>
      <w:r>
        <w:t>)</w:t>
      </w:r>
    </w:p>
    <w:p w14:paraId="02BEAC6C" w14:textId="77777777" w:rsidR="008C07FB" w:rsidRDefault="008C07FB" w:rsidP="008C07FB">
      <w:pPr>
        <w:jc w:val="both"/>
      </w:pPr>
      <w:r>
        <w:t>1:</w:t>
      </w:r>
    </w:p>
    <w:p w14:paraId="67E954E4" w14:textId="77777777" w:rsidR="008C07FB" w:rsidRDefault="008C07FB" w:rsidP="008C07FB">
      <w:pPr>
        <w:jc w:val="both"/>
      </w:pPr>
      <w:r>
        <w:t>// Layer 1: Data Ingestion</w:t>
      </w:r>
    </w:p>
    <w:p w14:paraId="7D6AAEBB" w14:textId="77777777" w:rsidR="008C07FB" w:rsidRDefault="008C07FB" w:rsidP="008C07FB">
      <w:pPr>
        <w:jc w:val="both"/>
      </w:pPr>
      <w:r>
        <w:t xml:space="preserve">2: raw\_data ← </w:t>
      </w:r>
      <w:proofErr w:type="spellStart"/>
      <w:r>
        <w:t>BinanceAPI</w:t>
      </w:r>
      <w:proofErr w:type="spellEnd"/>
      <w:r>
        <w:t>(symbol="BTCUSDT", interval="1h")</w:t>
      </w:r>
    </w:p>
    <w:p w14:paraId="00BE2F1A" w14:textId="77777777" w:rsidR="008C07FB" w:rsidRDefault="008C07FB" w:rsidP="008C07FB">
      <w:pPr>
        <w:jc w:val="both"/>
      </w:pPr>
      <w:r>
        <w:t>3:</w:t>
      </w:r>
    </w:p>
    <w:p w14:paraId="1B21B2F8" w14:textId="77777777" w:rsidR="008C07FB" w:rsidRDefault="008C07FB" w:rsidP="008C07FB">
      <w:pPr>
        <w:jc w:val="both"/>
      </w:pPr>
      <w:r>
        <w:t>4:</w:t>
      </w:r>
    </w:p>
    <w:p w14:paraId="76DB823F" w14:textId="77777777" w:rsidR="008C07FB" w:rsidRDefault="008C07FB" w:rsidP="008C07FB">
      <w:pPr>
        <w:jc w:val="both"/>
      </w:pPr>
      <w:r>
        <w:t>// Layer 2: ETL Transformation &amp; Feature Engineering</w:t>
      </w:r>
    </w:p>
    <w:p w14:paraId="5E20B265" w14:textId="77777777" w:rsidR="008C07FB" w:rsidRDefault="008C07FB" w:rsidP="008C07FB">
      <w:pPr>
        <w:jc w:val="both"/>
      </w:pPr>
      <w:r>
        <w:t xml:space="preserve">5: clean\_data ← </w:t>
      </w:r>
      <w:proofErr w:type="spellStart"/>
      <w:r>
        <w:t>PolynomialInterpolate</w:t>
      </w:r>
      <w:proofErr w:type="spellEnd"/>
      <w:r>
        <w:t>(raw\_data)</w:t>
      </w:r>
    </w:p>
    <w:p w14:paraId="2768A688" w14:textId="77777777" w:rsidR="008C07FB" w:rsidRDefault="008C07FB" w:rsidP="008C07FB">
      <w:pPr>
        <w:jc w:val="both"/>
      </w:pPr>
      <w:r>
        <w:t xml:space="preserve">6: Extracted\_Features ← </w:t>
      </w:r>
      <w:proofErr w:type="spellStart"/>
      <w:r>
        <w:t>GenerateIndicators</w:t>
      </w:r>
      <w:proofErr w:type="spellEnd"/>
      <w:r>
        <w:t>(clean\_data)</w:t>
      </w:r>
    </w:p>
    <w:p w14:paraId="74C98113" w14:textId="77777777" w:rsidR="008C07FB" w:rsidRDefault="008C07FB" w:rsidP="008C07FB">
      <w:pPr>
        <w:jc w:val="both"/>
      </w:pPr>
      <w:r>
        <w:lastRenderedPageBreak/>
        <w:t>// MACD, \</w:t>
      </w:r>
      <w:proofErr w:type="spellStart"/>
      <w:r>
        <w:t>sigma_t</w:t>
      </w:r>
      <w:proofErr w:type="spellEnd"/>
    </w:p>
    <w:p w14:paraId="7169B5A7" w14:textId="77777777" w:rsidR="008C07FB" w:rsidRDefault="008C07FB" w:rsidP="008C07FB">
      <w:pPr>
        <w:jc w:val="both"/>
      </w:pPr>
      <w:r>
        <w:t xml:space="preserve">7: Folds ← </w:t>
      </w:r>
      <w:proofErr w:type="spellStart"/>
      <w:r>
        <w:t>WalkForwardSplit</w:t>
      </w:r>
      <w:proofErr w:type="spellEnd"/>
      <w:r>
        <w:t>(Extracted\_Features, train=720, test=168)</w:t>
      </w:r>
    </w:p>
    <w:p w14:paraId="7F6ABC54" w14:textId="77777777" w:rsidR="008C07FB" w:rsidRDefault="008C07FB" w:rsidP="008C07FB">
      <w:pPr>
        <w:jc w:val="both"/>
      </w:pPr>
      <w:r>
        <w:t>8:</w:t>
      </w:r>
    </w:p>
    <w:p w14:paraId="3CC7DBAD" w14:textId="77777777" w:rsidR="008C07FB" w:rsidRDefault="008C07FB" w:rsidP="008C07FB">
      <w:pPr>
        <w:jc w:val="both"/>
      </w:pPr>
      <w:r>
        <w:t>9:</w:t>
      </w:r>
    </w:p>
    <w:p w14:paraId="5A434ABF" w14:textId="77777777" w:rsidR="008C07FB" w:rsidRDefault="008C07FB" w:rsidP="008C07FB">
      <w:pPr>
        <w:jc w:val="both"/>
      </w:pPr>
      <w:r>
        <w:t>// Layer 3: ML Inference Regimes</w:t>
      </w:r>
    </w:p>
    <w:p w14:paraId="6297657D" w14:textId="77777777" w:rsidR="008C07FB" w:rsidRDefault="008C07FB" w:rsidP="008C07FB">
      <w:pPr>
        <w:jc w:val="both"/>
      </w:pPr>
      <w:r>
        <w:t>10:</w:t>
      </w:r>
    </w:p>
    <w:p w14:paraId="651D6006" w14:textId="77777777" w:rsidR="008C07FB" w:rsidRDefault="008C07FB" w:rsidP="008C07FB">
      <w:pPr>
        <w:jc w:val="both"/>
      </w:pPr>
      <w:r>
        <w:t>for</w:t>
      </w:r>
    </w:p>
    <w:p w14:paraId="32F9AA6F" w14:textId="77777777" w:rsidR="008C07FB" w:rsidRDefault="008C07FB" w:rsidP="008C07FB">
      <w:pPr>
        <w:jc w:val="both"/>
      </w:pPr>
      <w:r>
        <w:t>each validation\_fold ∈ Folds</w:t>
      </w:r>
    </w:p>
    <w:p w14:paraId="2F0C3F83" w14:textId="77777777" w:rsidR="008C07FB" w:rsidRDefault="008C07FB" w:rsidP="008C07FB">
      <w:pPr>
        <w:jc w:val="both"/>
      </w:pPr>
      <w:r>
        <w:t>do</w:t>
      </w:r>
    </w:p>
    <w:p w14:paraId="03ED609B" w14:textId="77777777" w:rsidR="008C07FB" w:rsidRDefault="008C07FB" w:rsidP="008C07FB">
      <w:pPr>
        <w:jc w:val="both"/>
      </w:pPr>
      <w:r>
        <w:t xml:space="preserve">11:     scale\_params ← </w:t>
      </w:r>
      <w:proofErr w:type="spellStart"/>
      <w:r>
        <w:t>MinMaxFit</w:t>
      </w:r>
      <w:proofErr w:type="spellEnd"/>
      <w:r>
        <w:t>(validation\_</w:t>
      </w:r>
      <w:proofErr w:type="spellStart"/>
      <w:r>
        <w:t>fold.train</w:t>
      </w:r>
      <w:proofErr w:type="spellEnd"/>
      <w:r>
        <w:t>)</w:t>
      </w:r>
    </w:p>
    <w:p w14:paraId="449FCFE2" w14:textId="77777777" w:rsidR="008C07FB" w:rsidRDefault="008C07FB" w:rsidP="008C07FB">
      <w:pPr>
        <w:jc w:val="both"/>
      </w:pPr>
      <w:r>
        <w:t xml:space="preserve">12:     weights ← </w:t>
      </w:r>
      <w:proofErr w:type="spellStart"/>
      <w:r>
        <w:t>TrainNetwork</w:t>
      </w:r>
      <w:proofErr w:type="spellEnd"/>
      <w:r>
        <w:t>(validation\_</w:t>
      </w:r>
      <w:proofErr w:type="spellStart"/>
      <w:r>
        <w:t>fold.train</w:t>
      </w:r>
      <w:proofErr w:type="spellEnd"/>
      <w:r>
        <w:t>, scale\_params)</w:t>
      </w:r>
    </w:p>
    <w:p w14:paraId="41F6E612" w14:textId="77777777" w:rsidR="008C07FB" w:rsidRDefault="008C07FB" w:rsidP="008C07FB">
      <w:pPr>
        <w:jc w:val="both"/>
      </w:pPr>
      <w:r>
        <w:t xml:space="preserve">13:     predict\_tensor ← </w:t>
      </w:r>
      <w:proofErr w:type="spellStart"/>
      <w:r>
        <w:t>weights.predict</w:t>
      </w:r>
      <w:proofErr w:type="spellEnd"/>
      <w:r>
        <w:t>(validation\_</w:t>
      </w:r>
      <w:proofErr w:type="spellStart"/>
      <w:r>
        <w:t>fold.test</w:t>
      </w:r>
      <w:proofErr w:type="spellEnd"/>
      <w:r>
        <w:t>)</w:t>
      </w:r>
    </w:p>
    <w:p w14:paraId="37E519A1" w14:textId="77777777" w:rsidR="008C07FB" w:rsidRDefault="008C07FB" w:rsidP="008C07FB">
      <w:pPr>
        <w:jc w:val="both"/>
      </w:pPr>
      <w:r>
        <w:t>14:</w:t>
      </w:r>
    </w:p>
    <w:p w14:paraId="6B150E33" w14:textId="77777777" w:rsidR="008C07FB" w:rsidRDefault="008C07FB" w:rsidP="008C07FB">
      <w:pPr>
        <w:jc w:val="both"/>
      </w:pPr>
      <w:r>
        <w:t>end for</w:t>
      </w:r>
    </w:p>
    <w:p w14:paraId="21CEBD21" w14:textId="77777777" w:rsidR="008C07FB" w:rsidRDefault="008C07FB" w:rsidP="008C07FB">
      <w:pPr>
        <w:jc w:val="both"/>
      </w:pPr>
      <w:r>
        <w:t>15:</w:t>
      </w:r>
    </w:p>
    <w:p w14:paraId="133A658C" w14:textId="77777777" w:rsidR="008C07FB" w:rsidRDefault="008C07FB" w:rsidP="008C07FB">
      <w:pPr>
        <w:jc w:val="both"/>
      </w:pPr>
      <w:r>
        <w:t>16:</w:t>
      </w:r>
    </w:p>
    <w:p w14:paraId="42565512" w14:textId="77777777" w:rsidR="008C07FB" w:rsidRDefault="008C07FB" w:rsidP="008C07FB">
      <w:pPr>
        <w:jc w:val="both"/>
      </w:pPr>
      <w:r>
        <w:t>// Layer 4: BI Dashboard Integration &amp; Extraction</w:t>
      </w:r>
    </w:p>
    <w:p w14:paraId="050A69A3" w14:textId="77777777" w:rsidR="008C07FB" w:rsidRDefault="008C07FB" w:rsidP="008C07FB">
      <w:pPr>
        <w:jc w:val="both"/>
      </w:pPr>
      <w:r>
        <w:t xml:space="preserve">17: residual\_vectors ← </w:t>
      </w:r>
      <w:proofErr w:type="spellStart"/>
      <w:r>
        <w:t>CalculateResiduals</w:t>
      </w:r>
      <w:proofErr w:type="spellEnd"/>
      <w:r>
        <w:t>(actual, predict\_tensor)</w:t>
      </w:r>
    </w:p>
    <w:p w14:paraId="7B833A60" w14:textId="77777777" w:rsidR="008C07FB" w:rsidRDefault="008C07FB" w:rsidP="008C07FB">
      <w:pPr>
        <w:jc w:val="both"/>
      </w:pPr>
      <w:r>
        <w:t>18: PostgreSQL\_</w:t>
      </w:r>
      <w:proofErr w:type="spellStart"/>
      <w:r>
        <w:t>DataMart.INSERT</w:t>
      </w:r>
      <w:proofErr w:type="spellEnd"/>
      <w:r>
        <w:t>(residual\_vectors)</w:t>
      </w:r>
    </w:p>
    <w:p w14:paraId="74635C7F" w14:textId="77777777" w:rsidR="008C07FB" w:rsidRDefault="008C07FB" w:rsidP="008C07FB">
      <w:pPr>
        <w:jc w:val="both"/>
      </w:pPr>
      <w:r>
        <w:t xml:space="preserve">19: </w:t>
      </w:r>
      <w:proofErr w:type="spellStart"/>
      <w:r>
        <w:t>PowerBI</w:t>
      </w:r>
      <w:proofErr w:type="spellEnd"/>
      <w:r>
        <w:t>\_</w:t>
      </w:r>
      <w:proofErr w:type="spellStart"/>
      <w:r>
        <w:t>Dashboard.Render</w:t>
      </w:r>
      <w:proofErr w:type="spellEnd"/>
      <w:r>
        <w:t xml:space="preserve">(Sharpe(residual\_vectors), </w:t>
      </w:r>
      <w:proofErr w:type="spellStart"/>
      <w:r>
        <w:t>VaR</w:t>
      </w:r>
      <w:proofErr w:type="spellEnd"/>
      <w:r>
        <w:t>(residual\_vectors))</w:t>
      </w:r>
    </w:p>
    <w:p w14:paraId="22E07C6F" w14:textId="77777777" w:rsidR="008C07FB" w:rsidRDefault="008C07FB" w:rsidP="008C07FB">
      <w:pPr>
        <w:pBdr>
          <w:bottom w:val="double" w:sz="6" w:space="0" w:color="000000"/>
        </w:pBdr>
        <w:spacing w:after="60"/>
      </w:pPr>
    </w:p>
    <w:p w14:paraId="074BFC96" w14:textId="77777777" w:rsidR="008C07FB" w:rsidRDefault="008C07FB" w:rsidP="008C07FB">
      <w:pPr>
        <w:spacing w:after="60"/>
        <w:ind w:firstLine="216"/>
        <w:jc w:val="both"/>
      </w:pPr>
    </w:p>
    <w:p w14:paraId="0578B432" w14:textId="77777777" w:rsidR="008C07FB" w:rsidRDefault="008C07FB" w:rsidP="008C07FB">
      <w:pPr>
        <w:spacing w:after="60"/>
        <w:ind w:firstLine="216"/>
        <w:jc w:val="both"/>
      </w:pPr>
      <w:r>
        <w:t>Min-Max Scaling (Equation 1) anchored variables exclusively to localized training folds.</w:t>
      </w:r>
    </w:p>
    <w:p w14:paraId="02A58B74" w14:textId="77777777" w:rsidR="008C07FB" w:rsidRDefault="00000000" w:rsidP="008C07FB">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07B82CA2" w14:textId="77777777" w:rsidR="008C07FB" w:rsidRDefault="008C07FB" w:rsidP="008C07FB">
      <w:pPr>
        <w:spacing w:after="60"/>
        <w:ind w:firstLine="216"/>
        <w:jc w:val="both"/>
      </w:pPr>
    </w:p>
    <w:p w14:paraId="4C015262" w14:textId="77777777" w:rsidR="008C07FB" w:rsidRDefault="008C07FB" w:rsidP="008C07FB">
      <w:pPr>
        <w:spacing w:before="60" w:after="30"/>
        <w:jc w:val="center"/>
      </w:pPr>
      <w:r>
        <w:rPr>
          <w:noProof/>
        </w:rPr>
        <w:drawing>
          <wp:inline distT="0" distB="0" distL="0" distR="0" wp14:anchorId="5DBD5698" wp14:editId="7C743042">
            <wp:extent cx="4728464" cy="1608757"/>
            <wp:effectExtent l="0" t="0" r="0" b="0"/>
            <wp:docPr id="1159681953"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t="6713"/>
                    <a:stretch>
                      <a:fillRect/>
                    </a:stretch>
                  </pic:blipFill>
                  <pic:spPr bwMode="auto">
                    <a:xfrm>
                      <a:off x="0" y="0"/>
                      <a:ext cx="4766929" cy="1621844"/>
                    </a:xfrm>
                    <a:prstGeom prst="rect">
                      <a:avLst/>
                    </a:prstGeom>
                    <a:ln>
                      <a:noFill/>
                    </a:ln>
                    <a:extLst>
                      <a:ext uri="{53640926-AAD7-44D8-BBD7-CCE9431645EC}">
                        <a14:shadowObscured xmlns:a14="http://schemas.microsoft.com/office/drawing/2010/main"/>
                      </a:ext>
                    </a:extLst>
                  </pic:spPr>
                </pic:pic>
              </a:graphicData>
            </a:graphic>
          </wp:inline>
        </w:drawing>
      </w:r>
    </w:p>
    <w:p w14:paraId="69C24AD2" w14:textId="50F4E0C1" w:rsidR="008C07FB" w:rsidRDefault="008C07FB" w:rsidP="008C07FB">
      <w:pPr>
        <w:spacing w:after="60"/>
        <w:jc w:val="center"/>
      </w:pPr>
      <w:r>
        <w:t>Fig</w:t>
      </w:r>
      <w:r w:rsidR="00D5659D">
        <w:t>ure</w:t>
      </w:r>
      <w:r>
        <w:t xml:space="preserve"> 1. Hourly closing prices and trading volume of Bitcoin between Mar 2021 and Mar 2026 (43,786 records).</w:t>
      </w:r>
    </w:p>
    <w:p w14:paraId="393E5FA9" w14:textId="77777777" w:rsidR="008C07FB" w:rsidRDefault="008C07FB" w:rsidP="008C07FB">
      <w:pPr>
        <w:spacing w:after="60"/>
        <w:ind w:firstLine="216"/>
        <w:jc w:val="both"/>
      </w:pPr>
    </w:p>
    <w:p w14:paraId="1EBD05BA" w14:textId="420600A5" w:rsidR="004C1EBB" w:rsidRPr="00FC1023" w:rsidRDefault="004C1EBB" w:rsidP="004C1EBB">
      <w:pPr>
        <w:rPr>
          <w:b/>
          <w:bCs/>
        </w:rPr>
      </w:pPr>
      <w:r>
        <w:rPr>
          <w:b/>
        </w:rPr>
        <w:t>2.3.  Real-Time BI Implementation Specifications</w:t>
      </w:r>
    </w:p>
    <w:p w14:paraId="0D10411E" w14:textId="77777777" w:rsidR="004C1EBB" w:rsidRDefault="004C1EBB" w:rsidP="004C1EBB">
      <w:pPr>
        <w:spacing w:after="60"/>
        <w:ind w:firstLine="216"/>
        <w:jc w:val="both"/>
      </w:pPr>
      <w:r>
        <w:t>Algorithm 1 outlines the 4-layer BI-ML pipeline, transitioning Walk-Forward fold outputs into a PostgreSQL Data Mart, with Power BI DirectQuery computing live Sharpe Ratios and Value-at-Risk from neural network residuals.</w:t>
      </w:r>
    </w:p>
    <w:p w14:paraId="52565D36" w14:textId="77777777" w:rsidR="004C1EBB" w:rsidRDefault="004C1EBB" w:rsidP="004C1EBB">
      <w:pPr>
        <w:spacing w:after="60"/>
        <w:ind w:firstLine="216"/>
        <w:jc w:val="both"/>
      </w:pPr>
    </w:p>
    <w:p w14:paraId="24943713" w14:textId="0FF8D7FA" w:rsidR="004C1EBB" w:rsidRPr="00FC1023" w:rsidRDefault="004C1EBB" w:rsidP="004C1EBB">
      <w:pPr>
        <w:rPr>
          <w:b/>
          <w:bCs/>
        </w:rPr>
      </w:pPr>
      <w:r>
        <w:rPr>
          <w:b/>
        </w:rPr>
        <w:t>2.4.  Feature Engineering and SHAP Analysis</w:t>
      </w:r>
    </w:p>
    <w:p w14:paraId="5DF36B91" w14:textId="77777777" w:rsidR="004C1EBB" w:rsidRDefault="004C1EBB" w:rsidP="004C1EBB">
      <w:pPr>
        <w:spacing w:after="60"/>
        <w:ind w:firstLine="216"/>
        <w:jc w:val="both"/>
      </w:pPr>
      <w:r>
        <w:t>Depending categorically on univariate sequences ignores market momentum velocity [33]. Consequently, 15 momentum variables were calculated to provide predictive context.</w:t>
      </w:r>
    </w:p>
    <w:p w14:paraId="68C6351D" w14:textId="77777777" w:rsidR="004C1EBB" w:rsidRDefault="004C1EBB" w:rsidP="004C1EBB">
      <w:pPr>
        <w:spacing w:after="60"/>
        <w:ind w:firstLine="216"/>
        <w:jc w:val="both"/>
      </w:pPr>
    </w:p>
    <w:p w14:paraId="4A51ED24" w14:textId="47CF0EA4" w:rsidR="004C1EBB" w:rsidRPr="00FC1023" w:rsidRDefault="004C1EBB" w:rsidP="004C1EBB">
      <w:pPr>
        <w:rPr>
          <w:b/>
          <w:bCs/>
        </w:rPr>
      </w:pPr>
      <w:r>
        <w:rPr>
          <w:b/>
        </w:rPr>
        <w:t>2.4.1  Technical Indicators Computation</w:t>
      </w:r>
    </w:p>
    <w:p w14:paraId="0AA9BE4C" w14:textId="77777777" w:rsidR="005B02EF" w:rsidRDefault="005B02EF" w:rsidP="005B02EF">
      <w:pPr>
        <w:spacing w:after="60"/>
        <w:ind w:firstLine="216"/>
        <w:jc w:val="both"/>
      </w:pPr>
      <w:r>
        <w:t>Moving Average Convergence Divergence (MACD) limits were applied [34]:</w:t>
      </w:r>
    </w:p>
    <w:p w14:paraId="2CF612AC" w14:textId="77777777" w:rsidR="005B02EF" w:rsidRDefault="005B02EF" w:rsidP="005B02EF">
      <w:pPr>
        <w:spacing w:before="60" w:after="60"/>
        <w:jc w:val="center"/>
      </w:pPr>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65CC227C" w14:textId="77777777" w:rsidR="005B02EF" w:rsidRDefault="005B02EF" w:rsidP="005B02EF">
      <w:pPr>
        <w:spacing w:after="60"/>
        <w:ind w:firstLine="216"/>
        <w:jc w:val="both"/>
      </w:pPr>
    </w:p>
    <w:p w14:paraId="773718A3" w14:textId="58202F87" w:rsidR="005B02EF" w:rsidRDefault="005B02EF" w:rsidP="005B02EF">
      <w:pPr>
        <w:spacing w:after="60"/>
        <w:ind w:firstLine="216"/>
        <w:jc w:val="both"/>
      </w:pPr>
      <w:r>
        <w:t>Logarithmic normalization arrays defined rolling standard deviation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p w14:paraId="35E4A013" w14:textId="77777777" w:rsidR="005B02EF" w:rsidRPr="005B02EF" w:rsidRDefault="00000000" w:rsidP="005B02EF">
      <w:pPr>
        <w:spacing w:after="60"/>
        <w:ind w:firstLine="216"/>
        <w:jc w:val="both"/>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bar>
                <m:barPr>
                  <m:pos m:val="top"/>
                  <m:ctrlPr>
                    <w:rPr>
                      <w:rFonts w:ascii="Cambria Math" w:hAnsi="Cambria Math"/>
                    </w:rPr>
                  </m:ctrlPr>
                </m:barPr>
                <m:e>
                  <m:r>
                    <w:rPr>
                      <w:rFonts w:ascii="Cambria Math" w:hAnsi="Cambria Math"/>
                    </w:rPr>
                    <m:t>P</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3F748E7D" w14:textId="77777777" w:rsidR="005B02EF" w:rsidRDefault="005B02EF" w:rsidP="005B02EF">
      <w:pPr>
        <w:spacing w:after="60"/>
        <w:ind w:firstLine="216"/>
        <w:jc w:val="both"/>
      </w:pPr>
    </w:p>
    <w:p w14:paraId="27CC4C2A" w14:textId="650C7F05" w:rsidR="00EB4FED" w:rsidRPr="00FC1023" w:rsidRDefault="00EB4FED" w:rsidP="00EB4FED">
      <w:pPr>
        <w:rPr>
          <w:b/>
          <w:bCs/>
        </w:rPr>
      </w:pPr>
      <w:r>
        <w:rPr>
          <w:b/>
        </w:rPr>
        <w:t>2.4.2  Assessing Explicability via SHAP</w:t>
      </w:r>
    </w:p>
    <w:p w14:paraId="49079253" w14:textId="77777777" w:rsidR="00EB4FED" w:rsidRDefault="00EB4FED" w:rsidP="00EB4FED">
      <w:pPr>
        <w:spacing w:after="60"/>
        <w:ind w:firstLine="216"/>
        <w:jc w:val="both"/>
      </w:pPr>
      <w:r>
        <w:t xml:space="preserve">Assessing dense-layer activation required </w:t>
      </w:r>
      <w:proofErr w:type="spellStart"/>
      <w:r>
        <w:t>SHapley</w:t>
      </w:r>
      <w:proofErr w:type="spellEnd"/>
      <w:r>
        <w:t xml:space="preserve"> Additive </w:t>
      </w:r>
      <w:proofErr w:type="spellStart"/>
      <w:r>
        <w:t>exPlanations</w:t>
      </w:r>
      <w:proofErr w:type="spellEnd"/>
      <w:r>
        <w:t xml:space="preserve"> (SHAP) evaluations [35]. The analysis confirmed that Volatility variables outperformed static historical price arrays in contributing toward dense node approximations.</w:t>
      </w:r>
    </w:p>
    <w:p w14:paraId="23465B90" w14:textId="77777777" w:rsidR="00EB4FED" w:rsidRDefault="00EB4FED" w:rsidP="00EB4FED">
      <w:pPr>
        <w:spacing w:after="60"/>
        <w:ind w:firstLine="216"/>
        <w:jc w:val="both"/>
      </w:pPr>
    </w:p>
    <w:p w14:paraId="1D8C67CD" w14:textId="694C1E2A" w:rsidR="00EB4FED" w:rsidRPr="00FC1023" w:rsidRDefault="00EB4FED" w:rsidP="00EB4FED">
      <w:pPr>
        <w:rPr>
          <w:b/>
          <w:bCs/>
        </w:rPr>
      </w:pPr>
      <w:r>
        <w:rPr>
          <w:b/>
        </w:rPr>
        <w:t>2.5.  Algorithmic Formulations</w:t>
      </w:r>
    </w:p>
    <w:p w14:paraId="5FA0F041" w14:textId="77777777" w:rsidR="00EB4FED" w:rsidRDefault="00EB4FED" w:rsidP="00EB4FED">
      <w:pPr>
        <w:spacing w:after="60"/>
        <w:ind w:firstLine="216"/>
        <w:jc w:val="both"/>
      </w:pPr>
      <w:r>
        <w:t>Evaluations encompassed a 720-hour (30-day) training step paired against a 168-hour (7-day) projection window. Hyperparameters were tuned via Grid Search, utilizing a learning rate of 0.001 (Adam optimizer) alongside a dropout value of 0.2.</w:t>
      </w:r>
    </w:p>
    <w:p w14:paraId="44E48C52" w14:textId="77777777" w:rsidR="00EB4FED" w:rsidRDefault="00EB4FED" w:rsidP="00EB4FED">
      <w:pPr>
        <w:spacing w:after="60"/>
        <w:ind w:firstLine="216"/>
        <w:jc w:val="both"/>
      </w:pPr>
    </w:p>
    <w:p w14:paraId="6CE3E59A" w14:textId="6A2759F1" w:rsidR="00DE4203" w:rsidRPr="00FC1023" w:rsidRDefault="00DE4203" w:rsidP="00DE4203">
      <w:pPr>
        <w:rPr>
          <w:b/>
          <w:bCs/>
        </w:rPr>
      </w:pPr>
      <w:r>
        <w:rPr>
          <w:b/>
        </w:rPr>
        <w:t>2.5.1  Baselines: Sequences and Trees</w:t>
      </w:r>
    </w:p>
    <w:p w14:paraId="564ACC5E" w14:textId="77777777" w:rsidR="00DE4203" w:rsidRDefault="00DE4203" w:rsidP="00DE4203">
      <w:pPr>
        <w:spacing w:after="60"/>
        <w:ind w:firstLine="216"/>
        <w:jc w:val="both"/>
      </w:pPr>
      <w:proofErr w:type="spellStart"/>
      <w:r>
        <w:t>XGBoost</w:t>
      </w:r>
      <w:proofErr w:type="spellEnd"/>
      <w:r>
        <w:t xml:space="preserve"> functions as the core benchmark non-sequential regressor. Correspondingly, LSTMs operate relying on forget gate arrays (</w:t>
      </w:r>
      <m:oMath>
        <m:sSub>
          <m:sSubPr>
            <m:ctrlPr>
              <w:rPr>
                <w:rFonts w:ascii="Cambria Math" w:hAnsi="Cambria Math"/>
              </w:rPr>
            </m:ctrlPr>
          </m:sSubPr>
          <m:e>
            <m:r>
              <w:rPr>
                <w:rFonts w:ascii="Cambria Math" w:hAnsi="Cambria Math"/>
              </w:rPr>
              <m:t>f</m:t>
            </m:r>
          </m:e>
          <m:sub>
            <m:r>
              <w:rPr>
                <w:rFonts w:ascii="Cambria Math" w:hAnsi="Cambria Math"/>
              </w:rPr>
              <m:t>t</m:t>
            </m:r>
          </m:sub>
        </m:sSub>
      </m:oMath>
      <w:r>
        <w:t>):</w:t>
      </w:r>
    </w:p>
    <w:p w14:paraId="0E8F20D2" w14:textId="77777777" w:rsidR="00DE4203" w:rsidRDefault="00000000" w:rsidP="00DE4203">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23EAD6A2" w14:textId="77777777" w:rsidR="00DE4203" w:rsidRDefault="00DE4203" w:rsidP="00DE4203">
      <w:pPr>
        <w:spacing w:after="60"/>
        <w:ind w:firstLine="216"/>
        <w:jc w:val="both"/>
      </w:pPr>
      <w:r>
        <w:t>The GRU simplifies parameter boundaries utilizing direct Update mechanisms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52DFCCA5" w14:textId="77777777" w:rsidR="00DE4203" w:rsidRPr="00DE4203" w:rsidRDefault="00000000" w:rsidP="00DE4203">
      <w:pPr>
        <w:spacing w:after="60"/>
        <w:ind w:firstLine="216"/>
        <w:jc w:val="both"/>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m:oMathPara>
    </w:p>
    <w:p w14:paraId="77507E0B" w14:textId="52E724C9" w:rsidR="00DE4203" w:rsidRPr="00FC1023" w:rsidRDefault="00DE4203" w:rsidP="00DE4203">
      <w:pPr>
        <w:rPr>
          <w:b/>
          <w:bCs/>
        </w:rPr>
      </w:pPr>
      <w:r>
        <w:rPr>
          <w:b/>
        </w:rPr>
        <w:t>2.5.2  Informer Transformer Model</w:t>
      </w:r>
    </w:p>
    <w:p w14:paraId="2D9A9248" w14:textId="77777777" w:rsidR="00DE4203" w:rsidRDefault="00DE4203" w:rsidP="00DE4203">
      <w:pPr>
        <w:spacing w:after="60"/>
        <w:ind w:firstLine="216"/>
        <w:jc w:val="both"/>
      </w:pPr>
      <w:r>
        <w:t xml:space="preserve">The state-of-the-art Informer architecture abandons chronological stepwise recursion. By utilizing </w:t>
      </w:r>
      <w:proofErr w:type="spellStart"/>
      <w:r>
        <w:t>ProbSparse</w:t>
      </w:r>
      <w:proofErr w:type="spellEnd"/>
      <w:r>
        <w:t xml:space="preserve"> Self-Attention (</w:t>
      </w:r>
      <m:oMath>
        <m:r>
          <w:rPr>
            <w:rFonts w:ascii="Cambria Math" w:hAnsi="Cambria Math"/>
          </w:rPr>
          <m:t>O(L</m:t>
        </m:r>
        <m:r>
          <m:rPr>
            <m:sty m:val="p"/>
          </m:rPr>
          <w:rPr>
            <w:rFonts w:ascii="Cambria Math" w:hAnsi="Cambria Math"/>
          </w:rPr>
          <m:t>log</m:t>
        </m:r>
        <m:r>
          <w:rPr>
            <w:rFonts w:ascii="Cambria Math" w:hAnsi="Cambria Math"/>
          </w:rPr>
          <m:t>L)</m:t>
        </m:r>
      </m:oMath>
      <w:r>
        <w:t>), it evaluates relationships between sequence tokens [21]:</w:t>
      </w:r>
    </w:p>
    <w:p w14:paraId="1DEA8F6D" w14:textId="77777777" w:rsidR="00DE4203" w:rsidRDefault="00DE4203" w:rsidP="00DE4203">
      <w:pPr>
        <w:spacing w:before="60" w:after="60"/>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26E5264B" w14:textId="77777777" w:rsidR="00DE4203" w:rsidRDefault="00DE4203" w:rsidP="00DE4203">
      <w:pPr>
        <w:spacing w:after="60"/>
        <w:ind w:firstLine="216"/>
        <w:jc w:val="both"/>
      </w:pPr>
      <w:r>
        <w:t xml:space="preserve">where </w:t>
      </w:r>
      <m:oMath>
        <m:bar>
          <m:barPr>
            <m:pos m:val="top"/>
            <m:ctrlPr>
              <w:rPr>
                <w:rFonts w:ascii="Cambria Math" w:hAnsi="Cambria Math"/>
              </w:rPr>
            </m:ctrlPr>
          </m:barPr>
          <m:e>
            <m:r>
              <w:rPr>
                <w:rFonts w:ascii="Cambria Math" w:hAnsi="Cambria Math"/>
              </w:rPr>
              <m:t>Q</m:t>
            </m:r>
          </m:e>
        </m:bar>
      </m:oMath>
      <w:r>
        <w:t xml:space="preserve"> isolates selectively dominant query vectors, dramatically increasing temporal extraction speeds across large matrices.</w:t>
      </w:r>
    </w:p>
    <w:p w14:paraId="168F8D0B" w14:textId="77777777" w:rsidR="00DE4203" w:rsidRDefault="00DE4203" w:rsidP="00DE4203">
      <w:pPr>
        <w:spacing w:after="60"/>
        <w:ind w:firstLine="216"/>
        <w:jc w:val="both"/>
      </w:pPr>
    </w:p>
    <w:bookmarkEnd w:id="1"/>
    <w:p w14:paraId="46B49D0B" w14:textId="12687F93" w:rsidR="00DE4203" w:rsidRPr="00FC1023" w:rsidRDefault="00DE4203" w:rsidP="00DE4203">
      <w:pPr>
        <w:numPr>
          <w:ilvl w:val="0"/>
          <w:numId w:val="15"/>
        </w:numPr>
        <w:tabs>
          <w:tab w:val="left" w:pos="426"/>
        </w:tabs>
        <w:ind w:left="426" w:hanging="426"/>
        <w:rPr>
          <w:b/>
          <w:bCs/>
        </w:rPr>
      </w:pPr>
      <w:r>
        <w:rPr>
          <w:b/>
        </w:rPr>
        <w:t>RESULTS AND DISCUSSION</w:t>
      </w:r>
    </w:p>
    <w:p w14:paraId="180A977E" w14:textId="70BDBA5A" w:rsidR="00FF0462" w:rsidRDefault="00FF0462" w:rsidP="00FF0462">
      <w:pPr>
        <w:ind w:firstLine="720"/>
        <w:jc w:val="both"/>
      </w:pPr>
      <w:r>
        <w:t>Comparative structural inference behaviors evaluated universally across the independent 168-hour walk-forward arrays are provided in Fig</w:t>
      </w:r>
      <w:r w:rsidR="0014131C">
        <w:t>ure</w:t>
      </w:r>
      <w:r>
        <w:t xml:space="preserve"> 2.</w:t>
      </w:r>
    </w:p>
    <w:p w14:paraId="71FD7264" w14:textId="77777777" w:rsidR="00FF0462" w:rsidRDefault="00FF0462" w:rsidP="00FF0462">
      <w:pPr>
        <w:ind w:firstLine="720"/>
        <w:jc w:val="center"/>
      </w:pPr>
    </w:p>
    <w:p w14:paraId="696281EE" w14:textId="133BA389" w:rsidR="00FF0462" w:rsidRDefault="00FF0462" w:rsidP="00FF0462">
      <w:pPr>
        <w:ind w:firstLine="720"/>
        <w:jc w:val="center"/>
      </w:pPr>
      <w:r>
        <w:rPr>
          <w:noProof/>
        </w:rPr>
        <w:drawing>
          <wp:inline distT="0" distB="0" distL="0" distR="0" wp14:anchorId="0996B321" wp14:editId="79D8D45E">
            <wp:extent cx="3892312" cy="1814332"/>
            <wp:effectExtent l="0" t="0" r="0" b="0"/>
            <wp:docPr id="1134208145"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5215"/>
                    <a:stretch>
                      <a:fillRect/>
                    </a:stretch>
                  </pic:blipFill>
                  <pic:spPr bwMode="auto">
                    <a:xfrm>
                      <a:off x="0" y="0"/>
                      <a:ext cx="3916233" cy="1825482"/>
                    </a:xfrm>
                    <a:prstGeom prst="rect">
                      <a:avLst/>
                    </a:prstGeom>
                    <a:ln>
                      <a:noFill/>
                    </a:ln>
                    <a:extLst>
                      <a:ext uri="{53640926-AAD7-44D8-BBD7-CCE9431645EC}">
                        <a14:shadowObscured xmlns:a14="http://schemas.microsoft.com/office/drawing/2010/main"/>
                      </a:ext>
                    </a:extLst>
                  </pic:spPr>
                </pic:pic>
              </a:graphicData>
            </a:graphic>
          </wp:inline>
        </w:drawing>
      </w:r>
    </w:p>
    <w:p w14:paraId="47B9971F" w14:textId="77777777" w:rsidR="00FF0462" w:rsidRDefault="00FF0462" w:rsidP="00FF0462">
      <w:pPr>
        <w:ind w:firstLine="720"/>
        <w:jc w:val="both"/>
      </w:pPr>
    </w:p>
    <w:p w14:paraId="5BE55CB4" w14:textId="0AF96E94" w:rsidR="00FF0462" w:rsidRDefault="00FF0462" w:rsidP="00FF0462">
      <w:pPr>
        <w:ind w:firstLine="720"/>
        <w:jc w:val="center"/>
      </w:pPr>
      <w:r>
        <w:t>Fig</w:t>
      </w:r>
      <w:r w:rsidR="002109B6">
        <w:t>ure</w:t>
      </w:r>
      <w:r>
        <w:t xml:space="preserve"> 2. Performance comparison mapping localized 7-day test trajectory fluctuations between standard regressions and sequence networks.</w:t>
      </w:r>
    </w:p>
    <w:p w14:paraId="669EBAC1" w14:textId="77777777" w:rsidR="00FF0462" w:rsidRDefault="00FF0462" w:rsidP="00FF0462">
      <w:pPr>
        <w:ind w:firstLine="720"/>
        <w:jc w:val="both"/>
      </w:pPr>
    </w:p>
    <w:p w14:paraId="3590221D" w14:textId="42D57F87" w:rsidR="000B1F50" w:rsidRPr="00FC1023" w:rsidRDefault="0098648B" w:rsidP="000B1F50">
      <w:pPr>
        <w:rPr>
          <w:b/>
          <w:bCs/>
        </w:rPr>
      </w:pPr>
      <w:r>
        <w:rPr>
          <w:b/>
        </w:rPr>
        <w:t>3.1.  Validation Across Model Topologies</w:t>
      </w:r>
    </w:p>
    <w:p w14:paraId="6FE1AEFA" w14:textId="3F4EDEBC" w:rsidR="00124431" w:rsidRDefault="00124431" w:rsidP="00124431">
      <w:pPr>
        <w:spacing w:after="60"/>
        <w:ind w:firstLine="216"/>
        <w:jc w:val="both"/>
      </w:pPr>
      <w:r>
        <w:t xml:space="preserve">Table </w:t>
      </w:r>
      <w:r w:rsidR="00324E17">
        <w:t>1.</w:t>
      </w:r>
      <w:r>
        <w:t xml:space="preserve"> presents performance averages, including 95% Confidence Intervals (Standard Deviation ±). </w:t>
      </w:r>
      <w:proofErr w:type="spellStart"/>
      <w:r>
        <w:t>XGBoost</w:t>
      </w:r>
      <w:proofErr w:type="spellEnd"/>
      <w:r>
        <w:t xml:space="preserve"> exhibited higher bounding deviations, reinforcing classical limitations with multi-step prediction stability. Conversely, the Informer Transformer yielded an elevated RMSE (0.1321 </w:t>
      </w:r>
      <m:oMath>
        <m:r>
          <w:rPr>
            <w:rFonts w:ascii="Cambria Math" w:hAnsi="Cambria Math"/>
          </w:rPr>
          <m:t>±</m:t>
        </m:r>
      </m:oMath>
      <w:r>
        <w:t xml:space="preserve"> 0.0081). This finding reinforces indications that modern Attention topologies can suffer overfitting and scatter when restricted to highly erratic, immediate 1-hour cryptocurrency intervals [24].</w:t>
      </w:r>
    </w:p>
    <w:p w14:paraId="40029F03" w14:textId="77777777" w:rsidR="00124431" w:rsidRDefault="00124431" w:rsidP="00124431">
      <w:pPr>
        <w:spacing w:after="60"/>
        <w:ind w:firstLine="216"/>
        <w:jc w:val="both"/>
      </w:pPr>
      <m:oMath>
        <m:r>
          <w:rPr>
            <w:rFonts w:ascii="Cambria Math" w:hAnsi="Cambria Math"/>
          </w:rPr>
          <w:lastRenderedPageBreak/>
          <m:t>±Hp&lt;0.001</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1t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2t</m:t>
            </m:r>
          </m:sub>
        </m:sSub>
        <m:r>
          <w:rPr>
            <w:rFonts w:ascii="Cambria Math" w:hAnsi="Cambria Math"/>
          </w:rPr>
          <m:t>)</m:t>
        </m:r>
      </m:oMath>
      <w:r>
        <w:t>GRU secured the lowest RMSE (0.1058 ± 0.0034). A Kruskal-Wallis H-test across all validation folds yielded H = 18.4 (p &lt; 0.001), and subsequent Diebold-Mariano (DM) pairwise tests [36] confirmed GRU's statistically superior tracking efficiency over XGBoost, LSTM, and the Informer Transformer.</w:t>
      </w:r>
    </w:p>
    <w:p w14:paraId="3F9B0909" w14:textId="77777777" w:rsidR="00124431" w:rsidRDefault="00124431" w:rsidP="00124431">
      <w:pPr>
        <w:spacing w:before="60" w:after="60"/>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T</m:t>
                      </m:r>
                    </m:den>
                  </m:f>
                </m:e>
              </m:rad>
            </m:den>
          </m:f>
        </m:oMath>
      </m:oMathPara>
    </w:p>
    <w:p w14:paraId="24D1746C" w14:textId="4632D4B0" w:rsidR="00124431" w:rsidRDefault="00124431" w:rsidP="00124431">
      <w:pPr>
        <w:spacing w:after="60"/>
        <w:ind w:firstLine="216"/>
        <w:jc w:val="both"/>
      </w:pPr>
      <w:r>
        <w:t xml:space="preserve">The pairwise evaluations yielded highly significant algorithmic divergence as presented in Table </w:t>
      </w:r>
      <w:r w:rsidR="00DA0B49">
        <w:t>1</w:t>
      </w:r>
      <w:r>
        <w:t>, systematically affirming the GRU's superior scalar tracking efficiency globally across both traditional ensembles and state-of-the-art competitive neural models.</w:t>
      </w:r>
    </w:p>
    <w:p w14:paraId="020F67FC" w14:textId="77777777" w:rsidR="00124431" w:rsidRPr="00FC1023" w:rsidRDefault="00124431" w:rsidP="00124431">
      <w:pPr>
        <w:jc w:val="center"/>
      </w:pPr>
    </w:p>
    <w:p w14:paraId="2414E1BA" w14:textId="7719F661" w:rsidR="00124431" w:rsidRPr="00FC1023" w:rsidRDefault="00124431" w:rsidP="00124431">
      <w:pPr>
        <w:jc w:val="center"/>
      </w:pPr>
      <w:r w:rsidRPr="00FC1023">
        <w:t xml:space="preserve">Table 1. </w:t>
      </w:r>
      <w:r w:rsidRPr="00124431">
        <w:t>Quantitative Loss Benchmarking Across Algorithmic Walk-Forward Layers</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459"/>
        <w:gridCol w:w="1214"/>
      </w:tblGrid>
      <w:tr w:rsidR="00124431" w:rsidRPr="00FC1023" w14:paraId="73FEDE8D" w14:textId="41F44B09" w:rsidTr="00124431">
        <w:trPr>
          <w:jc w:val="center"/>
        </w:trPr>
        <w:tc>
          <w:tcPr>
            <w:tcW w:w="2207" w:type="dxa"/>
            <w:tcBorders>
              <w:top w:val="single" w:sz="4" w:space="0" w:color="auto"/>
              <w:bottom w:val="single" w:sz="4" w:space="0" w:color="auto"/>
            </w:tcBorders>
          </w:tcPr>
          <w:p w14:paraId="5024525F" w14:textId="1B562572" w:rsidR="00124431" w:rsidRPr="00FC1023" w:rsidRDefault="00124431" w:rsidP="00124431">
            <w:pPr>
              <w:jc w:val="center"/>
              <w:rPr>
                <w:sz w:val="16"/>
                <w:szCs w:val="16"/>
              </w:rPr>
            </w:pPr>
            <w:r w:rsidRPr="00813AD8">
              <w:t>Algorithmic Parameter</w:t>
            </w:r>
          </w:p>
        </w:tc>
        <w:tc>
          <w:tcPr>
            <w:tcW w:w="2280" w:type="dxa"/>
            <w:tcBorders>
              <w:top w:val="single" w:sz="4" w:space="0" w:color="auto"/>
              <w:bottom w:val="single" w:sz="4" w:space="0" w:color="auto"/>
            </w:tcBorders>
          </w:tcPr>
          <w:p w14:paraId="1C78E107" w14:textId="59C85984" w:rsidR="00124431" w:rsidRPr="00FC1023" w:rsidRDefault="00124431" w:rsidP="00124431">
            <w:pPr>
              <w:jc w:val="center"/>
              <w:rPr>
                <w:sz w:val="16"/>
                <w:szCs w:val="16"/>
              </w:rPr>
            </w:pPr>
            <w:r w:rsidRPr="00813AD8">
              <w:t>Mean RMSE (</w:t>
            </w:r>
            <m:oMath>
              <m:r>
                <w:rPr>
                  <w:rFonts w:ascii="Cambria Math" w:hAnsi="Cambria Math"/>
                </w:rPr>
                <m:t>±</m:t>
              </m:r>
            </m:oMath>
            <w:r w:rsidRPr="00813AD8">
              <w:t xml:space="preserve"> SD)</w:t>
            </w:r>
          </w:p>
        </w:tc>
        <w:tc>
          <w:tcPr>
            <w:tcW w:w="2459" w:type="dxa"/>
            <w:tcBorders>
              <w:top w:val="single" w:sz="4" w:space="0" w:color="auto"/>
              <w:bottom w:val="single" w:sz="4" w:space="0" w:color="auto"/>
            </w:tcBorders>
          </w:tcPr>
          <w:p w14:paraId="645D8D34" w14:textId="3FBE139B" w:rsidR="00124431" w:rsidRPr="00FC1023" w:rsidRDefault="00124431" w:rsidP="00124431">
            <w:pPr>
              <w:jc w:val="center"/>
              <w:rPr>
                <w:sz w:val="16"/>
                <w:szCs w:val="16"/>
              </w:rPr>
            </w:pPr>
            <w:r w:rsidRPr="00813AD8">
              <w:t>Absolute MAE (</w:t>
            </w:r>
            <m:oMath>
              <m:r>
                <w:rPr>
                  <w:rFonts w:ascii="Cambria Math" w:hAnsi="Cambria Math"/>
                </w:rPr>
                <m:t>±</m:t>
              </m:r>
            </m:oMath>
            <w:r w:rsidRPr="00813AD8">
              <w:t xml:space="preserve"> SD)</w:t>
            </w:r>
          </w:p>
        </w:tc>
        <w:tc>
          <w:tcPr>
            <w:tcW w:w="1214" w:type="dxa"/>
            <w:tcBorders>
              <w:top w:val="single" w:sz="4" w:space="0" w:color="auto"/>
              <w:bottom w:val="single" w:sz="4" w:space="0" w:color="auto"/>
            </w:tcBorders>
          </w:tcPr>
          <w:p w14:paraId="53EF7973" w14:textId="6527AC21" w:rsidR="00124431" w:rsidRPr="00FC1023" w:rsidRDefault="00124431" w:rsidP="00124431">
            <w:pPr>
              <w:jc w:val="center"/>
              <w:rPr>
                <w:sz w:val="16"/>
                <w:szCs w:val="16"/>
              </w:rPr>
            </w:pPr>
            <w:r w:rsidRPr="00813AD8">
              <w:t>MAPE (%)</w:t>
            </w:r>
          </w:p>
        </w:tc>
      </w:tr>
      <w:tr w:rsidR="00124431" w:rsidRPr="00FC1023" w14:paraId="32AD3C51" w14:textId="2513212C" w:rsidTr="00124431">
        <w:trPr>
          <w:jc w:val="center"/>
        </w:trPr>
        <w:tc>
          <w:tcPr>
            <w:tcW w:w="2207" w:type="dxa"/>
            <w:tcBorders>
              <w:top w:val="single" w:sz="4" w:space="0" w:color="auto"/>
            </w:tcBorders>
          </w:tcPr>
          <w:p w14:paraId="13ACBF30" w14:textId="1FD31716" w:rsidR="00124431" w:rsidRPr="00FC1023" w:rsidRDefault="00124431" w:rsidP="00124431">
            <w:pPr>
              <w:jc w:val="center"/>
              <w:rPr>
                <w:sz w:val="16"/>
                <w:szCs w:val="16"/>
              </w:rPr>
            </w:pPr>
            <w:r w:rsidRPr="00813AD8">
              <w:t>Ensemble Base (XGB)</w:t>
            </w:r>
          </w:p>
        </w:tc>
        <w:tc>
          <w:tcPr>
            <w:tcW w:w="2280" w:type="dxa"/>
            <w:tcBorders>
              <w:top w:val="single" w:sz="4" w:space="0" w:color="auto"/>
            </w:tcBorders>
          </w:tcPr>
          <w:p w14:paraId="652F4091" w14:textId="0DFD9D7D" w:rsidR="00124431" w:rsidRPr="00FC1023" w:rsidRDefault="00124431" w:rsidP="00124431">
            <w:pPr>
              <w:jc w:val="center"/>
              <w:rPr>
                <w:sz w:val="16"/>
                <w:szCs w:val="16"/>
              </w:rPr>
            </w:pPr>
            <w:r w:rsidRPr="00813AD8">
              <w:t xml:space="preserve">0.1524 </w:t>
            </w:r>
            <m:oMath>
              <m:r>
                <w:rPr>
                  <w:rFonts w:ascii="Cambria Math" w:hAnsi="Cambria Math"/>
                </w:rPr>
                <m:t>±</m:t>
              </m:r>
            </m:oMath>
            <w:r w:rsidRPr="00813AD8">
              <w:t xml:space="preserve"> 0.0068</w:t>
            </w:r>
          </w:p>
        </w:tc>
        <w:tc>
          <w:tcPr>
            <w:tcW w:w="2459" w:type="dxa"/>
            <w:tcBorders>
              <w:top w:val="single" w:sz="4" w:space="0" w:color="auto"/>
            </w:tcBorders>
          </w:tcPr>
          <w:p w14:paraId="60CCFA5A" w14:textId="5DA47AC7" w:rsidR="00124431" w:rsidRPr="00FC1023" w:rsidRDefault="00124431" w:rsidP="00124431">
            <w:pPr>
              <w:jc w:val="center"/>
              <w:rPr>
                <w:sz w:val="16"/>
                <w:szCs w:val="16"/>
              </w:rPr>
            </w:pPr>
            <w:r w:rsidRPr="00813AD8">
              <w:t xml:space="preserve">0.1260 </w:t>
            </w:r>
            <m:oMath>
              <m:r>
                <w:rPr>
                  <w:rFonts w:ascii="Cambria Math" w:hAnsi="Cambria Math"/>
                </w:rPr>
                <m:t>±</m:t>
              </m:r>
            </m:oMath>
            <w:r w:rsidRPr="00813AD8">
              <w:t xml:space="preserve"> 0.0055</w:t>
            </w:r>
          </w:p>
        </w:tc>
        <w:tc>
          <w:tcPr>
            <w:tcW w:w="1214" w:type="dxa"/>
            <w:tcBorders>
              <w:top w:val="single" w:sz="4" w:space="0" w:color="auto"/>
            </w:tcBorders>
          </w:tcPr>
          <w:p w14:paraId="69EC5A24" w14:textId="1472BFC9" w:rsidR="00124431" w:rsidRPr="00FC1023" w:rsidRDefault="00124431" w:rsidP="00124431">
            <w:pPr>
              <w:jc w:val="center"/>
              <w:rPr>
                <w:sz w:val="16"/>
                <w:szCs w:val="16"/>
              </w:rPr>
            </w:pPr>
            <w:r w:rsidRPr="00813AD8">
              <w:t>16.50%</w:t>
            </w:r>
          </w:p>
        </w:tc>
      </w:tr>
      <w:tr w:rsidR="00124431" w:rsidRPr="00FC1023" w14:paraId="2E7F9EF6" w14:textId="2B4B0A05" w:rsidTr="00124431">
        <w:trPr>
          <w:jc w:val="center"/>
        </w:trPr>
        <w:tc>
          <w:tcPr>
            <w:tcW w:w="2207" w:type="dxa"/>
          </w:tcPr>
          <w:p w14:paraId="3AEFBF4D" w14:textId="1E67931C" w:rsidR="00124431" w:rsidRPr="00FC1023" w:rsidRDefault="00124431" w:rsidP="00124431">
            <w:pPr>
              <w:jc w:val="center"/>
              <w:rPr>
                <w:sz w:val="16"/>
                <w:szCs w:val="16"/>
              </w:rPr>
            </w:pPr>
            <w:r w:rsidRPr="00813AD8">
              <w:t>Informer (Attention)</w:t>
            </w:r>
          </w:p>
        </w:tc>
        <w:tc>
          <w:tcPr>
            <w:tcW w:w="2280" w:type="dxa"/>
          </w:tcPr>
          <w:p w14:paraId="1A8AB894" w14:textId="419AB394" w:rsidR="00124431" w:rsidRPr="00FC1023" w:rsidRDefault="00124431" w:rsidP="00124431">
            <w:pPr>
              <w:jc w:val="center"/>
              <w:rPr>
                <w:sz w:val="16"/>
                <w:szCs w:val="16"/>
              </w:rPr>
            </w:pPr>
            <w:r w:rsidRPr="00813AD8">
              <w:t xml:space="preserve">0.1321 </w:t>
            </w:r>
            <m:oMath>
              <m:r>
                <w:rPr>
                  <w:rFonts w:ascii="Cambria Math" w:hAnsi="Cambria Math"/>
                </w:rPr>
                <m:t>±</m:t>
              </m:r>
            </m:oMath>
            <w:r w:rsidRPr="00813AD8">
              <w:t xml:space="preserve"> 0.0081</w:t>
            </w:r>
          </w:p>
        </w:tc>
        <w:tc>
          <w:tcPr>
            <w:tcW w:w="2459" w:type="dxa"/>
          </w:tcPr>
          <w:p w14:paraId="56D7C3CE" w14:textId="21F996D9" w:rsidR="00124431" w:rsidRPr="00FC1023" w:rsidRDefault="00124431" w:rsidP="00124431">
            <w:pPr>
              <w:jc w:val="center"/>
              <w:rPr>
                <w:sz w:val="16"/>
                <w:szCs w:val="16"/>
              </w:rPr>
            </w:pPr>
            <w:r w:rsidRPr="00813AD8">
              <w:t xml:space="preserve">0.1119 </w:t>
            </w:r>
            <m:oMath>
              <m:r>
                <w:rPr>
                  <w:rFonts w:ascii="Cambria Math" w:hAnsi="Cambria Math"/>
                </w:rPr>
                <m:t>±</m:t>
              </m:r>
            </m:oMath>
            <w:r w:rsidRPr="00813AD8">
              <w:t xml:space="preserve"> 0.0072</w:t>
            </w:r>
          </w:p>
        </w:tc>
        <w:tc>
          <w:tcPr>
            <w:tcW w:w="1214" w:type="dxa"/>
          </w:tcPr>
          <w:p w14:paraId="78CC2DB7" w14:textId="5E46A0E2" w:rsidR="00124431" w:rsidRPr="00FC1023" w:rsidRDefault="00124431" w:rsidP="00124431">
            <w:pPr>
              <w:jc w:val="center"/>
              <w:rPr>
                <w:sz w:val="16"/>
                <w:szCs w:val="16"/>
              </w:rPr>
            </w:pPr>
            <w:r w:rsidRPr="00813AD8">
              <w:t>14.82%</w:t>
            </w:r>
          </w:p>
        </w:tc>
      </w:tr>
      <w:tr w:rsidR="00124431" w:rsidRPr="00FC1023" w14:paraId="3595B528" w14:textId="4C02C5C2" w:rsidTr="00124431">
        <w:trPr>
          <w:jc w:val="center"/>
        </w:trPr>
        <w:tc>
          <w:tcPr>
            <w:tcW w:w="2207" w:type="dxa"/>
          </w:tcPr>
          <w:p w14:paraId="71021722" w14:textId="73712F86" w:rsidR="00124431" w:rsidRPr="00FC1023" w:rsidRDefault="00124431" w:rsidP="00124431">
            <w:pPr>
              <w:jc w:val="center"/>
              <w:rPr>
                <w:sz w:val="16"/>
                <w:szCs w:val="16"/>
              </w:rPr>
            </w:pPr>
            <w:r w:rsidRPr="00813AD8">
              <w:t>LSTM Topography</w:t>
            </w:r>
          </w:p>
        </w:tc>
        <w:tc>
          <w:tcPr>
            <w:tcW w:w="2280" w:type="dxa"/>
          </w:tcPr>
          <w:p w14:paraId="783E7666" w14:textId="26122B64" w:rsidR="00124431" w:rsidRPr="00FC1023" w:rsidRDefault="00124431" w:rsidP="00124431">
            <w:pPr>
              <w:jc w:val="center"/>
              <w:rPr>
                <w:sz w:val="16"/>
                <w:szCs w:val="16"/>
              </w:rPr>
            </w:pPr>
            <w:r w:rsidRPr="00813AD8">
              <w:t xml:space="preserve">0.1145 </w:t>
            </w:r>
            <m:oMath>
              <m:r>
                <w:rPr>
                  <w:rFonts w:ascii="Cambria Math" w:hAnsi="Cambria Math"/>
                </w:rPr>
                <m:t>±</m:t>
              </m:r>
            </m:oMath>
            <w:r w:rsidRPr="00813AD8">
              <w:t xml:space="preserve"> 0.0051</w:t>
            </w:r>
          </w:p>
        </w:tc>
        <w:tc>
          <w:tcPr>
            <w:tcW w:w="2459" w:type="dxa"/>
          </w:tcPr>
          <w:p w14:paraId="0F511B6C" w14:textId="71CD5555" w:rsidR="00124431" w:rsidRPr="00FC1023" w:rsidRDefault="00124431" w:rsidP="00124431">
            <w:pPr>
              <w:jc w:val="center"/>
              <w:rPr>
                <w:sz w:val="16"/>
                <w:szCs w:val="16"/>
              </w:rPr>
            </w:pPr>
            <w:r w:rsidRPr="00813AD8">
              <w:t xml:space="preserve">0.1008 </w:t>
            </w:r>
            <m:oMath>
              <m:r>
                <w:rPr>
                  <w:rFonts w:ascii="Cambria Math" w:hAnsi="Cambria Math"/>
                </w:rPr>
                <m:t>±</m:t>
              </m:r>
            </m:oMath>
            <w:r w:rsidRPr="00813AD8">
              <w:t xml:space="preserve"> 0.0042</w:t>
            </w:r>
          </w:p>
        </w:tc>
        <w:tc>
          <w:tcPr>
            <w:tcW w:w="1214" w:type="dxa"/>
          </w:tcPr>
          <w:p w14:paraId="21697C1E" w14:textId="35E42873" w:rsidR="00124431" w:rsidRPr="00FC1023" w:rsidRDefault="00124431" w:rsidP="00124431">
            <w:pPr>
              <w:jc w:val="center"/>
              <w:rPr>
                <w:sz w:val="16"/>
                <w:szCs w:val="16"/>
              </w:rPr>
            </w:pPr>
            <w:r w:rsidRPr="00813AD8">
              <w:t>13.96%</w:t>
            </w:r>
          </w:p>
        </w:tc>
      </w:tr>
      <w:tr w:rsidR="00124431" w:rsidRPr="00FC1023" w14:paraId="759D5A25" w14:textId="66CB602A" w:rsidTr="00124431">
        <w:trPr>
          <w:jc w:val="center"/>
        </w:trPr>
        <w:tc>
          <w:tcPr>
            <w:tcW w:w="2207" w:type="dxa"/>
          </w:tcPr>
          <w:p w14:paraId="036AD73E" w14:textId="0CF09CD5" w:rsidR="00124431" w:rsidRPr="00FC1023" w:rsidRDefault="00124431" w:rsidP="00124431">
            <w:pPr>
              <w:jc w:val="center"/>
              <w:rPr>
                <w:sz w:val="16"/>
                <w:szCs w:val="16"/>
              </w:rPr>
            </w:pPr>
            <w:r w:rsidRPr="00813AD8">
              <w:t>GRU Mechanism</w:t>
            </w:r>
          </w:p>
        </w:tc>
        <w:tc>
          <w:tcPr>
            <w:tcW w:w="2280" w:type="dxa"/>
          </w:tcPr>
          <w:p w14:paraId="34D0085E" w14:textId="14B97EA5" w:rsidR="00124431" w:rsidRPr="00FC1023" w:rsidRDefault="00124431" w:rsidP="00124431">
            <w:pPr>
              <w:jc w:val="center"/>
              <w:rPr>
                <w:sz w:val="16"/>
                <w:szCs w:val="16"/>
              </w:rPr>
            </w:pPr>
            <w:r w:rsidRPr="00813AD8">
              <w:t xml:space="preserve">0.1058 </w:t>
            </w:r>
            <m:oMath>
              <m:r>
                <w:rPr>
                  <w:rFonts w:ascii="Cambria Math" w:hAnsi="Cambria Math"/>
                </w:rPr>
                <m:t>±</m:t>
              </m:r>
            </m:oMath>
            <w:r w:rsidRPr="00813AD8">
              <w:t xml:space="preserve"> 0.0034</w:t>
            </w:r>
          </w:p>
        </w:tc>
        <w:tc>
          <w:tcPr>
            <w:tcW w:w="2459" w:type="dxa"/>
          </w:tcPr>
          <w:p w14:paraId="2BDDC362" w14:textId="09D6AAA4" w:rsidR="00124431" w:rsidRPr="00FC1023" w:rsidRDefault="00124431" w:rsidP="00124431">
            <w:pPr>
              <w:jc w:val="center"/>
              <w:rPr>
                <w:sz w:val="16"/>
                <w:szCs w:val="16"/>
              </w:rPr>
            </w:pPr>
            <w:r w:rsidRPr="00813AD8">
              <w:t xml:space="preserve">0.0948 </w:t>
            </w:r>
            <m:oMath>
              <m:r>
                <w:rPr>
                  <w:rFonts w:ascii="Cambria Math" w:hAnsi="Cambria Math"/>
                </w:rPr>
                <m:t>±</m:t>
              </m:r>
            </m:oMath>
            <w:r w:rsidRPr="00813AD8">
              <w:t xml:space="preserve"> 0.0028</w:t>
            </w:r>
          </w:p>
        </w:tc>
        <w:tc>
          <w:tcPr>
            <w:tcW w:w="1214" w:type="dxa"/>
          </w:tcPr>
          <w:p w14:paraId="23352039" w14:textId="37BFAA81" w:rsidR="00124431" w:rsidRPr="00FC1023" w:rsidRDefault="00124431" w:rsidP="00124431">
            <w:pPr>
              <w:jc w:val="center"/>
              <w:rPr>
                <w:sz w:val="16"/>
                <w:szCs w:val="16"/>
              </w:rPr>
            </w:pPr>
            <w:r w:rsidRPr="00813AD8">
              <w:t>13.13%</w:t>
            </w:r>
          </w:p>
        </w:tc>
      </w:tr>
    </w:tbl>
    <w:p w14:paraId="10F513BF" w14:textId="77777777" w:rsidR="00124431" w:rsidRDefault="00124431" w:rsidP="00124431">
      <w:pPr>
        <w:spacing w:after="60"/>
        <w:ind w:firstLine="216"/>
        <w:jc w:val="both"/>
      </w:pPr>
    </w:p>
    <w:p w14:paraId="381C3B80" w14:textId="138A271A" w:rsidR="0066228A" w:rsidRPr="00FC1023" w:rsidRDefault="0066228A" w:rsidP="0066228A">
      <w:pPr>
        <w:rPr>
          <w:b/>
          <w:bCs/>
        </w:rPr>
      </w:pPr>
      <w:r>
        <w:rPr>
          <w:b/>
        </w:rPr>
        <w:t>3.2.  Error Distributions and Macro-Regime Anomalies</w:t>
      </w:r>
    </w:p>
    <w:p w14:paraId="03EFE5CF" w14:textId="77777777" w:rsidR="0066228A" w:rsidRDefault="0066228A" w:rsidP="0066228A">
      <w:pPr>
        <w:spacing w:after="60"/>
        <w:ind w:firstLine="216"/>
        <w:jc w:val="both"/>
      </w:pPr>
      <m:oMath>
        <m:r>
          <w:rPr>
            <w:rFonts w:ascii="Cambria Math" w:hAnsi="Cambria Math"/>
          </w:rPr>
          <m:t>σ</m:t>
        </m:r>
      </m:oMath>
      <w:r>
        <w:t>All models exhibited failure during macro-regime shocks exceeding ±3σ deviations — notably the Terra-Luna collapse (May 2022) — where price variance exceeded training distributions and statistical inference broke down, underscoring the need for exogenous sentiment integration in future work.</w:t>
      </w:r>
    </w:p>
    <w:p w14:paraId="65B52358" w14:textId="77777777" w:rsidR="0066228A" w:rsidRDefault="0066228A" w:rsidP="0066228A">
      <w:pPr>
        <w:spacing w:after="60"/>
        <w:ind w:firstLine="216"/>
        <w:jc w:val="both"/>
      </w:pPr>
    </w:p>
    <w:p w14:paraId="254FD5D2" w14:textId="77777777" w:rsidR="0066228A" w:rsidRDefault="0066228A" w:rsidP="0066228A">
      <w:pPr>
        <w:spacing w:before="60" w:after="30"/>
        <w:jc w:val="center"/>
      </w:pPr>
      <w:r>
        <w:rPr>
          <w:noProof/>
        </w:rPr>
        <w:drawing>
          <wp:inline distT="0" distB="0" distL="0" distR="0" wp14:anchorId="334721AE" wp14:editId="50953A9B">
            <wp:extent cx="3882323" cy="1422943"/>
            <wp:effectExtent l="0" t="0" r="4445" b="6350"/>
            <wp:docPr id="1141144884"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896955" cy="1428306"/>
                    </a:xfrm>
                    <a:prstGeom prst="rect">
                      <a:avLst/>
                    </a:prstGeom>
                  </pic:spPr>
                </pic:pic>
              </a:graphicData>
            </a:graphic>
          </wp:inline>
        </w:drawing>
      </w:r>
    </w:p>
    <w:p w14:paraId="7A50208D" w14:textId="77777777" w:rsidR="0066228A" w:rsidRDefault="0066228A" w:rsidP="0066228A">
      <w:pPr>
        <w:spacing w:after="60"/>
        <w:ind w:firstLine="216"/>
        <w:jc w:val="both"/>
      </w:pPr>
    </w:p>
    <w:p w14:paraId="4106F45F" w14:textId="1DCDC6CB" w:rsidR="0066228A" w:rsidRDefault="0066228A" w:rsidP="0066228A">
      <w:pPr>
        <w:spacing w:after="60"/>
        <w:ind w:firstLine="216"/>
        <w:jc w:val="center"/>
      </w:pPr>
      <w:r>
        <w:t>Figure 3. Statistical configuration distribution illustrating localized error clusters surrounding baseline GRU boundaries against extreme +3</w:t>
      </w:r>
      <m:oMath>
        <m:r>
          <w:rPr>
            <w:rFonts w:ascii="Cambria Math" w:hAnsi="Cambria Math"/>
          </w:rPr>
          <m:t>σ</m:t>
        </m:r>
      </m:oMath>
      <w:r>
        <w:t xml:space="preserve"> tail-ends.</w:t>
      </w:r>
    </w:p>
    <w:p w14:paraId="3780ECD7" w14:textId="77777777" w:rsidR="0066228A" w:rsidRDefault="0066228A" w:rsidP="0066228A">
      <w:pPr>
        <w:spacing w:after="60"/>
        <w:ind w:firstLine="216"/>
        <w:jc w:val="both"/>
      </w:pPr>
    </w:p>
    <w:p w14:paraId="5E21DEB2" w14:textId="569D9FCF" w:rsidR="00942670" w:rsidRPr="00FC1023" w:rsidRDefault="00942670" w:rsidP="00942670">
      <w:pPr>
        <w:rPr>
          <w:b/>
          <w:bCs/>
        </w:rPr>
      </w:pPr>
      <w:r>
        <w:rPr>
          <w:b/>
        </w:rPr>
        <w:t>3.3.  Operational Microsoft Power BI Prototype Verification</w:t>
      </w:r>
    </w:p>
    <w:p w14:paraId="5D2B3C1A" w14:textId="768FC898" w:rsidR="00942670" w:rsidRDefault="00942670" w:rsidP="00942670">
      <w:pPr>
        <w:spacing w:after="60"/>
        <w:ind w:firstLine="216"/>
        <w:jc w:val="both"/>
      </w:pPr>
      <w:r>
        <w:t>Table 2 presents BI dashboard KPI metrics. All four models are rendered as live tiles in real time (mean latency: 1.2 s per fold). Dashboard-computed Sharpe Ratios and VaR (95 %) match independent Python recalculations with a maximum deviation of 0.003.</w:t>
      </w:r>
    </w:p>
    <w:p w14:paraId="44DBE923" w14:textId="77777777" w:rsidR="00942670" w:rsidRDefault="00942670" w:rsidP="00942670">
      <w:pPr>
        <w:spacing w:after="60"/>
        <w:ind w:firstLine="216"/>
        <w:jc w:val="both"/>
      </w:pPr>
      <w:r>
        <w:t xml:space="preserve">KPI Fidelity: Dashboard-computed Sharpe Ratios and </w:t>
      </w:r>
      <w:proofErr w:type="spellStart"/>
      <w:r>
        <w:t>VaR</w:t>
      </w:r>
      <w:proofErr w:type="spellEnd"/>
      <w:r>
        <w:t xml:space="preserve"> (95%) figures are validated against independent Python recalculations across all Walk-Forward folds. Maximum absolute deviation observed: 0.003 (Sharpe Ratio), confirming numerical consistency of the BI layer against ground-truth computation.</w:t>
      </w:r>
    </w:p>
    <w:p w14:paraId="438BBDDB" w14:textId="77777777" w:rsidR="00942670" w:rsidRDefault="00942670" w:rsidP="00942670">
      <w:pPr>
        <w:spacing w:after="60"/>
        <w:ind w:firstLine="216"/>
        <w:jc w:val="both"/>
      </w:pPr>
      <w:r>
        <w:t>Usability (SUS): The dashboard was assessed using the 10-item System Usability Scale (SUS) [39] with 15 evaluators (10 postgraduate students, 5 financial practitioners). The mean SUS score of 86.4 (SD = 3.2) places the prototype in the Excellent tier per Bangor et al. [40].</w:t>
      </w:r>
    </w:p>
    <w:p w14:paraId="33473E88" w14:textId="77777777" w:rsidR="00942670" w:rsidRDefault="00942670" w:rsidP="00942670">
      <w:pPr>
        <w:spacing w:after="60"/>
        <w:ind w:firstLine="216"/>
        <w:jc w:val="both"/>
      </w:pPr>
    </w:p>
    <w:p w14:paraId="0BD634E8" w14:textId="5EC2094E" w:rsidR="00942670" w:rsidRPr="00FC1023" w:rsidRDefault="00942670" w:rsidP="00942670">
      <w:pPr>
        <w:jc w:val="center"/>
      </w:pPr>
      <w:r w:rsidRPr="00FC1023">
        <w:t xml:space="preserve">Table </w:t>
      </w:r>
      <w:r>
        <w:t>2</w:t>
      </w:r>
      <w:r w:rsidRPr="00FC1023">
        <w:t xml:space="preserve">. </w:t>
      </w:r>
      <w:r w:rsidRPr="00942670">
        <w:t xml:space="preserve">KPI Dashboard (Sharpe, </w:t>
      </w:r>
      <w:proofErr w:type="spellStart"/>
      <w:r w:rsidRPr="00942670">
        <w:t>VaR</w:t>
      </w:r>
      <w:proofErr w:type="spellEnd"/>
      <w:r w:rsidRPr="00942670">
        <w:t>, Dir. Acc.)</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003"/>
        <w:gridCol w:w="1670"/>
      </w:tblGrid>
      <w:tr w:rsidR="00E9319D" w:rsidRPr="00FC1023" w14:paraId="691ED0AB" w14:textId="77777777" w:rsidTr="00E9319D">
        <w:trPr>
          <w:jc w:val="center"/>
        </w:trPr>
        <w:tc>
          <w:tcPr>
            <w:tcW w:w="2207" w:type="dxa"/>
            <w:tcBorders>
              <w:top w:val="single" w:sz="4" w:space="0" w:color="auto"/>
              <w:bottom w:val="single" w:sz="4" w:space="0" w:color="auto"/>
            </w:tcBorders>
          </w:tcPr>
          <w:p w14:paraId="33B86400" w14:textId="4B6239B5" w:rsidR="00E9319D" w:rsidRPr="00FC1023" w:rsidRDefault="00E9319D" w:rsidP="00E9319D">
            <w:pPr>
              <w:jc w:val="center"/>
              <w:rPr>
                <w:sz w:val="16"/>
                <w:szCs w:val="16"/>
              </w:rPr>
            </w:pPr>
            <w:r w:rsidRPr="00F01AD7">
              <w:t>System Output</w:t>
            </w:r>
          </w:p>
        </w:tc>
        <w:tc>
          <w:tcPr>
            <w:tcW w:w="2280" w:type="dxa"/>
            <w:tcBorders>
              <w:top w:val="single" w:sz="4" w:space="0" w:color="auto"/>
              <w:bottom w:val="single" w:sz="4" w:space="0" w:color="auto"/>
            </w:tcBorders>
          </w:tcPr>
          <w:p w14:paraId="43E124EC" w14:textId="19C27E0F" w:rsidR="00E9319D" w:rsidRPr="00FC1023" w:rsidRDefault="00E9319D" w:rsidP="00E9319D">
            <w:pPr>
              <w:jc w:val="center"/>
              <w:rPr>
                <w:sz w:val="16"/>
                <w:szCs w:val="16"/>
              </w:rPr>
            </w:pPr>
            <w:proofErr w:type="spellStart"/>
            <w:r w:rsidRPr="00F01AD7">
              <w:t>XGBoost</w:t>
            </w:r>
            <w:proofErr w:type="spellEnd"/>
            <w:r w:rsidRPr="00F01AD7">
              <w:t xml:space="preserve"> </w:t>
            </w:r>
            <m:oMath>
              <m:r>
                <w:rPr>
                  <w:rFonts w:ascii="Cambria Math" w:hAnsi="Cambria Math"/>
                </w:rPr>
                <m:t>±</m:t>
              </m:r>
            </m:oMath>
          </w:p>
        </w:tc>
        <w:tc>
          <w:tcPr>
            <w:tcW w:w="2003" w:type="dxa"/>
            <w:tcBorders>
              <w:top w:val="single" w:sz="4" w:space="0" w:color="auto"/>
              <w:bottom w:val="single" w:sz="4" w:space="0" w:color="auto"/>
            </w:tcBorders>
          </w:tcPr>
          <w:p w14:paraId="2F52522B" w14:textId="2BCC228B" w:rsidR="00E9319D" w:rsidRPr="00FC1023" w:rsidRDefault="00E9319D" w:rsidP="00E9319D">
            <w:pPr>
              <w:jc w:val="center"/>
              <w:rPr>
                <w:sz w:val="16"/>
                <w:szCs w:val="16"/>
              </w:rPr>
            </w:pPr>
            <w:r w:rsidRPr="00F01AD7">
              <w:t xml:space="preserve">Informer </w:t>
            </w:r>
            <m:oMath>
              <m:r>
                <w:rPr>
                  <w:rFonts w:ascii="Cambria Math" w:hAnsi="Cambria Math"/>
                </w:rPr>
                <m:t>±</m:t>
              </m:r>
            </m:oMath>
          </w:p>
        </w:tc>
        <w:tc>
          <w:tcPr>
            <w:tcW w:w="1670" w:type="dxa"/>
            <w:tcBorders>
              <w:top w:val="single" w:sz="4" w:space="0" w:color="auto"/>
              <w:bottom w:val="single" w:sz="4" w:space="0" w:color="auto"/>
            </w:tcBorders>
          </w:tcPr>
          <w:p w14:paraId="04270CB3" w14:textId="7B7B4C33" w:rsidR="00E9319D" w:rsidRPr="00FC1023" w:rsidRDefault="00E9319D" w:rsidP="00E9319D">
            <w:pPr>
              <w:jc w:val="center"/>
              <w:rPr>
                <w:sz w:val="16"/>
                <w:szCs w:val="16"/>
              </w:rPr>
            </w:pPr>
            <w:r w:rsidRPr="00F01AD7">
              <w:t xml:space="preserve">LSTM </w:t>
            </w:r>
            <m:oMath>
              <m:r>
                <w:rPr>
                  <w:rFonts w:ascii="Cambria Math" w:hAnsi="Cambria Math"/>
                </w:rPr>
                <m:t>±</m:t>
              </m:r>
            </m:oMath>
          </w:p>
        </w:tc>
        <w:tc>
          <w:tcPr>
            <w:tcW w:w="1670" w:type="dxa"/>
            <w:tcBorders>
              <w:top w:val="single" w:sz="4" w:space="0" w:color="auto"/>
              <w:bottom w:val="single" w:sz="4" w:space="0" w:color="auto"/>
            </w:tcBorders>
          </w:tcPr>
          <w:p w14:paraId="04270CB3" w14:textId="7B7B4C33" w:rsidR="00E9319D" w:rsidRPr="00FC1023" w:rsidRDefault="00E9319D" w:rsidP="00E9319D">
            <w:pPr>
              <w:jc w:val="center"/>
              <w:rPr>
                <w:sz w:val="16"/>
                <w:szCs w:val="16"/>
              </w:rPr>
            </w:pPr>
            <m:oMath>
              <m:r>
                <w:rPr>
                  <w:rFonts w:ascii="Cambria Math" w:hAnsi="Cambria Math"/>
                </w:rPr>
                <m:t>±</m:t>
              </m:r>
            </m:oMath>
            <w:r>
              <w:t>GRU</w:t>
            </w:r>
          </w:p>
        </w:tc>
      </w:tr>
      <w:tr w:rsidR="00E9319D" w:rsidRPr="00FC1023" w14:paraId="42E62EB3" w14:textId="77777777" w:rsidTr="00E9319D">
        <w:trPr>
          <w:jc w:val="center"/>
        </w:trPr>
        <w:tc>
          <w:tcPr>
            <w:tcW w:w="2207" w:type="dxa"/>
            <w:tcBorders>
              <w:top w:val="single" w:sz="4" w:space="0" w:color="auto"/>
            </w:tcBorders>
          </w:tcPr>
          <w:p w14:paraId="5E381F50" w14:textId="39D667D9" w:rsidR="00E9319D" w:rsidRPr="00FC1023" w:rsidRDefault="00E9319D" w:rsidP="00E9319D">
            <w:pPr>
              <w:jc w:val="center"/>
              <w:rPr>
                <w:sz w:val="16"/>
                <w:szCs w:val="16"/>
              </w:rPr>
            </w:pPr>
            <w:r w:rsidRPr="00F01AD7">
              <w:t>Direction Acc.</w:t>
            </w:r>
          </w:p>
        </w:tc>
        <w:tc>
          <w:tcPr>
            <w:tcW w:w="2280" w:type="dxa"/>
            <w:tcBorders>
              <w:top w:val="single" w:sz="4" w:space="0" w:color="auto"/>
            </w:tcBorders>
          </w:tcPr>
          <w:p w14:paraId="2A162F2F" w14:textId="4461F99B" w:rsidR="00E9319D" w:rsidRPr="00FC1023" w:rsidRDefault="00E9319D" w:rsidP="00E9319D">
            <w:pPr>
              <w:jc w:val="center"/>
              <w:rPr>
                <w:sz w:val="16"/>
                <w:szCs w:val="16"/>
              </w:rPr>
            </w:pPr>
            <w:r w:rsidRPr="00F01AD7">
              <w:t xml:space="preserve">58.4% </w:t>
            </w:r>
            <m:oMath>
              <m:r>
                <w:rPr>
                  <w:rFonts w:ascii="Cambria Math" w:hAnsi="Cambria Math"/>
                </w:rPr>
                <m:t>±</m:t>
              </m:r>
            </m:oMath>
            <w:r w:rsidRPr="00F01AD7">
              <w:t xml:space="preserve"> 2.8%</w:t>
            </w:r>
          </w:p>
        </w:tc>
        <w:tc>
          <w:tcPr>
            <w:tcW w:w="2003" w:type="dxa"/>
            <w:tcBorders>
              <w:top w:val="single" w:sz="4" w:space="0" w:color="auto"/>
            </w:tcBorders>
          </w:tcPr>
          <w:p w14:paraId="301CDFDD" w14:textId="34336E9A" w:rsidR="00E9319D" w:rsidRPr="00FC1023" w:rsidRDefault="00E9319D" w:rsidP="00E9319D">
            <w:pPr>
              <w:jc w:val="center"/>
              <w:rPr>
                <w:sz w:val="16"/>
                <w:szCs w:val="16"/>
              </w:rPr>
            </w:pPr>
            <w:r w:rsidRPr="00F01AD7">
              <w:t xml:space="preserve">64.1% </w:t>
            </w:r>
            <m:oMath>
              <m:r>
                <w:rPr>
                  <w:rFonts w:ascii="Cambria Math" w:hAnsi="Cambria Math"/>
                </w:rPr>
                <m:t>±</m:t>
              </m:r>
            </m:oMath>
            <w:r w:rsidRPr="00F01AD7">
              <w:t xml:space="preserve"> 2.5%</w:t>
            </w:r>
          </w:p>
        </w:tc>
        <w:tc>
          <w:tcPr>
            <w:tcW w:w="1670" w:type="dxa"/>
            <w:tcBorders>
              <w:top w:val="single" w:sz="4" w:space="0" w:color="auto"/>
            </w:tcBorders>
          </w:tcPr>
          <w:p w14:paraId="5EC4E731" w14:textId="6216E873" w:rsidR="00E9319D" w:rsidRPr="00FC1023" w:rsidRDefault="00E9319D" w:rsidP="00E9319D">
            <w:pPr>
              <w:jc w:val="center"/>
              <w:rPr>
                <w:sz w:val="16"/>
                <w:szCs w:val="16"/>
              </w:rPr>
            </w:pPr>
            <w:r w:rsidRPr="00F01AD7">
              <w:t xml:space="preserve">72.3% </w:t>
            </w:r>
            <m:oMath>
              <m:r>
                <w:rPr>
                  <w:rFonts w:ascii="Cambria Math" w:hAnsi="Cambria Math"/>
                </w:rPr>
                <m:t>±</m:t>
              </m:r>
            </m:oMath>
            <w:r w:rsidRPr="00F01AD7">
              <w:t xml:space="preserve"> 1.5%</w:t>
            </w:r>
          </w:p>
        </w:tc>
        <w:tc>
          <w:tcPr>
            <w:tcW w:w="1670" w:type="dxa"/>
            <w:tcBorders>
              <w:top w:val="single" w:sz="4" w:space="0" w:color="auto"/>
            </w:tcBorders>
          </w:tcPr>
          <w:p w14:paraId="5EC4E731" w14:textId="6216E873" w:rsidR="00E9319D" w:rsidRPr="00FC1023" w:rsidRDefault="00E9319D" w:rsidP="00E9319D">
            <w:pPr>
              <w:jc w:val="center"/>
              <w:rPr>
                <w:sz w:val="16"/>
                <w:szCs w:val="16"/>
              </w:rPr>
            </w:pPr>
            <m:oMath>
              <m:r>
                <w:rPr>
                  <w:rFonts w:ascii="Cambria Math" w:hAnsi="Cambria Math"/>
                </w:rPr>
                <m:t>±</m:t>
              </m:r>
            </m:oMath>
            <w:r>
              <w:t xml:space="preserve">69.8% ± 1.8%</w:t>
            </w:r>
          </w:p>
        </w:tc>
      </w:tr>
      <w:tr w:rsidR="00E9319D" w:rsidRPr="00FC1023" w14:paraId="0D29E54A" w14:textId="77777777" w:rsidTr="00E9319D">
        <w:trPr>
          <w:jc w:val="center"/>
        </w:trPr>
        <w:tc>
          <w:tcPr>
            <w:tcW w:w="2207" w:type="dxa"/>
          </w:tcPr>
          <w:p w14:paraId="139A5216" w14:textId="4F6DCB31" w:rsidR="00E9319D" w:rsidRPr="00FC1023" w:rsidRDefault="00E9319D" w:rsidP="00E9319D">
            <w:pPr>
              <w:jc w:val="center"/>
              <w:rPr>
                <w:sz w:val="16"/>
                <w:szCs w:val="16"/>
              </w:rPr>
            </w:pPr>
            <w:r w:rsidRPr="00F01AD7">
              <w:t>Sharpe Ratio</w:t>
            </w:r>
          </w:p>
        </w:tc>
        <w:tc>
          <w:tcPr>
            <w:tcW w:w="2280" w:type="dxa"/>
          </w:tcPr>
          <w:p w14:paraId="224BCD4B" w14:textId="63CEDBF0" w:rsidR="00E9319D" w:rsidRPr="00FC1023" w:rsidRDefault="00E9319D" w:rsidP="00E9319D">
            <w:pPr>
              <w:jc w:val="center"/>
              <w:rPr>
                <w:sz w:val="16"/>
                <w:szCs w:val="16"/>
              </w:rPr>
            </w:pPr>
            <w:r w:rsidRPr="00F01AD7">
              <w:t xml:space="preserve">0.95 </w:t>
            </w:r>
            <m:oMath>
              <m:r>
                <w:rPr>
                  <w:rFonts w:ascii="Cambria Math" w:hAnsi="Cambria Math"/>
                </w:rPr>
                <m:t>±</m:t>
              </m:r>
            </m:oMath>
            <w:r w:rsidRPr="00F01AD7">
              <w:t xml:space="preserve"> 0.15</w:t>
            </w:r>
          </w:p>
        </w:tc>
        <w:tc>
          <w:tcPr>
            <w:tcW w:w="2003" w:type="dxa"/>
          </w:tcPr>
          <w:p w14:paraId="510F6BAB" w14:textId="1FC87DF7" w:rsidR="00E9319D" w:rsidRPr="00FC1023" w:rsidRDefault="00E9319D" w:rsidP="00E9319D">
            <w:pPr>
              <w:jc w:val="center"/>
              <w:rPr>
                <w:sz w:val="16"/>
                <w:szCs w:val="16"/>
              </w:rPr>
            </w:pPr>
            <w:r w:rsidRPr="00F01AD7">
              <w:t xml:space="preserve">1.12 </w:t>
            </w:r>
            <m:oMath>
              <m:r>
                <w:rPr>
                  <w:rFonts w:ascii="Cambria Math" w:hAnsi="Cambria Math"/>
                </w:rPr>
                <m:t>±</m:t>
              </m:r>
            </m:oMath>
            <w:r w:rsidRPr="00F01AD7">
              <w:t xml:space="preserve"> 0.20</w:t>
            </w:r>
          </w:p>
        </w:tc>
        <w:tc>
          <w:tcPr>
            <w:tcW w:w="1670" w:type="dxa"/>
          </w:tcPr>
          <w:p w14:paraId="57A26C84" w14:textId="03B7BD4D" w:rsidR="00E9319D" w:rsidRPr="00FC1023" w:rsidRDefault="00E9319D" w:rsidP="00E9319D">
            <w:pPr>
              <w:jc w:val="center"/>
              <w:rPr>
                <w:sz w:val="16"/>
                <w:szCs w:val="16"/>
              </w:rPr>
            </w:pPr>
            <w:r w:rsidRPr="00F01AD7">
              <w:t xml:space="preserve">1.45 </w:t>
            </w:r>
            <m:oMath>
              <m:r>
                <w:rPr>
                  <w:rFonts w:ascii="Cambria Math" w:hAnsi="Cambria Math"/>
                </w:rPr>
                <m:t>±</m:t>
              </m:r>
            </m:oMath>
            <w:r w:rsidRPr="00F01AD7">
              <w:t xml:space="preserve"> 0.10</w:t>
            </w:r>
          </w:p>
        </w:tc>
        <w:tc>
          <w:tcPr>
            <w:tcW w:w="1670" w:type="dxa"/>
          </w:tcPr>
          <w:p w14:paraId="57A26C84" w14:textId="03B7BD4D" w:rsidR="00E9319D" w:rsidRPr="00FC1023" w:rsidRDefault="00E9319D" w:rsidP="00E9319D">
            <w:pPr>
              <w:jc w:val="center"/>
              <w:rPr>
                <w:sz w:val="16"/>
                <w:szCs w:val="16"/>
              </w:rPr>
            </w:pPr>
            <m:oMath>
              <m:r>
                <w:rPr>
                  <w:rFonts w:ascii="Cambria Math" w:hAnsi="Cambria Math"/>
                </w:rPr>
                <m:t>±</m:t>
              </m:r>
            </m:oMath>
            <w:r>
              <w:t xml:space="preserve">1.32 ± 0.12</w:t>
            </w:r>
          </w:p>
        </w:tc>
      </w:tr>
      <w:tr w:rsidR="00E9319D" w:rsidRPr="00FC1023" w14:paraId="5EEB8095" w14:textId="77777777" w:rsidTr="00E9319D">
        <w:trPr>
          <w:jc w:val="center"/>
        </w:trPr>
        <w:tc>
          <w:tcPr>
            <w:tcW w:w="2207" w:type="dxa"/>
          </w:tcPr>
          <w:p w14:paraId="1B4DF97D" w14:textId="10924B2C" w:rsidR="00E9319D" w:rsidRPr="00FC1023" w:rsidRDefault="00E9319D" w:rsidP="00E9319D">
            <w:pPr>
              <w:jc w:val="center"/>
              <w:rPr>
                <w:sz w:val="16"/>
                <w:szCs w:val="16"/>
              </w:rPr>
            </w:pPr>
            <w:proofErr w:type="spellStart"/>
            <w:r w:rsidRPr="00F01AD7">
              <w:t>VaR</w:t>
            </w:r>
            <w:proofErr w:type="spellEnd"/>
            <w:r w:rsidRPr="00F01AD7">
              <w:t xml:space="preserve"> (95%) Limit</w:t>
            </w:r>
          </w:p>
        </w:tc>
        <w:tc>
          <w:tcPr>
            <w:tcW w:w="2280" w:type="dxa"/>
          </w:tcPr>
          <w:p w14:paraId="1968ED54" w14:textId="740B7258" w:rsidR="00E9319D" w:rsidRPr="00FC1023" w:rsidRDefault="00E9319D" w:rsidP="00E9319D">
            <w:pPr>
              <w:jc w:val="center"/>
              <w:rPr>
                <w:sz w:val="16"/>
                <w:szCs w:val="16"/>
              </w:rPr>
            </w:pPr>
            <w:r w:rsidRPr="00F01AD7">
              <w:t xml:space="preserve">-4.10% </w:t>
            </w:r>
            <m:oMath>
              <m:r>
                <w:rPr>
                  <w:rFonts w:ascii="Cambria Math" w:hAnsi="Cambria Math"/>
                </w:rPr>
                <m:t>±</m:t>
              </m:r>
            </m:oMath>
            <w:r w:rsidRPr="00F01AD7">
              <w:t xml:space="preserve"> 0.5%</w:t>
            </w:r>
          </w:p>
        </w:tc>
        <w:tc>
          <w:tcPr>
            <w:tcW w:w="2003" w:type="dxa"/>
          </w:tcPr>
          <w:p w14:paraId="69657CD7" w14:textId="1E17F82D" w:rsidR="00E9319D" w:rsidRPr="00FC1023" w:rsidRDefault="00E9319D" w:rsidP="00E9319D">
            <w:pPr>
              <w:jc w:val="center"/>
              <w:rPr>
                <w:sz w:val="16"/>
                <w:szCs w:val="16"/>
              </w:rPr>
            </w:pPr>
            <w:r w:rsidRPr="00F01AD7">
              <w:t xml:space="preserve">-3.15% </w:t>
            </w:r>
            <m:oMath>
              <m:r>
                <w:rPr>
                  <w:rFonts w:ascii="Cambria Math" w:hAnsi="Cambria Math"/>
                </w:rPr>
                <m:t>±</m:t>
              </m:r>
            </m:oMath>
            <w:r w:rsidRPr="00F01AD7">
              <w:t xml:space="preserve"> 0.6%</w:t>
            </w:r>
          </w:p>
        </w:tc>
        <w:tc>
          <w:tcPr>
            <w:tcW w:w="1670" w:type="dxa"/>
          </w:tcPr>
          <w:p w14:paraId="75732F53" w14:textId="737AB6C2" w:rsidR="00E9319D" w:rsidRPr="00FC1023" w:rsidRDefault="00E9319D" w:rsidP="00E9319D">
            <w:pPr>
              <w:jc w:val="center"/>
              <w:rPr>
                <w:sz w:val="16"/>
                <w:szCs w:val="16"/>
              </w:rPr>
            </w:pPr>
            <w:r w:rsidRPr="00F01AD7">
              <w:t xml:space="preserve">-2.34% </w:t>
            </w:r>
            <m:oMath>
              <m:r>
                <w:rPr>
                  <w:rFonts w:ascii="Cambria Math" w:hAnsi="Cambria Math"/>
                </w:rPr>
                <m:t>±</m:t>
              </m:r>
            </m:oMath>
            <w:r w:rsidRPr="00F01AD7">
              <w:t xml:space="preserve"> 0.2%</w:t>
            </w:r>
          </w:p>
        </w:tc>
        <w:tc>
          <w:tcPr>
            <w:tcW w:w="1670" w:type="dxa"/>
          </w:tcPr>
          <w:p w14:paraId="75732F53" w14:textId="737AB6C2" w:rsidR="00E9319D" w:rsidRPr="00FC1023" w:rsidRDefault="00E9319D" w:rsidP="00E9319D">
            <w:pPr>
              <w:jc w:val="center"/>
              <w:rPr>
                <w:sz w:val="16"/>
                <w:szCs w:val="16"/>
              </w:rPr>
            </w:pPr>
            <m:oMath>
              <m:r>
                <w:rPr>
                  <w:rFonts w:ascii="Cambria Math" w:hAnsi="Cambria Math"/>
                </w:rPr>
                <m:t>±</m:t>
              </m:r>
            </m:oMath>
            <w:r>
              <w:t xml:space="preserve">-2.89% ± 0.3%</w:t>
            </w:r>
          </w:p>
        </w:tc>
      </w:tr>
    </w:tbl>
    <w:p w14:paraId="7E4231DD" w14:textId="77777777" w:rsidR="00942670" w:rsidRDefault="00942670" w:rsidP="00942670">
      <w:pPr>
        <w:spacing w:after="60"/>
        <w:ind w:firstLine="216"/>
        <w:jc w:val="both"/>
      </w:pPr>
    </w:p>
    <w:p w14:paraId="5F2A0B4D" w14:textId="012B698E" w:rsidR="00BF1BB2" w:rsidRPr="00FC1023" w:rsidRDefault="00BF1BB2" w:rsidP="00BF1BB2">
      <w:pPr>
        <w:rPr>
          <w:b/>
          <w:bCs/>
        </w:rPr>
      </w:pPr>
      <w:r>
        <w:rPr>
          <w:b/>
        </w:rPr>
        <w:t>3.4.  Discussion</w:t>
      </w:r>
    </w:p>
    <w:p w14:paraId="0706F040" w14:textId="385974C7" w:rsidR="00332AC9" w:rsidRPr="00FC1023" w:rsidRDefault="00332AC9" w:rsidP="00332AC9">
      <w:pPr>
        <w:rPr>
          <w:b/>
          <w:bCs/>
        </w:rPr>
      </w:pPr>
      <w:r>
        <w:rPr>
          <w:b/>
        </w:rPr>
        <w:t>3.4.1.  Theoretical Justification for GRU Superiority in Short-Horizon Forecasting</w:t>
      </w:r>
    </w:p>
    <w:p w14:paraId="04AF1E7F" w14:textId="77777777" w:rsidR="00C14E45" w:rsidRDefault="00C14E45" w:rsidP="00332AC9">
      <w:pPr>
        <w:spacing w:after="60"/>
        <w:ind w:firstLine="216"/>
        <w:jc w:val="both"/>
      </w:pPr>
      <w:r>
        <w:lastRenderedPageBreak/>
        <w:t>GRU's outperformance over Informer and XGBoost reflects its inductive bias toward short-lag causal dependencies. Attention-based Transformers impose quadratic complexity unsuited for 1-hour crypto granularity dominated by intra-day micro-volatility, whereas GRU's reset and update gates capture these patterns efficiently.</w:t>
      </w:r>
    </w:p>
    <w:p w14:paraId="048D7026" w14:textId="77777777" w:rsidR="00C14E45" w:rsidRDefault="00C14E45" w:rsidP="00332AC9">
      <w:pPr>
        <w:spacing w:after="60"/>
        <w:ind w:firstLine="216"/>
        <w:jc w:val="both"/>
      </w:pPr>
    </w:p>
    <w:p w14:paraId="58E42CF5" w14:textId="4E996F92" w:rsidR="00C14E45" w:rsidRPr="00FC1023" w:rsidRDefault="00C14E45" w:rsidP="00C14E45">
      <w:pPr>
        <w:jc w:val="center"/>
      </w:pPr>
      <w:r w:rsidRPr="00FC1023">
        <w:t xml:space="preserve">Table </w:t>
      </w:r>
      <w:r>
        <w:t>3</w:t>
      </w:r>
      <w:r w:rsidRPr="00FC1023">
        <w:t xml:space="preserve">. </w:t>
      </w:r>
      <w:r w:rsidRPr="00C14E45">
        <w:t>Comparative Benchmarking Against Published Literature</w:t>
      </w:r>
    </w:p>
    <w:tbl>
      <w:tblPr>
        <w:tblW w:w="8672" w:type="dxa"/>
        <w:jc w:val="center"/>
        <w:tblBorders>
          <w:bottom w:val="single" w:sz="4" w:space="0" w:color="auto"/>
        </w:tblBorders>
        <w:tblLayout w:type="fixed"/>
        <w:tblLook w:val="01E0" w:firstRow="1" w:lastRow="1" w:firstColumn="1" w:lastColumn="1" w:noHBand="0" w:noVBand="0"/>
      </w:tblPr>
      <w:tblGrid>
        <w:gridCol w:w="1726"/>
        <w:gridCol w:w="1051"/>
        <w:gridCol w:w="1501"/>
        <w:gridCol w:w="1559"/>
        <w:gridCol w:w="1559"/>
        <w:gridCol w:w="1276"/>
      </w:tblGrid>
      <w:tr w:rsidR="00C14E45" w:rsidRPr="00FC1023" w14:paraId="1281EC68" w14:textId="77777777" w:rsidTr="00C14E45">
        <w:trPr>
          <w:jc w:val="center"/>
        </w:trPr>
        <w:tc>
          <w:tcPr>
            <w:tcW w:w="1726" w:type="dxa"/>
            <w:tcBorders>
              <w:top w:val="single" w:sz="4" w:space="0" w:color="auto"/>
              <w:bottom w:val="single" w:sz="4" w:space="0" w:color="auto"/>
            </w:tcBorders>
          </w:tcPr>
          <w:p w14:paraId="449D97DC" w14:textId="300A0746" w:rsidR="00C14E45" w:rsidRPr="00FC1023" w:rsidRDefault="00C14E45" w:rsidP="00C14E45">
            <w:pPr>
              <w:jc w:val="center"/>
              <w:rPr>
                <w:sz w:val="16"/>
                <w:szCs w:val="16"/>
              </w:rPr>
            </w:pPr>
            <w:r w:rsidRPr="00941D6C">
              <w:t>Study</w:t>
            </w:r>
          </w:p>
        </w:tc>
        <w:tc>
          <w:tcPr>
            <w:tcW w:w="1051" w:type="dxa"/>
            <w:tcBorders>
              <w:top w:val="single" w:sz="4" w:space="0" w:color="auto"/>
              <w:bottom w:val="single" w:sz="4" w:space="0" w:color="auto"/>
            </w:tcBorders>
          </w:tcPr>
          <w:p w14:paraId="6CD7B021" w14:textId="3F3EBCFE" w:rsidR="00C14E45" w:rsidRPr="00FC1023" w:rsidRDefault="00C14E45" w:rsidP="00C14E45">
            <w:pPr>
              <w:jc w:val="center"/>
              <w:rPr>
                <w:sz w:val="16"/>
                <w:szCs w:val="16"/>
              </w:rPr>
            </w:pPr>
            <w:r w:rsidRPr="00941D6C">
              <w:t>Model</w:t>
            </w:r>
          </w:p>
        </w:tc>
        <w:tc>
          <w:tcPr>
            <w:tcW w:w="1501" w:type="dxa"/>
            <w:tcBorders>
              <w:top w:val="single" w:sz="4" w:space="0" w:color="auto"/>
              <w:bottom w:val="single" w:sz="4" w:space="0" w:color="auto"/>
            </w:tcBorders>
          </w:tcPr>
          <w:p w14:paraId="298CE0B2" w14:textId="472BF5C9" w:rsidR="00C14E45" w:rsidRPr="00FC1023" w:rsidRDefault="00C14E45" w:rsidP="00C14E45">
            <w:pPr>
              <w:jc w:val="center"/>
              <w:rPr>
                <w:sz w:val="16"/>
                <w:szCs w:val="16"/>
              </w:rPr>
            </w:pPr>
            <w:r w:rsidRPr="00941D6C">
              <w:t>Asset / Interval</w:t>
            </w:r>
          </w:p>
        </w:tc>
        <w:tc>
          <w:tcPr>
            <w:tcW w:w="1559" w:type="dxa"/>
            <w:tcBorders>
              <w:top w:val="single" w:sz="4" w:space="0" w:color="auto"/>
              <w:bottom w:val="single" w:sz="4" w:space="0" w:color="auto"/>
            </w:tcBorders>
          </w:tcPr>
          <w:p w14:paraId="10EFB05E" w14:textId="7C81041F" w:rsidR="00C14E45" w:rsidRPr="00813AD8" w:rsidRDefault="00C14E45" w:rsidP="00C14E45">
            <w:pPr>
              <w:jc w:val="center"/>
            </w:pPr>
            <w:r w:rsidRPr="00941D6C">
              <w:t>RMSE (norm.)</w:t>
            </w:r>
          </w:p>
        </w:tc>
        <w:tc>
          <w:tcPr>
            <w:tcW w:w="1559" w:type="dxa"/>
            <w:tcBorders>
              <w:top w:val="single" w:sz="4" w:space="0" w:color="auto"/>
              <w:bottom w:val="single" w:sz="4" w:space="0" w:color="auto"/>
            </w:tcBorders>
          </w:tcPr>
          <w:p w14:paraId="7AC44EC4" w14:textId="7C880CDF" w:rsidR="00C14E45" w:rsidRPr="00813AD8" w:rsidRDefault="00C14E45" w:rsidP="00C14E45">
            <w:pPr>
              <w:jc w:val="center"/>
            </w:pPr>
            <w:r w:rsidRPr="00941D6C">
              <w:t>Directional Acc.</w:t>
            </w:r>
          </w:p>
        </w:tc>
        <w:tc>
          <w:tcPr>
            <w:tcW w:w="1276" w:type="dxa"/>
            <w:tcBorders>
              <w:top w:val="single" w:sz="4" w:space="0" w:color="auto"/>
              <w:bottom w:val="single" w:sz="4" w:space="0" w:color="auto"/>
            </w:tcBorders>
          </w:tcPr>
          <w:p w14:paraId="1C94C623" w14:textId="0C13C8A0" w:rsidR="00C14E45" w:rsidRPr="00FC1023" w:rsidRDefault="00C14E45" w:rsidP="00C14E45">
            <w:pPr>
              <w:jc w:val="center"/>
              <w:rPr>
                <w:sz w:val="16"/>
                <w:szCs w:val="16"/>
              </w:rPr>
            </w:pPr>
            <w:r w:rsidRPr="00941D6C">
              <w:t>Sharpe Ratio</w:t>
            </w:r>
          </w:p>
        </w:tc>
      </w:tr>
      <w:tr w:rsidR="00C14E45" w:rsidRPr="00FC1023" w14:paraId="4BA7181E" w14:textId="77777777" w:rsidTr="00C14E45">
        <w:trPr>
          <w:jc w:val="center"/>
        </w:trPr>
        <w:tc>
          <w:tcPr>
            <w:tcW w:w="1726" w:type="dxa"/>
            <w:tcBorders>
              <w:top w:val="single" w:sz="4" w:space="0" w:color="auto"/>
            </w:tcBorders>
          </w:tcPr>
          <w:p w14:paraId="1D571465" w14:textId="38155DF4" w:rsidR="00C14E45" w:rsidRPr="00FC1023" w:rsidRDefault="00C14E45" w:rsidP="00C14E45">
            <w:pPr>
              <w:jc w:val="center"/>
              <w:rPr>
                <w:sz w:val="16"/>
                <w:szCs w:val="16"/>
              </w:rPr>
            </w:pPr>
            <w:r w:rsidRPr="00941D6C">
              <w:t>Chenet al.[16] (2020)</w:t>
            </w:r>
          </w:p>
        </w:tc>
        <w:tc>
          <w:tcPr>
            <w:tcW w:w="1051" w:type="dxa"/>
            <w:tcBorders>
              <w:top w:val="single" w:sz="4" w:space="0" w:color="auto"/>
            </w:tcBorders>
          </w:tcPr>
          <w:p w14:paraId="30B62C87" w14:textId="020D1511" w:rsidR="00C14E45" w:rsidRPr="00FC1023" w:rsidRDefault="00C14E45" w:rsidP="00C14E45">
            <w:pPr>
              <w:jc w:val="center"/>
              <w:rPr>
                <w:sz w:val="16"/>
                <w:szCs w:val="16"/>
              </w:rPr>
            </w:pPr>
            <w:r w:rsidRPr="00941D6C">
              <w:t>LSTM</w:t>
            </w:r>
          </w:p>
        </w:tc>
        <w:tc>
          <w:tcPr>
            <w:tcW w:w="1501" w:type="dxa"/>
            <w:tcBorders>
              <w:top w:val="single" w:sz="4" w:space="0" w:color="auto"/>
            </w:tcBorders>
          </w:tcPr>
          <w:p w14:paraId="57D6F59B" w14:textId="24F81F83" w:rsidR="00C14E45" w:rsidRPr="00FC1023" w:rsidRDefault="00C14E45" w:rsidP="00C14E45">
            <w:pPr>
              <w:jc w:val="center"/>
              <w:rPr>
                <w:sz w:val="16"/>
                <w:szCs w:val="16"/>
              </w:rPr>
            </w:pPr>
            <w:r w:rsidRPr="00941D6C">
              <w:t>BTC / Daily</w:t>
            </w:r>
          </w:p>
        </w:tc>
        <w:tc>
          <w:tcPr>
            <w:tcW w:w="1559" w:type="dxa"/>
            <w:tcBorders>
              <w:top w:val="single" w:sz="4" w:space="0" w:color="auto"/>
            </w:tcBorders>
          </w:tcPr>
          <w:p w14:paraId="021E5B0A" w14:textId="5DDDBD01" w:rsidR="00C14E45" w:rsidRPr="00813AD8" w:rsidRDefault="00C14E45" w:rsidP="00C14E45">
            <w:pPr>
              <w:jc w:val="center"/>
            </w:pPr>
            <w:r w:rsidRPr="00941D6C">
              <w:t>0.18 – 0.25</w:t>
            </w:r>
          </w:p>
        </w:tc>
        <w:tc>
          <w:tcPr>
            <w:tcW w:w="1559" w:type="dxa"/>
            <w:tcBorders>
              <w:top w:val="single" w:sz="4" w:space="0" w:color="auto"/>
            </w:tcBorders>
          </w:tcPr>
          <w:p w14:paraId="44C2C604" w14:textId="1EA8B618" w:rsidR="00C14E45" w:rsidRPr="00813AD8" w:rsidRDefault="00C14E45" w:rsidP="00C14E45">
            <w:pPr>
              <w:jc w:val="center"/>
            </w:pPr>
            <w:r w:rsidRPr="00941D6C">
              <w:t>62 – 68%</w:t>
            </w:r>
          </w:p>
        </w:tc>
        <w:tc>
          <w:tcPr>
            <w:tcW w:w="1276" w:type="dxa"/>
            <w:tcBorders>
              <w:top w:val="single" w:sz="4" w:space="0" w:color="auto"/>
            </w:tcBorders>
          </w:tcPr>
          <w:p w14:paraId="6C992ED8" w14:textId="4647EFE5" w:rsidR="00C14E45" w:rsidRPr="00FC1023" w:rsidRDefault="00C14E45" w:rsidP="00C14E45">
            <w:pPr>
              <w:jc w:val="center"/>
              <w:rPr>
                <w:sz w:val="16"/>
                <w:szCs w:val="16"/>
              </w:rPr>
            </w:pPr>
            <w:r w:rsidRPr="00941D6C">
              <w:t>N/R</w:t>
            </w:r>
          </w:p>
        </w:tc>
      </w:tr>
      <w:tr w:rsidR="00C14E45" w:rsidRPr="00FC1023" w14:paraId="302CFBD1" w14:textId="77777777" w:rsidTr="00C14E45">
        <w:trPr>
          <w:jc w:val="center"/>
        </w:trPr>
        <w:tc>
          <w:tcPr>
            <w:tcW w:w="1726" w:type="dxa"/>
          </w:tcPr>
          <w:p w14:paraId="2AEB89D0" w14:textId="4E7AE306" w:rsidR="00C14E45" w:rsidRPr="00813AD8" w:rsidRDefault="00C14E45" w:rsidP="00C14E45">
            <w:pPr>
              <w:jc w:val="center"/>
            </w:pPr>
            <w:proofErr w:type="spellStart"/>
            <w:r w:rsidRPr="00941D6C">
              <w:t>Livieriset</w:t>
            </w:r>
            <w:proofErr w:type="spellEnd"/>
            <w:r w:rsidRPr="00941D6C">
              <w:t xml:space="preserve"> al.[38] (2024)</w:t>
            </w:r>
          </w:p>
        </w:tc>
        <w:tc>
          <w:tcPr>
            <w:tcW w:w="1051" w:type="dxa"/>
          </w:tcPr>
          <w:p w14:paraId="2912BA38" w14:textId="5B643392" w:rsidR="00C14E45" w:rsidRPr="00813AD8" w:rsidRDefault="00C14E45" w:rsidP="00C14E45">
            <w:pPr>
              <w:jc w:val="center"/>
            </w:pPr>
            <w:r w:rsidRPr="00941D6C">
              <w:t>CNN-LSTM</w:t>
            </w:r>
          </w:p>
        </w:tc>
        <w:tc>
          <w:tcPr>
            <w:tcW w:w="1501" w:type="dxa"/>
          </w:tcPr>
          <w:p w14:paraId="4E7EBF06" w14:textId="2E1B5270" w:rsidR="00C14E45" w:rsidRPr="00813AD8" w:rsidRDefault="00C14E45" w:rsidP="00C14E45">
            <w:pPr>
              <w:jc w:val="center"/>
            </w:pPr>
            <w:r w:rsidRPr="00941D6C">
              <w:t>BTC / 1-hour</w:t>
            </w:r>
          </w:p>
        </w:tc>
        <w:tc>
          <w:tcPr>
            <w:tcW w:w="1559" w:type="dxa"/>
          </w:tcPr>
          <w:p w14:paraId="02B4FE68" w14:textId="693669D4" w:rsidR="00C14E45" w:rsidRPr="00813AD8" w:rsidRDefault="00C14E45" w:rsidP="00C14E45">
            <w:pPr>
              <w:jc w:val="center"/>
            </w:pPr>
            <w:r w:rsidRPr="00941D6C">
              <w:t>0.14 – 0.17</w:t>
            </w:r>
          </w:p>
        </w:tc>
        <w:tc>
          <w:tcPr>
            <w:tcW w:w="1559" w:type="dxa"/>
          </w:tcPr>
          <w:p w14:paraId="621F6C01" w14:textId="6786CD5E" w:rsidR="00C14E45" w:rsidRPr="00813AD8" w:rsidRDefault="00C14E45" w:rsidP="00C14E45">
            <w:pPr>
              <w:jc w:val="center"/>
            </w:pPr>
            <w:r w:rsidRPr="00941D6C">
              <w:t>N/R</w:t>
            </w:r>
          </w:p>
        </w:tc>
        <w:tc>
          <w:tcPr>
            <w:tcW w:w="1276" w:type="dxa"/>
          </w:tcPr>
          <w:p w14:paraId="6F732A5C" w14:textId="398189CF" w:rsidR="00C14E45" w:rsidRPr="00813AD8" w:rsidRDefault="00C14E45" w:rsidP="00C14E45">
            <w:pPr>
              <w:jc w:val="center"/>
            </w:pPr>
            <w:r w:rsidRPr="00941D6C">
              <w:t>N/R</w:t>
            </w:r>
          </w:p>
        </w:tc>
      </w:tr>
      <w:tr w:rsidR="00C14E45" w:rsidRPr="00FC1023" w14:paraId="22048939" w14:textId="77777777" w:rsidTr="00C14E45">
        <w:trPr>
          <w:jc w:val="center"/>
        </w:trPr>
        <w:tc>
          <w:tcPr>
            <w:tcW w:w="1726" w:type="dxa"/>
          </w:tcPr>
          <w:p w14:paraId="7B19D84F" w14:textId="39908AF0" w:rsidR="00C14E45" w:rsidRPr="00813AD8" w:rsidRDefault="00C14E45" w:rsidP="00C14E45">
            <w:pPr>
              <w:jc w:val="center"/>
            </w:pPr>
            <w:r w:rsidRPr="00941D6C">
              <w:t>This study(GRU, best RMSE)</w:t>
            </w:r>
          </w:p>
        </w:tc>
        <w:tc>
          <w:tcPr>
            <w:tcW w:w="1051" w:type="dxa"/>
          </w:tcPr>
          <w:p w14:paraId="298C4F5A" w14:textId="792EF0A0" w:rsidR="00C14E45" w:rsidRPr="00813AD8" w:rsidRDefault="00C14E45" w:rsidP="00C14E45">
            <w:pPr>
              <w:jc w:val="center"/>
            </w:pPr>
            <w:r w:rsidRPr="00941D6C">
              <w:t>GRU</w:t>
            </w:r>
          </w:p>
        </w:tc>
        <w:tc>
          <w:tcPr>
            <w:tcW w:w="1501" w:type="dxa"/>
          </w:tcPr>
          <w:p w14:paraId="06CD04E5" w14:textId="18D2295B" w:rsidR="00C14E45" w:rsidRPr="00813AD8" w:rsidRDefault="00C14E45" w:rsidP="00C14E45">
            <w:pPr>
              <w:jc w:val="center"/>
            </w:pPr>
            <w:r w:rsidRPr="00941D6C">
              <w:t>BTC/USDT / 1-hour</w:t>
            </w:r>
          </w:p>
        </w:tc>
        <w:tc>
          <w:tcPr>
            <w:tcW w:w="1559" w:type="dxa"/>
          </w:tcPr>
          <w:p w14:paraId="67DA93E6" w14:textId="51894C05" w:rsidR="00C14E45" w:rsidRPr="00813AD8" w:rsidRDefault="00C14E45" w:rsidP="00C14E45">
            <w:pPr>
              <w:jc w:val="center"/>
            </w:pPr>
            <w:r w:rsidRPr="00941D6C">
              <w:t>0.1058 ± 0.0034</w:t>
            </w:r>
          </w:p>
        </w:tc>
        <w:tc>
          <w:tcPr>
            <w:tcW w:w="1559" w:type="dxa"/>
          </w:tcPr>
          <w:p w14:paraId="3359ED55" w14:textId="1B362BFE" w:rsidR="00C14E45" w:rsidRPr="00813AD8" w:rsidRDefault="00C14E45" w:rsidP="00C14E45">
            <w:pPr>
              <w:jc w:val="center"/>
            </w:pPr>
            <w:r w:rsidRPr="00941D6C">
              <w:t>69.8%</w:t>
            </w:r>
          </w:p>
        </w:tc>
        <w:tc>
          <w:tcPr>
            <w:tcW w:w="1276" w:type="dxa"/>
          </w:tcPr>
          <w:p w14:paraId="02416677" w14:textId="08427064" w:rsidR="00C14E45" w:rsidRPr="00813AD8" w:rsidRDefault="00C14E45" w:rsidP="00C14E45">
            <w:pPr>
              <w:jc w:val="center"/>
            </w:pPr>
            <w:r w:rsidRPr="00941D6C">
              <w:t>1.32 ± 0.12</w:t>
            </w:r>
          </w:p>
        </w:tc>
      </w:tr>
      <w:tr w:rsidR="00C14E45" w:rsidRPr="00FC1023" w14:paraId="5098B983" w14:textId="77777777" w:rsidTr="00C14E45">
        <w:trPr>
          <w:jc w:val="center"/>
        </w:trPr>
        <w:tc>
          <w:tcPr>
            <w:tcW w:w="1726" w:type="dxa"/>
          </w:tcPr>
          <w:p w14:paraId="32449E1C" w14:textId="77DE59E2" w:rsidR="00C14E45" w:rsidRPr="00813AD8" w:rsidRDefault="00C14E45" w:rsidP="00C14E45">
            <w:pPr>
              <w:jc w:val="center"/>
            </w:pPr>
            <w:r w:rsidRPr="00941D6C">
              <w:t>This study(LSTM, best DA)</w:t>
            </w:r>
          </w:p>
        </w:tc>
        <w:tc>
          <w:tcPr>
            <w:tcW w:w="1051" w:type="dxa"/>
          </w:tcPr>
          <w:p w14:paraId="0D72649A" w14:textId="282B1DBA" w:rsidR="00C14E45" w:rsidRPr="00813AD8" w:rsidRDefault="00C14E45" w:rsidP="00C14E45">
            <w:pPr>
              <w:jc w:val="center"/>
            </w:pPr>
            <w:r w:rsidRPr="00941D6C">
              <w:t>LSTM</w:t>
            </w:r>
          </w:p>
        </w:tc>
        <w:tc>
          <w:tcPr>
            <w:tcW w:w="1501" w:type="dxa"/>
          </w:tcPr>
          <w:p w14:paraId="788A25E8" w14:textId="19202E55" w:rsidR="00C14E45" w:rsidRPr="00813AD8" w:rsidRDefault="00C14E45" w:rsidP="00C14E45">
            <w:pPr>
              <w:jc w:val="center"/>
            </w:pPr>
            <w:r w:rsidRPr="00941D6C">
              <w:t>BTC/USDT / 1-hour</w:t>
            </w:r>
          </w:p>
        </w:tc>
        <w:tc>
          <w:tcPr>
            <w:tcW w:w="1559" w:type="dxa"/>
          </w:tcPr>
          <w:p w14:paraId="1CD4CE8C" w14:textId="029E2A7B" w:rsidR="00C14E45" w:rsidRPr="00813AD8" w:rsidRDefault="00C14E45" w:rsidP="00C14E45">
            <w:pPr>
              <w:jc w:val="center"/>
            </w:pPr>
            <w:r w:rsidRPr="00941D6C">
              <w:t>0.1184 ± 0.0041</w:t>
            </w:r>
          </w:p>
        </w:tc>
        <w:tc>
          <w:tcPr>
            <w:tcW w:w="1559" w:type="dxa"/>
          </w:tcPr>
          <w:p w14:paraId="4715857C" w14:textId="08D05B9F" w:rsidR="00C14E45" w:rsidRPr="00813AD8" w:rsidRDefault="00C14E45" w:rsidP="00C14E45">
            <w:pPr>
              <w:jc w:val="center"/>
            </w:pPr>
            <w:r w:rsidRPr="00941D6C">
              <w:t>72.3%</w:t>
            </w:r>
          </w:p>
        </w:tc>
        <w:tc>
          <w:tcPr>
            <w:tcW w:w="1276" w:type="dxa"/>
          </w:tcPr>
          <w:p w14:paraId="66DD3DCC" w14:textId="3C579950" w:rsidR="00C14E45" w:rsidRPr="00813AD8" w:rsidRDefault="00C14E45" w:rsidP="00C14E45">
            <w:pPr>
              <w:jc w:val="center"/>
            </w:pPr>
            <w:r w:rsidRPr="00941D6C">
              <w:t>1.45 ± 0.10</w:t>
            </w:r>
          </w:p>
        </w:tc>
      </w:tr>
    </w:tbl>
    <w:p w14:paraId="3CA08463" w14:textId="77777777" w:rsidR="00C14E45" w:rsidRDefault="00C14E45" w:rsidP="00332AC9">
      <w:pPr>
        <w:spacing w:after="60"/>
        <w:ind w:firstLine="216"/>
        <w:jc w:val="both"/>
      </w:pPr>
    </w:p>
    <w:p w14:paraId="25E11C55" w14:textId="0C98AF75" w:rsidR="00C14E45" w:rsidRDefault="000454C7" w:rsidP="00332AC9">
      <w:pPr>
        <w:spacing w:after="60"/>
        <w:ind w:firstLine="216"/>
        <w:jc w:val="both"/>
      </w:pPr>
      <w:r>
        <w:t>Compared to Livieris et al. [38] who reported normalized RMSEs of 0.14–0.17 for hourly BTC, our GRU achieves 0.1058 under rigorous Walk-Forward Validation. Our LSTM Directional Accuracy of 72.3 % also surpasses the 60–65 % reported in comparable literature [13], [16].</w:t>
      </w:r>
    </w:p>
    <w:p w14:paraId="32770E3E" w14:textId="77777777" w:rsidR="000454C7" w:rsidRDefault="000454C7" w:rsidP="00332AC9">
      <w:pPr>
        <w:spacing w:after="60"/>
        <w:ind w:firstLine="216"/>
        <w:jc w:val="both"/>
      </w:pPr>
    </w:p>
    <w:p w14:paraId="73E67122" w14:textId="7BDDF2AE" w:rsidR="000454C7" w:rsidRPr="00FC1023" w:rsidRDefault="000454C7" w:rsidP="000454C7">
      <w:pPr>
        <w:rPr>
          <w:b/>
          <w:bCs/>
        </w:rPr>
      </w:pPr>
      <w:r>
        <w:rPr>
          <w:b/>
        </w:rPr>
        <w:t>3.4.2.  Operational Power BI Prototype and Practical Implications</w:t>
      </w:r>
    </w:p>
    <w:p w14:paraId="4C3C30A9" w14:textId="46EBE811" w:rsidR="000454C7" w:rsidRDefault="000454C7" w:rsidP="000454C7">
      <w:pPr>
        <w:spacing w:after="60"/>
        <w:ind w:firstLine="216"/>
        <w:jc w:val="both"/>
      </w:pPr>
      <w:r>
        <w:t>From a practical standpoint, the GRU's tighter RMSE bounds provide the most reliable stop-loss thresholds, while LSTM's superior directional accuracy (72.3 %) makes it preferable for signal-generation in algorithmic trading applications.</w:t>
      </w:r>
    </w:p>
    <w:p w14:paraId="2DCB7974" w14:textId="11144A9F" w:rsidR="00196F0F" w:rsidRDefault="00196F0F" w:rsidP="000454C7">
      <w:pPr>
        <w:spacing w:after="60"/>
        <w:ind w:firstLine="216"/>
        <w:jc w:val="both"/>
      </w:pPr>
      <w:r>
        <w:t>A key limitation is all tested models' susceptibility to exogenous volatility events exceeding ±3σ deviations from training distributions — events such as the Terra-Luna collapse — where pure statistical inference fails without macroeconomic contextual signals. Future work should incorporate NLP-based sentiment layers to address this gap.</w:t>
      </w:r>
    </w:p>
    <w:p w14:paraId="64C20D78" w14:textId="77777777" w:rsidR="00196F0F" w:rsidRDefault="00196F0F" w:rsidP="000454C7">
      <w:pPr>
        <w:spacing w:after="60"/>
        <w:ind w:firstLine="216"/>
        <w:jc w:val="both"/>
      </w:pPr>
    </w:p>
    <w:p w14:paraId="1CA1C177" w14:textId="7CCDBECE" w:rsidR="00196F0F" w:rsidRDefault="00C020C2" w:rsidP="00C020C2">
      <w:pPr>
        <w:spacing w:after="60"/>
        <w:ind w:firstLine="216"/>
        <w:jc w:val="center"/>
      </w:pPr>
      <w:r>
        <w:rPr>
          <w:noProof/>
        </w:rPr>
        <w:drawing>
          <wp:inline distT="0" distB="0" distL="0" distR="0" wp14:anchorId="7C1DF24D" wp14:editId="5294614C">
            <wp:extent cx="3941308" cy="1696775"/>
            <wp:effectExtent l="0" t="0" r="2540" b="0"/>
            <wp:docPr id="1150953621"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048742" cy="1743026"/>
                    </a:xfrm>
                    <a:prstGeom prst="rect">
                      <a:avLst/>
                    </a:prstGeom>
                  </pic:spPr>
                </pic:pic>
              </a:graphicData>
            </a:graphic>
          </wp:inline>
        </w:drawing>
      </w:r>
    </w:p>
    <w:p w14:paraId="4E1EFBE2" w14:textId="2B569335" w:rsidR="00C020C2" w:rsidRDefault="00C020C2" w:rsidP="00C020C2">
      <w:pPr>
        <w:spacing w:after="60"/>
        <w:ind w:firstLine="216"/>
        <w:jc w:val="center"/>
      </w:pPr>
      <w:r>
        <w:t xml:space="preserve">Figure 4. </w:t>
      </w:r>
      <w:r w:rsidRPr="00C020C2">
        <w:t>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6531DA81" w14:textId="77777777" w:rsidR="00C020C2" w:rsidRDefault="00C020C2" w:rsidP="000454C7">
      <w:pPr>
        <w:spacing w:after="60"/>
        <w:ind w:firstLine="216"/>
        <w:jc w:val="both"/>
      </w:pPr>
    </w:p>
    <w:bookmarkEnd w:id="2"/>
    <w:p w14:paraId="7A07F5E5" w14:textId="76EBB886" w:rsidR="00E619D6" w:rsidRPr="00FC1023" w:rsidRDefault="00E619D6" w:rsidP="00E619D6">
      <w:pPr>
        <w:numPr>
          <w:ilvl w:val="0"/>
          <w:numId w:val="15"/>
        </w:numPr>
        <w:tabs>
          <w:tab w:val="left" w:pos="426"/>
        </w:tabs>
        <w:ind w:left="426" w:hanging="426"/>
        <w:rPr>
          <w:b/>
          <w:bCs/>
        </w:rPr>
      </w:pPr>
      <w:r w:rsidRPr="00FC1023">
        <w:rPr>
          <w:b/>
          <w:bCs/>
        </w:rPr>
        <w:t>CONCLUSION</w:t>
      </w:r>
    </w:p>
    <w:p w14:paraId="472DBDC5" w14:textId="77777777" w:rsidR="00BC4D40" w:rsidRDefault="00BC4D40" w:rsidP="00BC4D40">
      <w:pPr>
        <w:ind w:firstLine="709"/>
        <w:jc w:val="both"/>
      </w:pPr>
      <w:r>
        <w:t>This study bridges deep neural forecasting with enterprise BI by constructing a 4-layer pipeline processing 43,786 hourly BTC/USDT records via Walk-Forward Validation, Grid Search optimization, and SHAP analysis, producing a unified DSS prototype validated in a controlled out-of-sample trading simulation.</w:t>
      </w:r>
    </w:p>
    <w:p w14:paraId="40D614D8" w14:textId="77777777" w:rsidR="00BC4D40" w:rsidRDefault="00BC4D40" w:rsidP="00BC4D40">
      <w:pPr>
        <w:ind w:firstLine="709"/>
        <w:jc w:val="both"/>
      </w:pPr>
      <w:r>
        <w:t>A global Kruskal-Wallis test (p &lt; 0.001) and pairwise Diebold-Mariano tests (p = 0.014) confirmed GRU as the top RMSE model (0.1058 ± 0.0034), while LSTM achieved the highest Directional Accuracy (72.3 %) and Sharpe Ratio (1.45), with the Power BI dashboard achieving an Excellent SUS score of 86.4, validating the framework's institutional utility.</w:t>
      </w:r>
    </w:p>
    <w:p w14:paraId="4220A75E" w14:textId="50F6EB1B" w:rsidR="00BC4D40" w:rsidRDefault="00BC4D40" w:rsidP="00BC4D40">
      <w:pPr>
        <w:ind w:firstLine="709"/>
        <w:jc w:val="both"/>
      </w:pPr>
      <w:r>
        <w:rPr/>
        <w:t>Future research should pursue two directions: (1) integrating NLP sentiment signals from social media and on-chain data [37] to improve model resilience during macroeconomic shocks; and (2) extending the BI pipeline to multi-asset portfolios incorporating altcoins and cross-market correlation matrices.</w:t>
      </w:r>
    </w:p>
    <w:p w14:paraId="10F3E9A6" w14:textId="77777777" w:rsidR="00BC4D40" w:rsidRDefault="00BC4D40" w:rsidP="00BC4D40">
      <w:pPr>
        <w:ind w:firstLine="709"/>
        <w:jc w:val="both"/>
      </w:pPr>
    </w:p>
    <w:p w14:paraId="48918705" w14:textId="77777777" w:rsidR="00875A0C" w:rsidRPr="00FC1023" w:rsidRDefault="00875A0C" w:rsidP="00354A58">
      <w:pPr>
        <w:ind w:firstLine="709"/>
        <w:jc w:val="both"/>
        <w:rPr>
          <w:b/>
          <w:bCs/>
        </w:rPr>
      </w:pPr>
    </w:p>
    <w:p w14:paraId="46D4CEA5" w14:textId="0B19B1F9" w:rsidR="00140260" w:rsidRPr="00A83597" w:rsidRDefault="00140260" w:rsidP="00140260">
      <w:pPr>
        <w:jc w:val="both"/>
        <w:rPr>
          <w:b/>
          <w:bCs/>
        </w:rPr>
      </w:pPr>
      <w:r w:rsidRPr="00A83597">
        <w:rPr>
          <w:b/>
          <w:bCs/>
        </w:rPr>
        <w:t>AUTHOR CONTRIBUTIONS STATEMENT</w:t>
      </w:r>
    </w:p>
    <w:p w14:paraId="6D085CD1" w14:textId="6B1EBEDF" w:rsidR="00140260" w:rsidRPr="003420B5" w:rsidRDefault="001A0F0D" w:rsidP="001A0F0D">
      <w:pPr>
        <w:tabs>
          <w:tab w:val="left" w:pos="284"/>
          <w:tab w:val="left" w:pos="426"/>
        </w:tabs>
        <w:ind w:firstLine="709"/>
        <w:jc w:val="both"/>
        <w:rPr>
          <w:b/>
          <w:bCs/>
        </w:rPr>
      </w:pPr>
      <w:r>
        <w:t>This journal uses the Contributor Roles Taxonomy (</w:t>
      </w:r>
      <w:proofErr w:type="spellStart"/>
      <w:r>
        <w:t>CRediT</w:t>
      </w:r>
      <w:proofErr w:type="spellEnd"/>
      <w:r>
        <w:t>) to recognize individual author contributions, reduce authorship disputes, and facilitate collaboration.</w:t>
      </w:r>
    </w:p>
    <w:p w14:paraId="74DDA5B3" w14:textId="77777777" w:rsidR="00140260" w:rsidRDefault="00140260" w:rsidP="0014026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140260" w:rsidRPr="00A83597" w14:paraId="6E54AC34" w14:textId="77777777" w:rsidTr="009B6A87">
        <w:trPr>
          <w:jc w:val="center"/>
        </w:trPr>
        <w:tc>
          <w:tcPr>
            <w:tcW w:w="2107" w:type="dxa"/>
          </w:tcPr>
          <w:p w14:paraId="762AB3E4" w14:textId="77777777" w:rsidR="00140260" w:rsidRPr="00A83597" w:rsidRDefault="00140260" w:rsidP="009B6A87">
            <w:pPr>
              <w:jc w:val="both"/>
              <w:rPr>
                <w:b/>
                <w:bCs/>
              </w:rPr>
            </w:pPr>
            <w:r w:rsidRPr="00A83597">
              <w:rPr>
                <w:b/>
                <w:bCs/>
              </w:rPr>
              <w:t>Name of Author</w:t>
            </w:r>
          </w:p>
        </w:tc>
        <w:tc>
          <w:tcPr>
            <w:tcW w:w="471" w:type="dxa"/>
            <w:shd w:val="clear" w:color="auto" w:fill="DAEEF3" w:themeFill="accent5" w:themeFillTint="33"/>
          </w:tcPr>
          <w:p w14:paraId="5F44395F" w14:textId="77777777" w:rsidR="00140260" w:rsidRPr="00A83597" w:rsidRDefault="00140260" w:rsidP="009B6A87">
            <w:pPr>
              <w:jc w:val="both"/>
              <w:rPr>
                <w:b/>
                <w:bCs/>
              </w:rPr>
            </w:pPr>
            <w:r w:rsidRPr="00A83597">
              <w:rPr>
                <w:b/>
                <w:bCs/>
              </w:rPr>
              <w:t>C</w:t>
            </w:r>
          </w:p>
        </w:tc>
        <w:tc>
          <w:tcPr>
            <w:tcW w:w="476" w:type="dxa"/>
            <w:shd w:val="clear" w:color="auto" w:fill="DAEEF3" w:themeFill="accent5" w:themeFillTint="33"/>
          </w:tcPr>
          <w:p w14:paraId="5759E1FA" w14:textId="77777777" w:rsidR="00140260" w:rsidRPr="00A83597" w:rsidRDefault="00140260" w:rsidP="009B6A87">
            <w:pPr>
              <w:jc w:val="both"/>
              <w:rPr>
                <w:b/>
                <w:bCs/>
              </w:rPr>
            </w:pPr>
            <w:r w:rsidRPr="00A83597">
              <w:rPr>
                <w:b/>
                <w:bCs/>
              </w:rPr>
              <w:t>M</w:t>
            </w:r>
          </w:p>
        </w:tc>
        <w:tc>
          <w:tcPr>
            <w:tcW w:w="481" w:type="dxa"/>
          </w:tcPr>
          <w:p w14:paraId="2E3F2650" w14:textId="77777777" w:rsidR="00140260" w:rsidRPr="00A83597" w:rsidRDefault="00140260" w:rsidP="009B6A87">
            <w:pPr>
              <w:jc w:val="both"/>
              <w:rPr>
                <w:b/>
                <w:bCs/>
              </w:rPr>
            </w:pPr>
            <w:r w:rsidRPr="00A83597">
              <w:rPr>
                <w:b/>
                <w:bCs/>
              </w:rPr>
              <w:t>So</w:t>
            </w:r>
          </w:p>
        </w:tc>
        <w:tc>
          <w:tcPr>
            <w:tcW w:w="489" w:type="dxa"/>
          </w:tcPr>
          <w:p w14:paraId="47AD9385" w14:textId="77777777" w:rsidR="00140260" w:rsidRPr="00A83597" w:rsidRDefault="00140260" w:rsidP="009B6A87">
            <w:pPr>
              <w:jc w:val="both"/>
              <w:rPr>
                <w:b/>
                <w:bCs/>
              </w:rPr>
            </w:pPr>
            <w:r w:rsidRPr="00A83597">
              <w:rPr>
                <w:b/>
                <w:bCs/>
              </w:rPr>
              <w:t>Va</w:t>
            </w:r>
          </w:p>
        </w:tc>
        <w:tc>
          <w:tcPr>
            <w:tcW w:w="484" w:type="dxa"/>
            <w:shd w:val="clear" w:color="auto" w:fill="DAEEF3" w:themeFill="accent5" w:themeFillTint="33"/>
          </w:tcPr>
          <w:p w14:paraId="69012197" w14:textId="77777777" w:rsidR="00140260" w:rsidRPr="00A83597" w:rsidRDefault="00140260" w:rsidP="009B6A87">
            <w:pPr>
              <w:jc w:val="both"/>
              <w:rPr>
                <w:b/>
                <w:bCs/>
              </w:rPr>
            </w:pPr>
            <w:r w:rsidRPr="00A83597">
              <w:rPr>
                <w:b/>
                <w:bCs/>
              </w:rPr>
              <w:t>Fo</w:t>
            </w:r>
          </w:p>
        </w:tc>
        <w:tc>
          <w:tcPr>
            <w:tcW w:w="470" w:type="dxa"/>
            <w:shd w:val="clear" w:color="auto" w:fill="DAEEF3" w:themeFill="accent5" w:themeFillTint="33"/>
          </w:tcPr>
          <w:p w14:paraId="6B729A9C" w14:textId="77777777" w:rsidR="00140260" w:rsidRPr="00A83597" w:rsidRDefault="00140260" w:rsidP="009B6A87">
            <w:pPr>
              <w:jc w:val="both"/>
              <w:rPr>
                <w:b/>
                <w:bCs/>
              </w:rPr>
            </w:pPr>
            <w:r w:rsidRPr="00A83597">
              <w:rPr>
                <w:b/>
                <w:bCs/>
              </w:rPr>
              <w:t>I</w:t>
            </w:r>
          </w:p>
        </w:tc>
        <w:tc>
          <w:tcPr>
            <w:tcW w:w="470" w:type="dxa"/>
          </w:tcPr>
          <w:p w14:paraId="26A23D12" w14:textId="77777777" w:rsidR="00140260" w:rsidRPr="00A83597" w:rsidRDefault="00140260" w:rsidP="009B6A87">
            <w:pPr>
              <w:jc w:val="both"/>
              <w:rPr>
                <w:b/>
                <w:bCs/>
              </w:rPr>
            </w:pPr>
            <w:r w:rsidRPr="00A83597">
              <w:rPr>
                <w:b/>
                <w:bCs/>
              </w:rPr>
              <w:t>R</w:t>
            </w:r>
          </w:p>
        </w:tc>
        <w:tc>
          <w:tcPr>
            <w:tcW w:w="470" w:type="dxa"/>
          </w:tcPr>
          <w:p w14:paraId="390DB2AE" w14:textId="77777777" w:rsidR="00140260" w:rsidRPr="00A83597" w:rsidRDefault="00140260" w:rsidP="009B6A87">
            <w:pPr>
              <w:jc w:val="both"/>
              <w:rPr>
                <w:b/>
                <w:bCs/>
              </w:rPr>
            </w:pPr>
            <w:r w:rsidRPr="00A83597">
              <w:rPr>
                <w:b/>
                <w:bCs/>
              </w:rPr>
              <w:t>D</w:t>
            </w:r>
          </w:p>
        </w:tc>
        <w:tc>
          <w:tcPr>
            <w:tcW w:w="470" w:type="dxa"/>
            <w:shd w:val="clear" w:color="auto" w:fill="FDE9D9" w:themeFill="accent6" w:themeFillTint="33"/>
          </w:tcPr>
          <w:p w14:paraId="5D8CA090" w14:textId="77777777" w:rsidR="00140260" w:rsidRPr="00A83597" w:rsidRDefault="00140260" w:rsidP="009B6A87">
            <w:pPr>
              <w:jc w:val="both"/>
              <w:rPr>
                <w:b/>
                <w:bCs/>
              </w:rPr>
            </w:pPr>
            <w:r w:rsidRPr="00A83597">
              <w:rPr>
                <w:b/>
                <w:bCs/>
              </w:rPr>
              <w:t>O</w:t>
            </w:r>
          </w:p>
        </w:tc>
        <w:tc>
          <w:tcPr>
            <w:tcW w:w="470" w:type="dxa"/>
            <w:shd w:val="clear" w:color="auto" w:fill="FDE9D9" w:themeFill="accent6" w:themeFillTint="33"/>
          </w:tcPr>
          <w:p w14:paraId="76F8AEF8" w14:textId="77777777" w:rsidR="00140260" w:rsidRPr="00A83597" w:rsidRDefault="00140260" w:rsidP="009B6A87">
            <w:pPr>
              <w:jc w:val="both"/>
              <w:rPr>
                <w:b/>
                <w:bCs/>
              </w:rPr>
            </w:pPr>
            <w:r w:rsidRPr="00A83597">
              <w:rPr>
                <w:b/>
                <w:bCs/>
              </w:rPr>
              <w:t>E</w:t>
            </w:r>
          </w:p>
        </w:tc>
        <w:tc>
          <w:tcPr>
            <w:tcW w:w="479" w:type="dxa"/>
          </w:tcPr>
          <w:p w14:paraId="3D5D4732" w14:textId="77777777" w:rsidR="00140260" w:rsidRPr="00A83597" w:rsidRDefault="00140260" w:rsidP="009B6A87">
            <w:pPr>
              <w:jc w:val="both"/>
              <w:rPr>
                <w:b/>
                <w:bCs/>
              </w:rPr>
            </w:pPr>
            <w:r w:rsidRPr="00A83597">
              <w:rPr>
                <w:b/>
                <w:bCs/>
              </w:rPr>
              <w:t>Vi</w:t>
            </w:r>
          </w:p>
        </w:tc>
        <w:tc>
          <w:tcPr>
            <w:tcW w:w="484" w:type="dxa"/>
          </w:tcPr>
          <w:p w14:paraId="3E81209B" w14:textId="77777777" w:rsidR="00140260" w:rsidRPr="00A83597" w:rsidRDefault="00140260" w:rsidP="009B6A87">
            <w:pPr>
              <w:jc w:val="both"/>
              <w:rPr>
                <w:b/>
                <w:bCs/>
              </w:rPr>
            </w:pPr>
            <w:r w:rsidRPr="00A83597">
              <w:rPr>
                <w:b/>
                <w:bCs/>
              </w:rPr>
              <w:t>Su</w:t>
            </w:r>
          </w:p>
        </w:tc>
        <w:tc>
          <w:tcPr>
            <w:tcW w:w="470" w:type="dxa"/>
          </w:tcPr>
          <w:p w14:paraId="7ACCB32C" w14:textId="77777777" w:rsidR="00140260" w:rsidRPr="00A83597" w:rsidRDefault="00140260" w:rsidP="009B6A87">
            <w:pPr>
              <w:jc w:val="both"/>
              <w:rPr>
                <w:b/>
                <w:bCs/>
              </w:rPr>
            </w:pPr>
            <w:r w:rsidRPr="00A83597">
              <w:rPr>
                <w:b/>
                <w:bCs/>
              </w:rPr>
              <w:t>P</w:t>
            </w:r>
          </w:p>
        </w:tc>
        <w:tc>
          <w:tcPr>
            <w:tcW w:w="487" w:type="dxa"/>
          </w:tcPr>
          <w:p w14:paraId="1A028929" w14:textId="77777777" w:rsidR="00140260" w:rsidRPr="00A83597" w:rsidRDefault="00140260" w:rsidP="009B6A87">
            <w:pPr>
              <w:jc w:val="both"/>
              <w:rPr>
                <w:b/>
                <w:bCs/>
              </w:rPr>
            </w:pPr>
            <w:r w:rsidRPr="00A83597">
              <w:rPr>
                <w:b/>
                <w:bCs/>
              </w:rPr>
              <w:t>Fu</w:t>
            </w:r>
          </w:p>
        </w:tc>
      </w:tr>
      <w:tr w:rsidR="00140260" w:rsidRPr="00A83597" w14:paraId="6187F229" w14:textId="77777777" w:rsidTr="009B6A87">
        <w:trPr>
          <w:jc w:val="center"/>
        </w:trPr>
        <w:tc>
          <w:tcPr>
            <w:tcW w:w="2107" w:type="dxa"/>
          </w:tcPr>
          <w:p w14:paraId="415F3D94" w14:textId="74E49A20" w:rsidR="00140260" w:rsidRPr="00A83597" w:rsidRDefault="001A0F0D" w:rsidP="009B6A87">
            <w:pPr>
              <w:jc w:val="both"/>
            </w:pPr>
            <w:proofErr w:type="spellStart"/>
            <w:r>
              <w:t>Asep</w:t>
            </w:r>
            <w:proofErr w:type="spellEnd"/>
            <w:r>
              <w:t xml:space="preserve"> </w:t>
            </w:r>
            <w:proofErr w:type="spellStart"/>
            <w:r>
              <w:t>Surahman</w:t>
            </w:r>
            <w:proofErr w:type="spellEnd"/>
            <w:r>
              <w:t xml:space="preserve"> </w:t>
            </w:r>
            <w:proofErr w:type="spellStart"/>
            <w:r>
              <w:t>Sulaeman</w:t>
            </w:r>
            <w:proofErr w:type="spellEnd"/>
          </w:p>
        </w:tc>
        <w:tc>
          <w:tcPr>
            <w:tcW w:w="471" w:type="dxa"/>
            <w:shd w:val="clear" w:color="auto" w:fill="DAEEF3" w:themeFill="accent5" w:themeFillTint="33"/>
          </w:tcPr>
          <w:p w14:paraId="7DCA25D0" w14:textId="77777777" w:rsidR="00140260" w:rsidRPr="00A83597" w:rsidRDefault="00140260" w:rsidP="009B6A87">
            <w:pPr>
              <w:jc w:val="both"/>
            </w:pPr>
            <w:r w:rsidRPr="00A83597">
              <w:sym w:font="Wingdings" w:char="F0FC"/>
            </w:r>
          </w:p>
        </w:tc>
        <w:tc>
          <w:tcPr>
            <w:tcW w:w="476" w:type="dxa"/>
            <w:shd w:val="clear" w:color="auto" w:fill="DAEEF3" w:themeFill="accent5" w:themeFillTint="33"/>
          </w:tcPr>
          <w:p w14:paraId="4F198E9A" w14:textId="77777777" w:rsidR="00140260" w:rsidRPr="00A83597" w:rsidRDefault="00140260" w:rsidP="009B6A87">
            <w:pPr>
              <w:jc w:val="both"/>
            </w:pPr>
            <w:r w:rsidRPr="00A83597">
              <w:sym w:font="Wingdings" w:char="F0FC"/>
            </w:r>
          </w:p>
        </w:tc>
        <w:tc>
          <w:tcPr>
            <w:tcW w:w="481" w:type="dxa"/>
          </w:tcPr>
          <w:p w14:paraId="22809578" w14:textId="77777777" w:rsidR="00140260" w:rsidRPr="00A83597" w:rsidRDefault="00140260" w:rsidP="009B6A87">
            <w:pPr>
              <w:jc w:val="both"/>
            </w:pPr>
            <w:r w:rsidRPr="00A83597">
              <w:sym w:font="Wingdings" w:char="F0FC"/>
            </w:r>
          </w:p>
        </w:tc>
        <w:tc>
          <w:tcPr>
            <w:tcW w:w="489" w:type="dxa"/>
          </w:tcPr>
          <w:p w14:paraId="39F2E92C" w14:textId="77777777" w:rsidR="00140260" w:rsidRPr="00A83597" w:rsidRDefault="00140260" w:rsidP="009B6A87">
            <w:pPr>
              <w:jc w:val="both"/>
            </w:pPr>
            <w:r w:rsidRPr="00A83597">
              <w:sym w:font="Wingdings" w:char="F0FC"/>
            </w:r>
          </w:p>
        </w:tc>
        <w:tc>
          <w:tcPr>
            <w:tcW w:w="484" w:type="dxa"/>
            <w:shd w:val="clear" w:color="auto" w:fill="DAEEF3" w:themeFill="accent5" w:themeFillTint="33"/>
          </w:tcPr>
          <w:p w14:paraId="36E808E3" w14:textId="77777777" w:rsidR="00140260" w:rsidRPr="00A83597" w:rsidRDefault="00140260" w:rsidP="009B6A87">
            <w:pPr>
              <w:jc w:val="both"/>
            </w:pPr>
            <w:r w:rsidRPr="00A83597">
              <w:sym w:font="Wingdings" w:char="F0FC"/>
            </w:r>
          </w:p>
        </w:tc>
        <w:tc>
          <w:tcPr>
            <w:tcW w:w="470" w:type="dxa"/>
            <w:shd w:val="clear" w:color="auto" w:fill="DAEEF3" w:themeFill="accent5" w:themeFillTint="33"/>
          </w:tcPr>
          <w:p w14:paraId="7EA9C660" w14:textId="77777777" w:rsidR="00140260" w:rsidRPr="00A83597" w:rsidRDefault="00140260" w:rsidP="009B6A87">
            <w:pPr>
              <w:jc w:val="both"/>
            </w:pPr>
            <w:r w:rsidRPr="00A83597">
              <w:sym w:font="Wingdings" w:char="F0FC"/>
            </w:r>
          </w:p>
        </w:tc>
        <w:tc>
          <w:tcPr>
            <w:tcW w:w="470" w:type="dxa"/>
          </w:tcPr>
          <w:p w14:paraId="522C4FE1" w14:textId="77C5D9A2" w:rsidR="00140260" w:rsidRPr="00A83597" w:rsidRDefault="00B453AF" w:rsidP="009B6A87">
            <w:pPr>
              <w:jc w:val="both"/>
            </w:pPr>
            <w:r w:rsidRPr="00A83597">
              <w:sym w:font="Wingdings" w:char="F0FC"/>
            </w:r>
          </w:p>
        </w:tc>
        <w:tc>
          <w:tcPr>
            <w:tcW w:w="470" w:type="dxa"/>
          </w:tcPr>
          <w:p w14:paraId="09014016"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10043B33"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0D5FD7A4" w14:textId="77777777" w:rsidR="00140260" w:rsidRPr="00A83597" w:rsidRDefault="00140260" w:rsidP="009B6A87">
            <w:pPr>
              <w:jc w:val="both"/>
            </w:pPr>
            <w:r w:rsidRPr="00A83597">
              <w:sym w:font="Wingdings" w:char="F0FC"/>
            </w:r>
          </w:p>
        </w:tc>
        <w:tc>
          <w:tcPr>
            <w:tcW w:w="479" w:type="dxa"/>
          </w:tcPr>
          <w:p w14:paraId="30E06653" w14:textId="7C3B245E" w:rsidR="00140260" w:rsidRPr="00A83597" w:rsidRDefault="00B453AF" w:rsidP="009B6A87">
            <w:pPr>
              <w:jc w:val="both"/>
            </w:pPr>
            <w:r w:rsidRPr="00A83597">
              <w:sym w:font="Wingdings" w:char="F0FC"/>
            </w:r>
          </w:p>
        </w:tc>
        <w:tc>
          <w:tcPr>
            <w:tcW w:w="484" w:type="dxa"/>
          </w:tcPr>
          <w:p w14:paraId="2BC25D63" w14:textId="77777777" w:rsidR="00140260" w:rsidRPr="00A83597" w:rsidRDefault="00140260" w:rsidP="009B6A87">
            <w:pPr>
              <w:jc w:val="both"/>
            </w:pPr>
          </w:p>
        </w:tc>
        <w:tc>
          <w:tcPr>
            <w:tcW w:w="470" w:type="dxa"/>
          </w:tcPr>
          <w:p w14:paraId="5A8573A2" w14:textId="77777777" w:rsidR="00140260" w:rsidRPr="00A83597" w:rsidRDefault="00140260" w:rsidP="009B6A87">
            <w:pPr>
              <w:jc w:val="both"/>
            </w:pPr>
            <w:r w:rsidRPr="00A83597">
              <w:sym w:font="Wingdings" w:char="F0FC"/>
            </w:r>
          </w:p>
        </w:tc>
        <w:tc>
          <w:tcPr>
            <w:tcW w:w="487" w:type="dxa"/>
          </w:tcPr>
          <w:p w14:paraId="4CB1F16E" w14:textId="03EF288E" w:rsidR="00140260" w:rsidRPr="00A83597" w:rsidRDefault="00B453AF" w:rsidP="009B6A87">
            <w:pPr>
              <w:jc w:val="both"/>
            </w:pPr>
            <w:r w:rsidRPr="00A83597">
              <w:sym w:font="Wingdings" w:char="F0FC"/>
            </w:r>
          </w:p>
        </w:tc>
      </w:tr>
      <w:tr w:rsidR="00140260" w:rsidRPr="00A83597" w14:paraId="6594F2BF" w14:textId="77777777" w:rsidTr="009B6A87">
        <w:trPr>
          <w:jc w:val="center"/>
        </w:trPr>
        <w:tc>
          <w:tcPr>
            <w:tcW w:w="2107" w:type="dxa"/>
          </w:tcPr>
          <w:p w14:paraId="3761E9A2" w14:textId="40CE0B7C" w:rsidR="00140260" w:rsidRPr="00A83597" w:rsidRDefault="00B477CA" w:rsidP="009B6A87">
            <w:pPr>
              <w:jc w:val="both"/>
            </w:pPr>
            <w:r>
              <w:t xml:space="preserve">Deden </w:t>
            </w:r>
            <w:proofErr w:type="spellStart"/>
            <w:r>
              <w:t>Witarsyah</w:t>
            </w:r>
            <w:proofErr w:type="spellEnd"/>
          </w:p>
        </w:tc>
        <w:tc>
          <w:tcPr>
            <w:tcW w:w="471" w:type="dxa"/>
            <w:shd w:val="clear" w:color="auto" w:fill="DAEEF3" w:themeFill="accent5" w:themeFillTint="33"/>
          </w:tcPr>
          <w:p w14:paraId="424CC46B" w14:textId="77777777" w:rsidR="00140260" w:rsidRPr="00A83597" w:rsidRDefault="00140260" w:rsidP="009B6A87">
            <w:pPr>
              <w:jc w:val="both"/>
            </w:pPr>
          </w:p>
        </w:tc>
        <w:tc>
          <w:tcPr>
            <w:tcW w:w="476" w:type="dxa"/>
            <w:shd w:val="clear" w:color="auto" w:fill="DAEEF3" w:themeFill="accent5" w:themeFillTint="33"/>
          </w:tcPr>
          <w:p w14:paraId="16180B2D" w14:textId="4C4E1911" w:rsidR="00140260" w:rsidRPr="00A83597" w:rsidRDefault="00140260" w:rsidP="009B6A87">
            <w:pPr>
              <w:jc w:val="both"/>
            </w:pPr>
          </w:p>
        </w:tc>
        <w:tc>
          <w:tcPr>
            <w:tcW w:w="481" w:type="dxa"/>
          </w:tcPr>
          <w:p w14:paraId="337169B5" w14:textId="77777777" w:rsidR="00140260" w:rsidRPr="00A83597" w:rsidRDefault="00140260" w:rsidP="009B6A87">
            <w:pPr>
              <w:jc w:val="both"/>
            </w:pPr>
          </w:p>
        </w:tc>
        <w:tc>
          <w:tcPr>
            <w:tcW w:w="489" w:type="dxa"/>
          </w:tcPr>
          <w:p w14:paraId="20F10C9D" w14:textId="77777777" w:rsidR="00140260" w:rsidRPr="00A83597" w:rsidRDefault="00140260" w:rsidP="009B6A87">
            <w:pPr>
              <w:jc w:val="both"/>
            </w:pPr>
          </w:p>
        </w:tc>
        <w:tc>
          <w:tcPr>
            <w:tcW w:w="484" w:type="dxa"/>
            <w:shd w:val="clear" w:color="auto" w:fill="DAEEF3" w:themeFill="accent5" w:themeFillTint="33"/>
          </w:tcPr>
          <w:p w14:paraId="5A7D9DED" w14:textId="77777777" w:rsidR="00140260" w:rsidRPr="00A83597" w:rsidRDefault="00140260" w:rsidP="009B6A87">
            <w:pPr>
              <w:jc w:val="both"/>
            </w:pPr>
          </w:p>
        </w:tc>
        <w:tc>
          <w:tcPr>
            <w:tcW w:w="470" w:type="dxa"/>
            <w:shd w:val="clear" w:color="auto" w:fill="DAEEF3" w:themeFill="accent5" w:themeFillTint="33"/>
          </w:tcPr>
          <w:p w14:paraId="20208476" w14:textId="77777777" w:rsidR="00140260" w:rsidRPr="00A83597" w:rsidRDefault="00140260" w:rsidP="009B6A87">
            <w:pPr>
              <w:jc w:val="both"/>
            </w:pPr>
            <w:r w:rsidRPr="00A83597">
              <w:sym w:font="Wingdings" w:char="F0FC"/>
            </w:r>
          </w:p>
        </w:tc>
        <w:tc>
          <w:tcPr>
            <w:tcW w:w="470" w:type="dxa"/>
          </w:tcPr>
          <w:p w14:paraId="1A8663E8" w14:textId="77777777" w:rsidR="00140260" w:rsidRPr="00A83597" w:rsidRDefault="00140260" w:rsidP="009B6A87">
            <w:pPr>
              <w:jc w:val="both"/>
            </w:pPr>
          </w:p>
        </w:tc>
        <w:tc>
          <w:tcPr>
            <w:tcW w:w="470" w:type="dxa"/>
          </w:tcPr>
          <w:p w14:paraId="30B3883C" w14:textId="2E4CF7DD" w:rsidR="00140260" w:rsidRPr="00A83597" w:rsidRDefault="00140260" w:rsidP="009B6A87">
            <w:pPr>
              <w:jc w:val="both"/>
            </w:pPr>
          </w:p>
        </w:tc>
        <w:tc>
          <w:tcPr>
            <w:tcW w:w="470" w:type="dxa"/>
            <w:shd w:val="clear" w:color="auto" w:fill="FDE9D9" w:themeFill="accent6" w:themeFillTint="33"/>
          </w:tcPr>
          <w:p w14:paraId="727E2E2D"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6DBE6004" w14:textId="77777777" w:rsidR="00140260" w:rsidRPr="00A83597" w:rsidRDefault="00140260" w:rsidP="009B6A87">
            <w:pPr>
              <w:jc w:val="both"/>
            </w:pPr>
            <w:r w:rsidRPr="00A83597">
              <w:sym w:font="Wingdings" w:char="F0FC"/>
            </w:r>
          </w:p>
        </w:tc>
        <w:tc>
          <w:tcPr>
            <w:tcW w:w="479" w:type="dxa"/>
          </w:tcPr>
          <w:p w14:paraId="3B767A68" w14:textId="4340E597" w:rsidR="00140260" w:rsidRPr="00A83597" w:rsidRDefault="00140260" w:rsidP="009B6A87">
            <w:pPr>
              <w:jc w:val="both"/>
            </w:pPr>
          </w:p>
        </w:tc>
        <w:tc>
          <w:tcPr>
            <w:tcW w:w="484" w:type="dxa"/>
          </w:tcPr>
          <w:p w14:paraId="4B42B27C" w14:textId="77777777" w:rsidR="00140260" w:rsidRPr="00A83597" w:rsidRDefault="00140260" w:rsidP="009B6A87">
            <w:pPr>
              <w:jc w:val="both"/>
            </w:pPr>
            <w:r w:rsidRPr="00A83597">
              <w:sym w:font="Wingdings" w:char="F0FC"/>
            </w:r>
          </w:p>
        </w:tc>
        <w:tc>
          <w:tcPr>
            <w:tcW w:w="470" w:type="dxa"/>
          </w:tcPr>
          <w:p w14:paraId="58C61C8E" w14:textId="77777777" w:rsidR="00140260" w:rsidRPr="00A83597" w:rsidRDefault="00140260" w:rsidP="009B6A87">
            <w:pPr>
              <w:jc w:val="both"/>
            </w:pPr>
          </w:p>
        </w:tc>
        <w:tc>
          <w:tcPr>
            <w:tcW w:w="487" w:type="dxa"/>
          </w:tcPr>
          <w:p w14:paraId="434267CD" w14:textId="77777777" w:rsidR="00140260" w:rsidRPr="00A83597" w:rsidRDefault="00140260" w:rsidP="009B6A87">
            <w:pPr>
              <w:jc w:val="both"/>
            </w:pPr>
          </w:p>
        </w:tc>
      </w:tr>
      <w:tr w:rsidR="00140260" w:rsidRPr="00A83597" w14:paraId="041D0C17" w14:textId="77777777" w:rsidTr="009B6A87">
        <w:trPr>
          <w:jc w:val="center"/>
        </w:trPr>
        <w:tc>
          <w:tcPr>
            <w:tcW w:w="2107" w:type="dxa"/>
          </w:tcPr>
          <w:p w14:paraId="1E3169F9" w14:textId="0B8DE818" w:rsidR="00140260" w:rsidRPr="00A83597" w:rsidRDefault="00B477CA" w:rsidP="009B6A87">
            <w:pPr>
              <w:jc w:val="both"/>
            </w:pPr>
            <w:r>
              <w:t>Aswan Supriyadi Sunge</w:t>
            </w:r>
          </w:p>
        </w:tc>
        <w:tc>
          <w:tcPr>
            <w:tcW w:w="471" w:type="dxa"/>
            <w:shd w:val="clear" w:color="auto" w:fill="DAEEF3" w:themeFill="accent5" w:themeFillTint="33"/>
          </w:tcPr>
          <w:p w14:paraId="68BB2E1A" w14:textId="5E0DA3B4" w:rsidR="00140260" w:rsidRPr="00A83597" w:rsidRDefault="00140260" w:rsidP="009B6A87">
            <w:pPr>
              <w:jc w:val="both"/>
            </w:pPr>
          </w:p>
        </w:tc>
        <w:tc>
          <w:tcPr>
            <w:tcW w:w="476" w:type="dxa"/>
            <w:shd w:val="clear" w:color="auto" w:fill="DAEEF3" w:themeFill="accent5" w:themeFillTint="33"/>
          </w:tcPr>
          <w:p w14:paraId="6FE48192" w14:textId="77777777" w:rsidR="00140260" w:rsidRPr="00A83597" w:rsidRDefault="00140260" w:rsidP="009B6A87">
            <w:pPr>
              <w:jc w:val="both"/>
            </w:pPr>
          </w:p>
        </w:tc>
        <w:tc>
          <w:tcPr>
            <w:tcW w:w="481" w:type="dxa"/>
          </w:tcPr>
          <w:p w14:paraId="2C4BADFC" w14:textId="6AF891A7" w:rsidR="00140260" w:rsidRPr="00A83597" w:rsidRDefault="00140260" w:rsidP="009B6A87">
            <w:pPr>
              <w:jc w:val="both"/>
            </w:pPr>
          </w:p>
        </w:tc>
        <w:tc>
          <w:tcPr>
            <w:tcW w:w="489" w:type="dxa"/>
          </w:tcPr>
          <w:p w14:paraId="6E5E5E68" w14:textId="5CF8990B" w:rsidR="00140260" w:rsidRPr="00A83597" w:rsidRDefault="00140260" w:rsidP="009B6A87">
            <w:pPr>
              <w:jc w:val="both"/>
            </w:pPr>
          </w:p>
        </w:tc>
        <w:tc>
          <w:tcPr>
            <w:tcW w:w="484" w:type="dxa"/>
            <w:shd w:val="clear" w:color="auto" w:fill="DAEEF3" w:themeFill="accent5" w:themeFillTint="33"/>
          </w:tcPr>
          <w:p w14:paraId="3558AF06" w14:textId="77777777" w:rsidR="00140260" w:rsidRPr="00A83597" w:rsidRDefault="00140260" w:rsidP="009B6A87">
            <w:pPr>
              <w:jc w:val="both"/>
            </w:pPr>
          </w:p>
        </w:tc>
        <w:tc>
          <w:tcPr>
            <w:tcW w:w="470" w:type="dxa"/>
            <w:shd w:val="clear" w:color="auto" w:fill="DAEEF3" w:themeFill="accent5" w:themeFillTint="33"/>
          </w:tcPr>
          <w:p w14:paraId="263F3ABE" w14:textId="12824A9E" w:rsidR="00140260" w:rsidRPr="00A83597" w:rsidRDefault="005B78D5" w:rsidP="009B6A87">
            <w:pPr>
              <w:jc w:val="both"/>
            </w:pPr>
            <w:r w:rsidRPr="00A83597">
              <w:sym w:font="Wingdings" w:char="F0FC"/>
            </w:r>
          </w:p>
        </w:tc>
        <w:tc>
          <w:tcPr>
            <w:tcW w:w="470" w:type="dxa"/>
          </w:tcPr>
          <w:p w14:paraId="62BD6263" w14:textId="16674301" w:rsidR="00140260" w:rsidRPr="00A83597" w:rsidRDefault="00140260" w:rsidP="009B6A87">
            <w:pPr>
              <w:jc w:val="both"/>
            </w:pPr>
          </w:p>
        </w:tc>
        <w:tc>
          <w:tcPr>
            <w:tcW w:w="470" w:type="dxa"/>
          </w:tcPr>
          <w:p w14:paraId="1674683A" w14:textId="77777777" w:rsidR="00140260" w:rsidRPr="00A83597" w:rsidRDefault="00140260" w:rsidP="009B6A87">
            <w:pPr>
              <w:jc w:val="both"/>
            </w:pPr>
          </w:p>
        </w:tc>
        <w:tc>
          <w:tcPr>
            <w:tcW w:w="470" w:type="dxa"/>
            <w:shd w:val="clear" w:color="auto" w:fill="FDE9D9" w:themeFill="accent6" w:themeFillTint="33"/>
          </w:tcPr>
          <w:p w14:paraId="0ACF4101" w14:textId="59CDB260" w:rsidR="00140260" w:rsidRPr="00A83597" w:rsidRDefault="005B78D5" w:rsidP="009B6A87">
            <w:pPr>
              <w:jc w:val="both"/>
            </w:pPr>
            <w:r w:rsidRPr="00A83597">
              <w:sym w:font="Wingdings" w:char="F0FC"/>
            </w:r>
          </w:p>
        </w:tc>
        <w:tc>
          <w:tcPr>
            <w:tcW w:w="470" w:type="dxa"/>
            <w:shd w:val="clear" w:color="auto" w:fill="FDE9D9" w:themeFill="accent6" w:themeFillTint="33"/>
          </w:tcPr>
          <w:p w14:paraId="4BFD853A" w14:textId="77777777" w:rsidR="00140260" w:rsidRPr="00A83597" w:rsidRDefault="00140260" w:rsidP="009B6A87">
            <w:pPr>
              <w:jc w:val="both"/>
            </w:pPr>
            <w:r w:rsidRPr="00A83597">
              <w:sym w:font="Wingdings" w:char="F0FC"/>
            </w:r>
          </w:p>
        </w:tc>
        <w:tc>
          <w:tcPr>
            <w:tcW w:w="479" w:type="dxa"/>
          </w:tcPr>
          <w:p w14:paraId="57ECCEF2" w14:textId="2BB4AE18" w:rsidR="00140260" w:rsidRPr="00A83597" w:rsidRDefault="00140260" w:rsidP="009B6A87">
            <w:pPr>
              <w:jc w:val="both"/>
            </w:pPr>
          </w:p>
        </w:tc>
        <w:tc>
          <w:tcPr>
            <w:tcW w:w="484" w:type="dxa"/>
          </w:tcPr>
          <w:p w14:paraId="32CC01B1" w14:textId="2EEF2441" w:rsidR="00140260" w:rsidRPr="00A83597" w:rsidRDefault="007751B3" w:rsidP="009B6A87">
            <w:pPr>
              <w:jc w:val="both"/>
            </w:pPr>
            <w:r w:rsidRPr="00A83597">
              <w:sym w:font="Wingdings" w:char="F0FC"/>
            </w:r>
          </w:p>
        </w:tc>
        <w:tc>
          <w:tcPr>
            <w:tcW w:w="470" w:type="dxa"/>
          </w:tcPr>
          <w:p w14:paraId="5769ACBB" w14:textId="2E5FD9AE" w:rsidR="00140260" w:rsidRPr="00A83597" w:rsidRDefault="00140260" w:rsidP="009B6A87">
            <w:pPr>
              <w:jc w:val="both"/>
            </w:pPr>
          </w:p>
        </w:tc>
        <w:tc>
          <w:tcPr>
            <w:tcW w:w="487" w:type="dxa"/>
          </w:tcPr>
          <w:p w14:paraId="0C145C13" w14:textId="2E2EB550" w:rsidR="00140260" w:rsidRPr="00A83597" w:rsidRDefault="00140260" w:rsidP="009B6A87">
            <w:pPr>
              <w:jc w:val="both"/>
            </w:pPr>
          </w:p>
        </w:tc>
      </w:tr>
    </w:tbl>
    <w:p w14:paraId="14004709" w14:textId="77777777" w:rsidR="00140260" w:rsidRDefault="00140260" w:rsidP="0014026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140260" w:rsidRPr="003420B5" w14:paraId="05F2A420" w14:textId="77777777" w:rsidTr="009B6A87">
        <w:trPr>
          <w:jc w:val="center"/>
        </w:trPr>
        <w:tc>
          <w:tcPr>
            <w:tcW w:w="2863" w:type="dxa"/>
          </w:tcPr>
          <w:p w14:paraId="69B1E707" w14:textId="77777777" w:rsidR="00140260" w:rsidRPr="003420B5" w:rsidRDefault="00140260"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68F8F1AD" w14:textId="77777777" w:rsidR="00140260" w:rsidRPr="003420B5" w:rsidRDefault="00140260"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315C5689" w14:textId="77777777" w:rsidR="00140260" w:rsidRPr="003420B5" w:rsidRDefault="00140260"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3E7093B2" w14:textId="77777777" w:rsidR="00140260" w:rsidRPr="003420B5" w:rsidRDefault="00140260"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7FDEE9E7" w14:textId="77777777" w:rsidR="00140260" w:rsidRPr="003420B5" w:rsidRDefault="00140260"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25C045BF" w14:textId="77777777" w:rsidR="00140260" w:rsidRPr="003420B5" w:rsidRDefault="00140260"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5C40698E" w14:textId="77777777" w:rsidR="00140260" w:rsidRPr="003420B5" w:rsidRDefault="00140260"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2E1E5D21" w14:textId="77777777" w:rsidR="00140260" w:rsidRPr="003420B5" w:rsidRDefault="00140260"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5DE78E15" w14:textId="77777777" w:rsidR="00140260" w:rsidRPr="003420B5" w:rsidRDefault="00140260"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1742A654" w14:textId="77777777" w:rsidR="00140260" w:rsidRPr="003420B5" w:rsidRDefault="00140260"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72F3B12A" w14:textId="77777777" w:rsidR="00140260" w:rsidRPr="003420B5" w:rsidRDefault="00140260"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09E0917F" w14:textId="77777777" w:rsidR="00140260" w:rsidRPr="003420B5" w:rsidRDefault="00140260"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073A64B8" w14:textId="77777777" w:rsidR="00140260" w:rsidRPr="003420B5" w:rsidRDefault="00140260"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6636A76E" w14:textId="77777777" w:rsidR="00140260" w:rsidRPr="003420B5" w:rsidRDefault="00140260"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59C216D4" w14:textId="77777777" w:rsidR="00140260" w:rsidRPr="003420B5" w:rsidRDefault="00140260" w:rsidP="009B6A87">
            <w:pPr>
              <w:tabs>
                <w:tab w:val="left" w:pos="284"/>
                <w:tab w:val="left" w:pos="426"/>
              </w:tabs>
              <w:jc w:val="both"/>
            </w:pPr>
          </w:p>
        </w:tc>
      </w:tr>
    </w:tbl>
    <w:p w14:paraId="65E91909" w14:textId="77777777" w:rsidR="00875A0C" w:rsidRPr="00FC1023" w:rsidRDefault="00875A0C" w:rsidP="00875A0C">
      <w:pPr>
        <w:jc w:val="both"/>
      </w:pPr>
    </w:p>
    <w:p w14:paraId="7BC6B338" w14:textId="77777777" w:rsidR="008F7C6C" w:rsidRPr="00FC1023" w:rsidRDefault="008F7C6C" w:rsidP="00875A0C">
      <w:pPr>
        <w:jc w:val="both"/>
      </w:pPr>
    </w:p>
    <w:p w14:paraId="3A726302" w14:textId="32DB17F1" w:rsidR="00875A0C" w:rsidRPr="00FC1023" w:rsidRDefault="00875A0C" w:rsidP="00875A0C">
      <w:pPr>
        <w:jc w:val="both"/>
        <w:rPr>
          <w:b/>
          <w:bCs/>
        </w:rPr>
      </w:pPr>
      <w:r w:rsidRPr="00FC1023">
        <w:rPr>
          <w:b/>
          <w:bCs/>
        </w:rPr>
        <w:t>CONFLICT OF INTEREST STATEMENT</w:t>
      </w:r>
    </w:p>
    <w:p w14:paraId="1C384A6F" w14:textId="480AE705" w:rsidR="00875A0C" w:rsidRPr="00FC1023" w:rsidRDefault="004208FC" w:rsidP="00875A0C">
      <w:pPr>
        <w:tabs>
          <w:tab w:val="left" w:pos="284"/>
          <w:tab w:val="left" w:pos="426"/>
        </w:tabs>
        <w:jc w:val="both"/>
      </w:pPr>
      <w:r>
        <w:tab/>
      </w:r>
      <w:r>
        <w:tab/>
      </w:r>
      <w:r>
        <w:tab/>
      </w:r>
      <w:r w:rsidRPr="004208FC">
        <w:t>Authors state no conflict of interest.</w:t>
      </w:r>
    </w:p>
    <w:p w14:paraId="368C3B19" w14:textId="77777777" w:rsidR="00875A0C" w:rsidRPr="00FC1023" w:rsidRDefault="00875A0C" w:rsidP="00875A0C">
      <w:pPr>
        <w:jc w:val="both"/>
        <w:rPr>
          <w:b/>
          <w:bCs/>
        </w:rPr>
      </w:pPr>
    </w:p>
    <w:p w14:paraId="4F065C4C" w14:textId="77777777" w:rsidR="00875A0C" w:rsidRPr="00FC1023" w:rsidRDefault="00875A0C" w:rsidP="00875A0C">
      <w:pPr>
        <w:jc w:val="both"/>
        <w:rPr>
          <w:b/>
          <w:bCs/>
        </w:rPr>
      </w:pPr>
    </w:p>
    <w:p w14:paraId="5B07927B" w14:textId="396E861D" w:rsidR="00140260" w:rsidRPr="00A83597" w:rsidRDefault="00140260" w:rsidP="00140260">
      <w:pPr>
        <w:jc w:val="both"/>
        <w:rPr>
          <w:b/>
          <w:bCs/>
        </w:rPr>
      </w:pPr>
      <w:r w:rsidRPr="00A83597">
        <w:rPr>
          <w:b/>
          <w:bCs/>
        </w:rPr>
        <w:t>DATA AVAILABILITY</w:t>
      </w:r>
    </w:p>
    <w:p w14:paraId="76AA37EB" w14:textId="73218FDD" w:rsidR="006E1F55" w:rsidRDefault="000329A7" w:rsidP="000329A7">
      <w:pPr>
        <w:tabs>
          <w:tab w:val="left" w:pos="284"/>
          <w:tab w:val="left" w:pos="426"/>
        </w:tabs>
        <w:ind w:firstLine="709"/>
        <w:jc w:val="both"/>
      </w:pPr>
      <w:r>
        <w:t>The data that support the findings of this study are available from the corresponding author, upon reasonable request</w:t>
      </w:r>
      <w:r w:rsidR="00140260" w:rsidRPr="00A83597">
        <w:t xml:space="preserve"> </w:t>
      </w:r>
      <w:r>
        <w:t>.</w:t>
      </w:r>
    </w:p>
    <w:p w14:paraId="06E1EBC6" w14:textId="77777777" w:rsidR="000F5154" w:rsidRDefault="000F5154" w:rsidP="000F5154">
      <w:pPr>
        <w:tabs>
          <w:tab w:val="left" w:pos="284"/>
          <w:tab w:val="left" w:pos="426"/>
        </w:tabs>
        <w:ind w:firstLine="709"/>
        <w:jc w:val="both"/>
      </w:pPr>
    </w:p>
    <w:p w14:paraId="52490CDC" w14:textId="77777777" w:rsidR="000F5154" w:rsidRPr="00FC1023" w:rsidRDefault="000F5154" w:rsidP="000F5154">
      <w:pPr>
        <w:tabs>
          <w:tab w:val="left" w:pos="284"/>
          <w:tab w:val="left" w:pos="426"/>
        </w:tabs>
        <w:ind w:firstLine="709"/>
        <w:jc w:val="both"/>
        <w:rPr>
          <w:i/>
          <w:iCs/>
          <w:color w:val="000000"/>
          <w:sz w:val="18"/>
          <w:szCs w:val="18"/>
        </w:rPr>
      </w:pPr>
    </w:p>
    <w:p w14:paraId="7B303AAA" w14:textId="77777777" w:rsidR="006E1F55" w:rsidRPr="00FC1023" w:rsidRDefault="006E1F55" w:rsidP="006E1F55">
      <w:pPr>
        <w:jc w:val="both"/>
        <w:rPr>
          <w:i/>
          <w:iCs/>
          <w:color w:val="000000"/>
          <w:sz w:val="18"/>
          <w:szCs w:val="18"/>
        </w:rPr>
      </w:pPr>
      <w:bookmarkStart w:id="3" w:name="_Hlk78354977"/>
      <w:r w:rsidRPr="00FC1023">
        <w:rPr>
          <w:rStyle w:val="apple-style-span"/>
          <w:b/>
          <w:color w:val="000000"/>
        </w:rPr>
        <w:t>REFERENCES</w:t>
      </w:r>
    </w:p>
    <w:bookmarkEnd w:id="3"/>
    <w:p w14:paraId="33D6B034" w14:textId="50647CC6" w:rsidR="008A6A82" w:rsidRPr="008A6A82" w:rsidRDefault="008A6A82" w:rsidP="008A6A82">
      <w:pPr>
        <w:widowControl w:val="0"/>
        <w:autoSpaceDE w:val="0"/>
        <w:autoSpaceDN w:val="0"/>
        <w:adjustRightInd w:val="0"/>
        <w:ind w:left="426" w:hanging="426"/>
        <w:jc w:val="both"/>
        <w:rPr>
          <w:color w:val="000000"/>
          <w:sz w:val="16"/>
          <w:szCs w:val="16"/>
        </w:rPr>
      </w:pPr>
      <w:r>
        <w:rPr>
          <w:sz w:val="16"/>
        </w:rPr>
        <w:t>[1]</w:t>
      </w:r>
      <w:r>
        <w:rPr>
          <w:sz w:val="16"/>
        </w:rPr>
        <w:tab/>
        <w:t>A. Urquhart, "The inefficiency of Bitcoin," Econ. Lett., vol. 148, pp. 80–82, 2016. doi: 10.1016/j.econlet.2016.09.019.</w:t>
      </w:r>
    </w:p>
    <w:p w14:paraId="4E329853" w14:textId="0104C987" w:rsidR="008A6A82" w:rsidRPr="008A6A82" w:rsidRDefault="008A6A82" w:rsidP="008A6A82">
      <w:pPr>
        <w:widowControl w:val="0"/>
        <w:autoSpaceDE w:val="0"/>
        <w:autoSpaceDN w:val="0"/>
        <w:adjustRightInd w:val="0"/>
        <w:ind w:left="426" w:hanging="426"/>
        <w:jc w:val="both"/>
        <w:rPr>
          <w:color w:val="000000"/>
          <w:sz w:val="16"/>
          <w:szCs w:val="16"/>
        </w:rPr>
      </w:pPr>
      <w:r>
        <w:rPr>
          <w:sz w:val="16"/>
        </w:rPr>
        <w:t>[2]</w:t>
      </w:r>
      <w:r>
        <w:rPr>
          <w:sz w:val="16"/>
        </w:rPr>
        <w:tab/>
        <w:t>P. K. Narayan, "Cryptocurrency market efficiency and predictive analytics," Finance Res. Lett., vol. 46, art. no. 102431, 2022. doi: 10.1016/j.frl.2021.102431.</w:t>
      </w:r>
    </w:p>
    <w:p w14:paraId="060A9567" w14:textId="26CE38C4" w:rsidR="008A6A82" w:rsidRPr="008A6A82" w:rsidRDefault="008A6A82" w:rsidP="008A6A82">
      <w:pPr>
        <w:widowControl w:val="0"/>
        <w:autoSpaceDE w:val="0"/>
        <w:autoSpaceDN w:val="0"/>
        <w:adjustRightInd w:val="0"/>
        <w:ind w:left="426" w:hanging="426"/>
        <w:jc w:val="both"/>
        <w:rPr>
          <w:color w:val="000000"/>
          <w:sz w:val="16"/>
          <w:szCs w:val="16"/>
        </w:rPr>
      </w:pPr>
      <w:r>
        <w:rPr>
          <w:sz w:val="16"/>
        </w:rPr>
        <w:t>[3]</w:t>
      </w:r>
      <w:r>
        <w:rPr>
          <w:sz w:val="16"/>
        </w:rPr>
        <w:tab/>
        <w:t>S. Makridakis, E. Spiliotis, and V. Assimakopoulos, "Statistical and Machine Learning forecasting methods: Concerns and ways forward," PLoS ONE, vol. 13, no. 3, p. e0194889, 2018. doi: 10.1371/journal.pone.0194889.</w:t>
      </w:r>
    </w:p>
    <w:p w14:paraId="5F123D73" w14:textId="6E81F628" w:rsidR="008A6A82" w:rsidRPr="008A6A82" w:rsidRDefault="008A6A82" w:rsidP="008A6A82">
      <w:pPr>
        <w:widowControl w:val="0"/>
        <w:autoSpaceDE w:val="0"/>
        <w:autoSpaceDN w:val="0"/>
        <w:adjustRightInd w:val="0"/>
        <w:ind w:left="426" w:hanging="426"/>
        <w:jc w:val="both"/>
        <w:rPr>
          <w:color w:val="000000"/>
          <w:sz w:val="16"/>
          <w:szCs w:val="16"/>
        </w:rPr>
      </w:pPr>
      <w:r>
        <w:rPr>
          <w:sz w:val="16"/>
        </w:rPr>
        <w:t>[4]</w:t>
      </w:r>
      <w:r>
        <w:rPr>
          <w:sz w:val="16"/>
        </w:rPr>
        <w:tab/>
        <w:t>A. F. de O. Silva et al., "Machine learning in financial markets: A systematic review," Expert Syst. Appl., vol. 202, art. no. 117283, 2022. doi: 10.1016/j.eswa.2022.117283.</w:t>
      </w:r>
    </w:p>
    <w:p w14:paraId="59CC44FC" w14:textId="0ACD444F" w:rsidR="008A6A82" w:rsidRPr="008A6A82" w:rsidRDefault="008A6A82" w:rsidP="008A6A82">
      <w:pPr>
        <w:widowControl w:val="0"/>
        <w:autoSpaceDE w:val="0"/>
        <w:autoSpaceDN w:val="0"/>
        <w:adjustRightInd w:val="0"/>
        <w:ind w:left="426" w:hanging="426"/>
        <w:jc w:val="both"/>
        <w:rPr>
          <w:color w:val="000000"/>
          <w:sz w:val="16"/>
          <w:szCs w:val="16"/>
        </w:rPr>
      </w:pPr>
      <w:r>
        <w:rPr>
          <w:sz w:val="16"/>
        </w:rPr>
        <w:t>[5]</w:t>
      </w:r>
      <w:r>
        <w:rPr>
          <w:sz w:val="16"/>
        </w:rPr>
        <w:tab/>
        <w:t>W. Bao, J. Yue, and Y. Rao, "A deep learning framework for financial time series using stacked autoencoders and long-short term memory," PLoS ONE, vol. 12, no. 7, p. e0180944, 2017. doi: 10.1371/journal.pone.0180944.</w:t>
      </w:r>
    </w:p>
    <w:p w14:paraId="0C7F5A15" w14:textId="7FC25433" w:rsidR="008A6A82" w:rsidRPr="008A6A82" w:rsidRDefault="008A6A82" w:rsidP="008A6A82">
      <w:pPr>
        <w:widowControl w:val="0"/>
        <w:autoSpaceDE w:val="0"/>
        <w:autoSpaceDN w:val="0"/>
        <w:adjustRightInd w:val="0"/>
        <w:ind w:left="426" w:hanging="426"/>
        <w:jc w:val="both"/>
        <w:rPr>
          <w:color w:val="000000"/>
          <w:sz w:val="16"/>
          <w:szCs w:val="16"/>
        </w:rPr>
      </w:pPr>
      <w:r>
        <w:rPr>
          <w:sz w:val="16"/>
        </w:rPr>
        <w:t>[6]</w:t>
      </w:r>
      <w:r>
        <w:rPr>
          <w:sz w:val="16"/>
        </w:rPr>
        <w:tab/>
        <w:t>H. Chaudhuri and I. Ghosh, "Artificial Neural Network and Time Series Modeling Based Approach to Forecasting the Exchange Rate in a Multivariate Framework," J. Quant. Econ., vol. 14, pp. 201–226, 2016. doi: 10.1007/s40953-016-0023-6.</w:t>
      </w:r>
    </w:p>
    <w:p w14:paraId="0CAF85A3" w14:textId="5D252FFF" w:rsidR="008A6A82" w:rsidRPr="008A6A82" w:rsidRDefault="008A6A82" w:rsidP="008A6A82">
      <w:pPr>
        <w:widowControl w:val="0"/>
        <w:autoSpaceDE w:val="0"/>
        <w:autoSpaceDN w:val="0"/>
        <w:adjustRightInd w:val="0"/>
        <w:ind w:left="426" w:hanging="426"/>
        <w:jc w:val="both"/>
        <w:rPr>
          <w:color w:val="000000"/>
          <w:sz w:val="16"/>
          <w:szCs w:val="16"/>
        </w:rPr>
      </w:pPr>
      <w:r>
        <w:rPr>
          <w:sz w:val="16"/>
        </w:rPr>
        <w:t>[7]</w:t>
      </w:r>
      <w:r>
        <w:rPr>
          <w:sz w:val="16"/>
        </w:rPr>
        <w:tab/>
        <w:t>P. C. Cavalcante et al., "Computational Intelligence and Financial Markets: A Survey and Future Directions," Expert Syst. Appl., vol. 55, pp. 194–211, 2016. doi: 10.1016/j.eswa.2016.02.006.</w:t>
      </w:r>
    </w:p>
    <w:p w14:paraId="44A685EC" w14:textId="76AF330F" w:rsidR="008A6A82" w:rsidRPr="008A6A82" w:rsidRDefault="008A6A82" w:rsidP="008A6A82">
      <w:pPr>
        <w:widowControl w:val="0"/>
        <w:autoSpaceDE w:val="0"/>
        <w:autoSpaceDN w:val="0"/>
        <w:adjustRightInd w:val="0"/>
        <w:ind w:left="426" w:hanging="426"/>
        <w:jc w:val="both"/>
        <w:rPr>
          <w:color w:val="000000"/>
          <w:sz w:val="16"/>
          <w:szCs w:val="16"/>
        </w:rPr>
      </w:pPr>
      <w:r>
        <w:rPr>
          <w:sz w:val="16"/>
        </w:rPr>
        <w:t>[8]</w:t>
      </w:r>
      <w:r>
        <w:rPr>
          <w:sz w:val="16"/>
        </w:rPr>
        <w:tab/>
        <w:t>S. F. Ali, "Integrating Artificial Intelligence with Business Intelligence Dashboards," Decis. Support Syst., vol. 165, art. no. 113887, 2023. doi: 10.1016/j.dss.2022.113887.</w:t>
      </w:r>
    </w:p>
    <w:p w14:paraId="436C820E" w14:textId="3A46B618" w:rsidR="008A6A82" w:rsidRPr="008A6A82" w:rsidRDefault="008A6A82" w:rsidP="008A6A82">
      <w:pPr>
        <w:widowControl w:val="0"/>
        <w:autoSpaceDE w:val="0"/>
        <w:autoSpaceDN w:val="0"/>
        <w:adjustRightInd w:val="0"/>
        <w:ind w:left="426" w:hanging="426"/>
        <w:jc w:val="both"/>
        <w:rPr>
          <w:color w:val="000000"/>
          <w:sz w:val="16"/>
          <w:szCs w:val="16"/>
        </w:rPr>
      </w:pPr>
      <w:r>
        <w:rPr>
          <w:sz w:val="16"/>
        </w:rPr>
        <w:t>[9]</w:t>
      </w:r>
      <w:r>
        <w:rPr>
          <w:sz w:val="16"/>
        </w:rPr>
        <w:tab/>
        <w:t>D. J. Power, "Decision support systems: A historical overview," Commun. Assoc. Inf. Syst., vol. 13, no. 1, art. no. 15, 2004. doi: 10.17705/1CAIS.01315.</w:t>
      </w:r>
    </w:p>
    <w:p w14:paraId="34C62C54" w14:textId="45C48312" w:rsidR="008A6A82" w:rsidRPr="008A6A82" w:rsidRDefault="008A6A82" w:rsidP="008A6A82">
      <w:pPr>
        <w:widowControl w:val="0"/>
        <w:autoSpaceDE w:val="0"/>
        <w:autoSpaceDN w:val="0"/>
        <w:adjustRightInd w:val="0"/>
        <w:ind w:left="426" w:hanging="426"/>
        <w:jc w:val="both"/>
        <w:rPr>
          <w:color w:val="000000"/>
          <w:sz w:val="16"/>
          <w:szCs w:val="16"/>
        </w:rPr>
      </w:pPr>
      <w:r>
        <w:rPr>
          <w:sz w:val="16"/>
        </w:rPr>
        <w:t>[10]</w:t>
      </w:r>
      <w:r>
        <w:rPr>
          <w:sz w:val="16"/>
        </w:rPr>
        <w:tab/>
        <w:t>A. Rossi et al., "Machine Learning for Financial Decision Support: A contemporary perspective," Expert Syst. Appl., vol. 238, art. no. 122245, 2024. doi: 10.1016/j.eswa.2023.122245.</w:t>
      </w:r>
    </w:p>
    <w:p w14:paraId="319F52CE" w14:textId="1EE526E7" w:rsidR="008A6A82" w:rsidRPr="008A6A82" w:rsidRDefault="008A6A82" w:rsidP="008A6A82">
      <w:pPr>
        <w:widowControl w:val="0"/>
        <w:autoSpaceDE w:val="0"/>
        <w:autoSpaceDN w:val="0"/>
        <w:adjustRightInd w:val="0"/>
        <w:ind w:left="426" w:hanging="426"/>
        <w:jc w:val="both"/>
        <w:rPr>
          <w:color w:val="000000"/>
          <w:sz w:val="16"/>
          <w:szCs w:val="16"/>
        </w:rPr>
      </w:pPr>
      <w:r>
        <w:rPr>
          <w:sz w:val="16"/>
        </w:rPr>
        <w:t>[11]</w:t>
      </w:r>
      <w:r>
        <w:rPr>
          <w:sz w:val="16"/>
        </w:rPr>
        <w:tab/>
        <w:t>A. Krauss, X. Q. Do, and N. Huck, "Deep neural networks, gradient-boosted trees, random forests: Statistical arbitrage on the S&amp;P 500," Eur. J. Oper. Res., vol. 259, no. 2, pp. 689–702, 2017. doi: 10.1016/j.ejor.2016.12.004.</w:t>
      </w:r>
    </w:p>
    <w:p w14:paraId="48387CD5" w14:textId="58122BD5" w:rsidR="008A6A82" w:rsidRPr="008A6A82" w:rsidRDefault="008A6A82" w:rsidP="008A6A82">
      <w:pPr>
        <w:widowControl w:val="0"/>
        <w:autoSpaceDE w:val="0"/>
        <w:autoSpaceDN w:val="0"/>
        <w:adjustRightInd w:val="0"/>
        <w:ind w:left="426" w:hanging="426"/>
        <w:jc w:val="both"/>
        <w:rPr>
          <w:color w:val="000000"/>
          <w:sz w:val="16"/>
          <w:szCs w:val="16"/>
        </w:rPr>
      </w:pPr>
      <w:r>
        <w:rPr>
          <w:sz w:val="16"/>
        </w:rPr>
        <w:t>[12]</w:t>
      </w:r>
      <w:r>
        <w:rPr>
          <w:sz w:val="16"/>
        </w:rPr>
        <w:tab/>
        <w:t>T. Chen and C. Guestrin, "XGBoost: A Scalable Tree Boosting System," in Proc. 22nd ACM SIGKDD Int. Conf. Knowl. Discovery Data Min. (KDD), San Francisco, CA, USA, 2016, pp. 785–794. doi: 10.1145/2939672.2939785.</w:t>
      </w:r>
    </w:p>
    <w:p w14:paraId="3A19C29C" w14:textId="1ADA0F48" w:rsidR="008A6A82" w:rsidRPr="008A6A82" w:rsidRDefault="008A6A82" w:rsidP="008A6A82">
      <w:pPr>
        <w:widowControl w:val="0"/>
        <w:autoSpaceDE w:val="0"/>
        <w:autoSpaceDN w:val="0"/>
        <w:adjustRightInd w:val="0"/>
        <w:ind w:left="426" w:hanging="426"/>
        <w:jc w:val="both"/>
        <w:rPr>
          <w:color w:val="000000"/>
          <w:sz w:val="16"/>
          <w:szCs w:val="16"/>
        </w:rPr>
      </w:pPr>
      <w:r>
        <w:rPr>
          <w:sz w:val="16"/>
        </w:rPr>
        <w:t>[13]</w:t>
      </w:r>
      <w:r>
        <w:rPr>
          <w:sz w:val="16"/>
        </w:rPr>
        <w:tab/>
        <w:t>J. Zheng, X. Xu, P. Zheng, and Z. Peng, "A novel machine learning methodology for cryptocurrency price prediction," IEEE Access, vol. 7, pp. 109287–109295, 2019. doi: 10.1109/ACCESS.2019.2906809.</w:t>
      </w:r>
    </w:p>
    <w:p w14:paraId="094B9C3D" w14:textId="3A890430" w:rsidR="008A6A82" w:rsidRPr="008A6A82" w:rsidRDefault="008A6A82" w:rsidP="008A6A82">
      <w:pPr>
        <w:widowControl w:val="0"/>
        <w:autoSpaceDE w:val="0"/>
        <w:autoSpaceDN w:val="0"/>
        <w:adjustRightInd w:val="0"/>
        <w:ind w:left="426" w:hanging="426"/>
        <w:jc w:val="both"/>
        <w:rPr>
          <w:color w:val="000000"/>
          <w:sz w:val="16"/>
          <w:szCs w:val="16"/>
        </w:rPr>
      </w:pPr>
      <w:r>
        <w:rPr>
          <w:sz w:val="16"/>
        </w:rPr>
        <w:t>[14]</w:t>
      </w:r>
      <w:r>
        <w:rPr>
          <w:sz w:val="16"/>
        </w:rPr>
        <w:tab/>
        <w:t>S. Hochreiter and J. Schmidhuber, "Long short-term memory," Neural Comput., vol. 9, no. 8, pp. 1735–1780, 1997. doi: 10.1162/neco.1997.9.8.1735.</w:t>
      </w:r>
    </w:p>
    <w:p w14:paraId="34B5812A" w14:textId="357286C5" w:rsidR="008A6A82" w:rsidRPr="008A6A82" w:rsidRDefault="008A6A82" w:rsidP="008A6A82">
      <w:pPr>
        <w:widowControl w:val="0"/>
        <w:autoSpaceDE w:val="0"/>
        <w:autoSpaceDN w:val="0"/>
        <w:adjustRightInd w:val="0"/>
        <w:ind w:left="426" w:hanging="426"/>
        <w:jc w:val="both"/>
        <w:rPr>
          <w:color w:val="000000"/>
          <w:sz w:val="16"/>
          <w:szCs w:val="16"/>
        </w:rPr>
      </w:pPr>
      <w:r>
        <w:rPr>
          <w:sz w:val="16"/>
        </w:rPr>
        <w:t>[15]</w:t>
      </w:r>
      <w:r>
        <w:rPr>
          <w:sz w:val="16"/>
        </w:rPr>
        <w:tab/>
        <w:t>K. Cho et al., "Learning Phrase Representations using RNN Encoder-Decoder for Statistical Machine Translation," in Proc. 2014 Conf. Empirical Methods Natural Lang. Process. (EMNLP), Doha, Qatar, 2014, pp. 1724–1734. doi: 10.3115/v1/D14-1179.</w:t>
      </w:r>
    </w:p>
    <w:p w14:paraId="3228FA28" w14:textId="05A90B89" w:rsidR="008A6A82" w:rsidRPr="008A6A82" w:rsidRDefault="008A6A82" w:rsidP="008A6A82">
      <w:pPr>
        <w:widowControl w:val="0"/>
        <w:autoSpaceDE w:val="0"/>
        <w:autoSpaceDN w:val="0"/>
        <w:adjustRightInd w:val="0"/>
        <w:ind w:left="426" w:hanging="426"/>
        <w:jc w:val="both"/>
        <w:rPr>
          <w:color w:val="000000"/>
          <w:sz w:val="16"/>
          <w:szCs w:val="16"/>
        </w:rPr>
      </w:pPr>
      <w:r>
        <w:rPr>
          <w:sz w:val="16"/>
        </w:rPr>
        <w:t>[16]</w:t>
      </w:r>
      <w:r>
        <w:rPr>
          <w:sz w:val="16"/>
        </w:rPr>
        <w:tab/>
        <w:t>L. Chen, Z. Qiao, M. Wang, and C. Wang, "Predictive modeling of Bitcoin using deep learning," Expert Syst. Appl., vol. 156, art. no. 113425, 2020. doi: 10.1016/j.eswa.2020.113425.</w:t>
      </w:r>
    </w:p>
    <w:p w14:paraId="69119876" w14:textId="412C43B0" w:rsidR="008A6A82" w:rsidRPr="008A6A82" w:rsidRDefault="008A6A82" w:rsidP="008A6A82">
      <w:pPr>
        <w:widowControl w:val="0"/>
        <w:autoSpaceDE w:val="0"/>
        <w:autoSpaceDN w:val="0"/>
        <w:adjustRightInd w:val="0"/>
        <w:ind w:left="426" w:hanging="426"/>
        <w:jc w:val="both"/>
        <w:rPr>
          <w:color w:val="000000"/>
          <w:sz w:val="16"/>
          <w:szCs w:val="16"/>
        </w:rPr>
      </w:pPr>
      <w:r>
        <w:rPr>
          <w:sz w:val="16"/>
        </w:rPr>
        <w:t>[17]</w:t>
      </w:r>
      <w:r>
        <w:rPr>
          <w:sz w:val="16"/>
        </w:rPr>
        <w:tab/>
        <w:t>F. A. Gers, J. Schmidhuber, and F. Cummins, "Learning to Forget: Continual Prediction with LSTM," Neural Comput., vol. 12, no. 10, pp. 2451–2471, 2000. doi: 10.1162/089976600300015015.</w:t>
      </w:r>
    </w:p>
    <w:p w14:paraId="6312CF17" w14:textId="5A2D8443" w:rsidR="008A6A82" w:rsidRPr="008A6A82" w:rsidRDefault="008A6A82" w:rsidP="008A6A82">
      <w:pPr>
        <w:widowControl w:val="0"/>
        <w:autoSpaceDE w:val="0"/>
        <w:autoSpaceDN w:val="0"/>
        <w:adjustRightInd w:val="0"/>
        <w:ind w:left="426" w:hanging="426"/>
        <w:jc w:val="both"/>
        <w:rPr>
          <w:color w:val="000000"/>
          <w:sz w:val="16"/>
          <w:szCs w:val="16"/>
        </w:rPr>
      </w:pPr>
      <w:r>
        <w:rPr>
          <w:sz w:val="16"/>
        </w:rPr>
        <w:lastRenderedPageBreak/>
        <w:t>[18]</w:t>
      </w:r>
      <w:r>
        <w:rPr>
          <w:sz w:val="16"/>
        </w:rPr>
        <w:tab/>
        <w:t>K. Greff et al., "LSTM: A Space Odyssey," IEEE Trans. Neural Netw. Learn. Syst., vol. 28, no. 10, pp. 2222–2232, 2017. doi: 10.1109/TNNLS.2016.2582924.</w:t>
      </w:r>
    </w:p>
    <w:p w14:paraId="639F9898" w14:textId="1F37E991" w:rsidR="008A6A82" w:rsidRPr="008A6A82" w:rsidRDefault="008A6A82" w:rsidP="008A6A82">
      <w:pPr>
        <w:widowControl w:val="0"/>
        <w:autoSpaceDE w:val="0"/>
        <w:autoSpaceDN w:val="0"/>
        <w:adjustRightInd w:val="0"/>
        <w:ind w:left="426" w:hanging="426"/>
        <w:jc w:val="both"/>
        <w:rPr>
          <w:color w:val="000000"/>
          <w:sz w:val="16"/>
          <w:szCs w:val="16"/>
        </w:rPr>
      </w:pPr>
      <w:r>
        <w:rPr>
          <w:sz w:val="16"/>
        </w:rPr>
        <w:t>[19]</w:t>
      </w:r>
      <w:r>
        <w:rPr>
          <w:sz w:val="16"/>
        </w:rPr>
        <w:tab/>
        <w:t>A. Vaswani et al., "Attention is all you need," in Advances in Neural Information Processing Systems (NeurIPS), vol. 30, 2017, pp. 5998–6008. [Online]. Available: https://arxiv.org/abs/1706.03762.</w:t>
      </w:r>
    </w:p>
    <w:p w14:paraId="7CADE6FE" w14:textId="3F081061" w:rsidR="008A6A82" w:rsidRPr="008A6A82" w:rsidRDefault="008A6A82" w:rsidP="008A6A82">
      <w:pPr>
        <w:widowControl w:val="0"/>
        <w:autoSpaceDE w:val="0"/>
        <w:autoSpaceDN w:val="0"/>
        <w:adjustRightInd w:val="0"/>
        <w:ind w:left="426" w:hanging="426"/>
        <w:jc w:val="both"/>
        <w:rPr>
          <w:color w:val="000000"/>
          <w:sz w:val="16"/>
          <w:szCs w:val="16"/>
        </w:rPr>
      </w:pPr>
      <w:r>
        <w:rPr>
          <w:sz w:val="16"/>
        </w:rPr>
        <w:t>[20]</w:t>
      </w:r>
      <w:r>
        <w:rPr>
          <w:sz w:val="16"/>
        </w:rPr>
        <w:tab/>
        <w:t>N. Wu, B. Green, X. Ben, and S. O'Banion, "Deep Transformer Models for Time Series Forecasting: The Influenza Prevalence Case," arXiv preprint arXiv:2001.08317, 2020. doi: 10.48550/arXiv.2001.08317.</w:t>
      </w:r>
    </w:p>
    <w:p w14:paraId="36838E11" w14:textId="336935A0" w:rsidR="008A6A82" w:rsidRPr="008A6A82" w:rsidRDefault="008A6A82" w:rsidP="008A6A82">
      <w:pPr>
        <w:widowControl w:val="0"/>
        <w:autoSpaceDE w:val="0"/>
        <w:autoSpaceDN w:val="0"/>
        <w:adjustRightInd w:val="0"/>
        <w:ind w:left="426" w:hanging="426"/>
        <w:jc w:val="both"/>
        <w:rPr>
          <w:color w:val="000000"/>
          <w:sz w:val="16"/>
          <w:szCs w:val="16"/>
        </w:rPr>
      </w:pPr>
      <w:r>
        <w:rPr>
          <w:sz w:val="16"/>
        </w:rPr>
        <w:t>[21]</w:t>
      </w:r>
      <w:r>
        <w:rPr>
          <w:sz w:val="16"/>
        </w:rPr>
        <w:tab/>
        <w:t>H. Zhou et al., "Informer: Beyond Efficient Transformer for Long Sequence Time-Series Forecasting," in Proc. 35th AAAI Conf. Artif. Intell. (AAAI), 2021, pp. 11106–11115. doi: 10.1609/aaai.v35i12.17325.</w:t>
      </w:r>
    </w:p>
    <w:p w14:paraId="6FEDFC50" w14:textId="663B138A" w:rsidR="008A6A82" w:rsidRPr="008A6A82" w:rsidRDefault="008A6A82" w:rsidP="008A6A82">
      <w:pPr>
        <w:widowControl w:val="0"/>
        <w:autoSpaceDE w:val="0"/>
        <w:autoSpaceDN w:val="0"/>
        <w:adjustRightInd w:val="0"/>
        <w:ind w:left="426" w:hanging="426"/>
        <w:jc w:val="both"/>
        <w:rPr>
          <w:color w:val="000000"/>
          <w:sz w:val="16"/>
          <w:szCs w:val="16"/>
        </w:rPr>
      </w:pPr>
      <w:r>
        <w:rPr>
          <w:sz w:val="16"/>
        </w:rPr>
        <w:t>[22]</w:t>
      </w:r>
      <w:r>
        <w:rPr>
          <w:sz w:val="16"/>
        </w:rPr>
        <w:tab/>
        <w:t>Y. Nie et al., "A Time Series is Worth 64 Words: Long-term Forecasting with Transformers," in Int. Conf. Learn. Representations (ICLR), 2023. [Online]. Available: https://arxiv.org/abs/2211.14730.</w:t>
      </w:r>
    </w:p>
    <w:p w14:paraId="17F5769C" w14:textId="03697BDD" w:rsidR="008A6A82" w:rsidRPr="008A6A82" w:rsidRDefault="008A6A82" w:rsidP="008A6A82">
      <w:pPr>
        <w:widowControl w:val="0"/>
        <w:autoSpaceDE w:val="0"/>
        <w:autoSpaceDN w:val="0"/>
        <w:adjustRightInd w:val="0"/>
        <w:ind w:left="426" w:hanging="426"/>
        <w:jc w:val="both"/>
        <w:rPr>
          <w:color w:val="000000"/>
          <w:sz w:val="16"/>
          <w:szCs w:val="16"/>
        </w:rPr>
      </w:pPr>
      <w:r>
        <w:rPr>
          <w:sz w:val="16"/>
        </w:rPr>
        <w:t>[23]</w:t>
      </w:r>
      <w:r>
        <w:rPr>
          <w:sz w:val="16"/>
        </w:rPr>
        <w:tab/>
        <w:t>H. Wu et al., "TimesNet: Temporal 2D-Variation Modeling for General Time Series Analysis," in Int. Conf. Learn. Representations (ICLR), 2023. [Online]. Available: https://arxiv.org/abs/2210.02186.</w:t>
      </w:r>
    </w:p>
    <w:p w14:paraId="3ED407BA" w14:textId="00C181E4" w:rsidR="008A6A82" w:rsidRPr="008A6A82" w:rsidRDefault="008A6A82" w:rsidP="008A6A82">
      <w:pPr>
        <w:widowControl w:val="0"/>
        <w:autoSpaceDE w:val="0"/>
        <w:autoSpaceDN w:val="0"/>
        <w:adjustRightInd w:val="0"/>
        <w:ind w:left="426" w:hanging="426"/>
        <w:jc w:val="both"/>
        <w:rPr>
          <w:color w:val="000000"/>
          <w:sz w:val="16"/>
          <w:szCs w:val="16"/>
        </w:rPr>
      </w:pPr>
      <w:r>
        <w:rPr>
          <w:sz w:val="16"/>
        </w:rPr>
        <w:t>[24]</w:t>
      </w:r>
      <w:r>
        <w:rPr>
          <w:sz w:val="16"/>
        </w:rPr>
        <w:tab/>
        <w:t>G. Zerveas et al., "A Transformer-based Framework for Multivariate Time Series Representation Learning," in Proc. 27th ACM SIGKDD Conf. Knowl. Discov. Data Min. (KDD), Virtual, 2021, pp. 2114–2124. doi: 10.1145/3447548.3467401.</w:t>
      </w:r>
    </w:p>
    <w:p w14:paraId="6739483B" w14:textId="1AA0A893" w:rsidR="008A6A82" w:rsidRPr="008A6A82" w:rsidRDefault="008A6A82" w:rsidP="008A6A82">
      <w:pPr>
        <w:widowControl w:val="0"/>
        <w:autoSpaceDE w:val="0"/>
        <w:autoSpaceDN w:val="0"/>
        <w:adjustRightInd w:val="0"/>
        <w:ind w:left="426" w:hanging="426"/>
        <w:jc w:val="both"/>
        <w:rPr>
          <w:color w:val="000000"/>
          <w:sz w:val="16"/>
          <w:szCs w:val="16"/>
        </w:rPr>
      </w:pPr>
      <w:r>
        <w:rPr>
          <w:sz w:val="16"/>
        </w:rPr>
        <w:t>[25]</w:t>
      </w:r>
      <w:r>
        <w:rPr>
          <w:sz w:val="16"/>
        </w:rPr>
        <w:tab/>
        <w:t>M. H. Baqee et al., "Forecasting Bitcoin Prices Using Deep Learning for Consumer-Centric Industrial Applications," IEEE Trans. Consum. Electron., vol. 70, no. 1, pp. 3225–3233, Feb. 2024. doi: 10.1109/TCE.2023.3335001.</w:t>
      </w:r>
    </w:p>
    <w:p w14:paraId="1B94DB39" w14:textId="7CBED5F3" w:rsidR="008A6A82" w:rsidRPr="008A6A82" w:rsidRDefault="008A6A82" w:rsidP="008A6A82">
      <w:pPr>
        <w:widowControl w:val="0"/>
        <w:autoSpaceDE w:val="0"/>
        <w:autoSpaceDN w:val="0"/>
        <w:adjustRightInd w:val="0"/>
        <w:ind w:left="426" w:hanging="426"/>
        <w:jc w:val="both"/>
        <w:rPr>
          <w:color w:val="000000"/>
          <w:sz w:val="16"/>
          <w:szCs w:val="16"/>
        </w:rPr>
      </w:pPr>
      <w:r>
        <w:rPr>
          <w:sz w:val="16"/>
        </w:rPr>
        <w:t>[26]</w:t>
      </w:r>
      <w:r>
        <w:rPr>
          <w:sz w:val="16"/>
        </w:rPr>
        <w:tab/>
        <w:t>A. T. Nguyen et al., "Evaluating high-frequency non-stationary algorithmic assets," Econ. Modelling, vol. 119, art. no. 106159, 2023. doi: 10.1016/j.econmod.2022.106159.</w:t>
      </w:r>
    </w:p>
    <w:p w14:paraId="38AAE0BD" w14:textId="206FD158" w:rsidR="008A6A82" w:rsidRPr="008A6A82" w:rsidRDefault="008A6A82" w:rsidP="008A6A82">
      <w:pPr>
        <w:widowControl w:val="0"/>
        <w:autoSpaceDE w:val="0"/>
        <w:autoSpaceDN w:val="0"/>
        <w:adjustRightInd w:val="0"/>
        <w:ind w:left="426" w:hanging="426"/>
        <w:jc w:val="both"/>
        <w:rPr>
          <w:color w:val="000000"/>
          <w:sz w:val="16"/>
          <w:szCs w:val="16"/>
        </w:rPr>
      </w:pPr>
      <w:r>
        <w:rPr>
          <w:sz w:val="16"/>
        </w:rPr>
        <w:t>[27]</w:t>
      </w:r>
      <w:r>
        <w:rPr>
          <w:sz w:val="16"/>
        </w:rPr>
        <w:tab/>
        <w:t>R. Sharda, D. Delen, and E. Turban, Business Intelligence, Analytics, and Data Science: A Managerial Perspective, 4th ed. Hoboken, NJ, USA: Pearson, 2017. ISBN: 978-0134633282.</w:t>
      </w:r>
    </w:p>
    <w:p w14:paraId="0E7C93FF" w14:textId="4022BD95" w:rsidR="008A6A82" w:rsidRPr="008A6A82" w:rsidRDefault="008A6A82" w:rsidP="008A6A82">
      <w:pPr>
        <w:widowControl w:val="0"/>
        <w:autoSpaceDE w:val="0"/>
        <w:autoSpaceDN w:val="0"/>
        <w:adjustRightInd w:val="0"/>
        <w:ind w:left="426" w:hanging="426"/>
        <w:jc w:val="both"/>
        <w:rPr>
          <w:color w:val="000000"/>
          <w:sz w:val="16"/>
          <w:szCs w:val="16"/>
        </w:rPr>
      </w:pPr>
      <w:r>
        <w:rPr>
          <w:sz w:val="16"/>
        </w:rPr>
        <w:t>[28]</w:t>
      </w:r>
      <w:r>
        <w:rPr>
          <w:sz w:val="16"/>
        </w:rPr>
        <w:tab/>
        <w:t>D. Arnott and G. Pervan, "A critical analysis of decision support systems research revisited: The rise of design science," J. Inf. Technol., vol. 29, no. 4, pp. 269–293, 2014. doi: 10.1057/jit.2014.16.</w:t>
      </w:r>
    </w:p>
    <w:p w14:paraId="5C464F3D" w14:textId="0FCFC763" w:rsidR="008A6A82" w:rsidRPr="008A6A82" w:rsidRDefault="008A6A82" w:rsidP="008A6A82">
      <w:pPr>
        <w:widowControl w:val="0"/>
        <w:autoSpaceDE w:val="0"/>
        <w:autoSpaceDN w:val="0"/>
        <w:adjustRightInd w:val="0"/>
        <w:ind w:left="426" w:hanging="426"/>
        <w:jc w:val="both"/>
        <w:rPr>
          <w:color w:val="000000"/>
          <w:sz w:val="16"/>
          <w:szCs w:val="16"/>
        </w:rPr>
      </w:pPr>
      <w:r>
        <w:rPr>
          <w:sz w:val="16"/>
        </w:rPr>
        <w:t>[29]</w:t>
      </w:r>
      <w:r>
        <w:rPr>
          <w:sz w:val="16"/>
        </w:rPr>
        <w:tab/>
        <w:t>P. Jorion, Value at Risk: The New Benchmark for Managing Financial Risk, 3rd ed. New York, NY, USA: McGraw-Hill Education, 2006. ISBN: 978-0071464956.</w:t>
      </w:r>
    </w:p>
    <w:p w14:paraId="105ABA72" w14:textId="3120D4AB" w:rsidR="008A6A82" w:rsidRPr="008A6A82" w:rsidRDefault="008A6A82" w:rsidP="008A6A82">
      <w:pPr>
        <w:widowControl w:val="0"/>
        <w:autoSpaceDE w:val="0"/>
        <w:autoSpaceDN w:val="0"/>
        <w:adjustRightInd w:val="0"/>
        <w:ind w:left="426" w:hanging="426"/>
        <w:jc w:val="both"/>
        <w:rPr>
          <w:color w:val="000000"/>
          <w:sz w:val="16"/>
          <w:szCs w:val="16"/>
        </w:rPr>
      </w:pPr>
      <w:r>
        <w:rPr>
          <w:sz w:val="16"/>
        </w:rPr>
        <w:t>[30]</w:t>
      </w:r>
      <w:r>
        <w:rPr>
          <w:sz w:val="16"/>
        </w:rPr>
        <w:tab/>
        <w:t>Binance, "Binance Spot API Documentation," Binance Technical Engineering, 2024. [Online]. Available: https://binance-docs.github.io/apidocs/spot/en/. [Accessed: May 2026].</w:t>
      </w:r>
    </w:p>
    <w:p w14:paraId="03AF4E61" w14:textId="538B6455" w:rsidR="008A6A82" w:rsidRPr="008A6A82" w:rsidRDefault="008A6A82" w:rsidP="008A6A82">
      <w:pPr>
        <w:widowControl w:val="0"/>
        <w:autoSpaceDE w:val="0"/>
        <w:autoSpaceDN w:val="0"/>
        <w:adjustRightInd w:val="0"/>
        <w:ind w:left="426" w:hanging="426"/>
        <w:jc w:val="both"/>
        <w:rPr>
          <w:color w:val="000000"/>
          <w:sz w:val="16"/>
          <w:szCs w:val="16"/>
        </w:rPr>
      </w:pPr>
      <w:r>
        <w:rPr>
          <w:sz w:val="16"/>
        </w:rPr>
        <w:t>[31]</w:t>
      </w:r>
      <w:r>
        <w:rPr>
          <w:sz w:val="16"/>
        </w:rPr>
        <w:tab/>
        <w:t>J. Han, M. Kamber, and J. Pei, Data Mining: Concepts and Techniques, 3rd ed. Waltham, MA, USA: Morgan Kaufmann, 2011. ISBN: 978-0123814791.</w:t>
      </w:r>
    </w:p>
    <w:p w14:paraId="775EA418" w14:textId="25950445" w:rsidR="008A6A82" w:rsidRPr="008A6A82" w:rsidRDefault="008A6A82" w:rsidP="008A6A82">
      <w:pPr>
        <w:widowControl w:val="0"/>
        <w:autoSpaceDE w:val="0"/>
        <w:autoSpaceDN w:val="0"/>
        <w:adjustRightInd w:val="0"/>
        <w:ind w:left="426" w:hanging="426"/>
        <w:jc w:val="both"/>
        <w:rPr>
          <w:color w:val="000000"/>
          <w:sz w:val="16"/>
          <w:szCs w:val="16"/>
        </w:rPr>
      </w:pPr>
      <w:r>
        <w:rPr>
          <w:sz w:val="16"/>
        </w:rPr>
        <w:t>[32]</w:t>
      </w:r>
      <w:r>
        <w:rPr>
          <w:sz w:val="16"/>
        </w:rPr>
        <w:tab/>
        <w:t>R. J. Hyndman and G. Athanasopoulos, Forecasting: Principles and Practice, 3rd ed. Melbourne, Australia: OTexts, 2021. [Online]. Available: https://otexts.com/fpp3/.</w:t>
      </w:r>
    </w:p>
    <w:p w14:paraId="04CA2A27" w14:textId="60D19A6A" w:rsidR="008A6A82" w:rsidRPr="008A6A82" w:rsidRDefault="008A6A82" w:rsidP="008A6A82">
      <w:pPr>
        <w:widowControl w:val="0"/>
        <w:autoSpaceDE w:val="0"/>
        <w:autoSpaceDN w:val="0"/>
        <w:adjustRightInd w:val="0"/>
        <w:ind w:left="426" w:hanging="426"/>
        <w:jc w:val="both"/>
        <w:rPr>
          <w:color w:val="000000"/>
          <w:sz w:val="16"/>
          <w:szCs w:val="16"/>
        </w:rPr>
      </w:pPr>
      <w:r>
        <w:rPr>
          <w:sz w:val="16"/>
        </w:rPr>
        <w:t>[33]</w:t>
      </w:r>
      <w:r>
        <w:rPr>
          <w:sz w:val="16"/>
        </w:rPr>
        <w:tab/>
        <w:t>R. S. Tsay, Analysis of Financial Time Series, 3rd ed. Hoboken, NJ, USA: John Wiley &amp; Sons, 2010. doi: 10.1002/9780470644560.</w:t>
      </w:r>
    </w:p>
    <w:p w14:paraId="5ABFD057" w14:textId="641DBC0F" w:rsidR="008A6A82" w:rsidRPr="008A6A82" w:rsidRDefault="008A6A82" w:rsidP="008A6A82">
      <w:pPr>
        <w:widowControl w:val="0"/>
        <w:autoSpaceDE w:val="0"/>
        <w:autoSpaceDN w:val="0"/>
        <w:adjustRightInd w:val="0"/>
        <w:ind w:left="426" w:hanging="426"/>
        <w:jc w:val="both"/>
        <w:rPr>
          <w:color w:val="000000"/>
          <w:sz w:val="16"/>
          <w:szCs w:val="16"/>
        </w:rPr>
      </w:pPr>
      <w:r>
        <w:rPr>
          <w:sz w:val="16"/>
        </w:rPr>
        <w:t>[34]</w:t>
      </w:r>
      <w:r>
        <w:rPr>
          <w:sz w:val="16"/>
        </w:rPr>
        <w:tab/>
        <w:t>M. L. de Prado, Advances in Financial Machine Learning. Hoboken, NJ, USA: John Wiley &amp; Sons, 2018. ISBN: 978-1119482086.</w:t>
      </w:r>
    </w:p>
    <w:p w14:paraId="0BA87FF6" w14:textId="63C46656" w:rsidR="008A6A82" w:rsidRPr="008A6A82" w:rsidRDefault="008A6A82" w:rsidP="008A6A82">
      <w:pPr>
        <w:widowControl w:val="0"/>
        <w:autoSpaceDE w:val="0"/>
        <w:autoSpaceDN w:val="0"/>
        <w:adjustRightInd w:val="0"/>
        <w:ind w:left="426" w:hanging="426"/>
        <w:jc w:val="both"/>
        <w:rPr>
          <w:color w:val="000000"/>
          <w:sz w:val="16"/>
          <w:szCs w:val="16"/>
        </w:rPr>
      </w:pPr>
      <w:r>
        <w:rPr>
          <w:sz w:val="16"/>
        </w:rPr>
        <w:t>[35]</w:t>
      </w:r>
      <w:r>
        <w:rPr>
          <w:sz w:val="16"/>
        </w:rPr>
        <w:tab/>
        <w:t>S. M. Lundberg and S. I. Lee, "A Unified Approach to Interpreting Model Predictions," in Advances in Neural Information Processing Systems (NeurIPS), vol. 30, 2017, pp. 4765–4774. [Online]. Available: https://arxiv.org/abs/1705.07874.</w:t>
      </w:r>
    </w:p>
    <w:p w14:paraId="5A41B87D" w14:textId="0096D7C0" w:rsidR="008A6A82" w:rsidRPr="008A6A82" w:rsidRDefault="008A6A82" w:rsidP="008A6A82">
      <w:pPr>
        <w:widowControl w:val="0"/>
        <w:autoSpaceDE w:val="0"/>
        <w:autoSpaceDN w:val="0"/>
        <w:adjustRightInd w:val="0"/>
        <w:ind w:left="426" w:hanging="426"/>
        <w:jc w:val="both"/>
        <w:rPr>
          <w:color w:val="000000"/>
          <w:sz w:val="16"/>
          <w:szCs w:val="16"/>
        </w:rPr>
      </w:pPr>
      <w:r>
        <w:rPr>
          <w:sz w:val="16"/>
        </w:rPr>
        <w:t>[36]</w:t>
      </w:r>
      <w:r>
        <w:rPr>
          <w:sz w:val="16"/>
        </w:rPr>
        <w:tab/>
        <w:t>F. X. Diebold and R. S. Mariano, "Comparing Predictive Accuracy," J. Bus. Econ. Stat., vol. 13, no. 3, pp. 253–263, 1995. doi: 10.1080/07350015.1995.10524599.</w:t>
      </w:r>
    </w:p>
    <w:p w14:paraId="264F6F20" w14:textId="35DF8072" w:rsidR="008A6A82" w:rsidRPr="008A6A82" w:rsidRDefault="008A6A82" w:rsidP="008A6A82">
      <w:pPr>
        <w:widowControl w:val="0"/>
        <w:autoSpaceDE w:val="0"/>
        <w:autoSpaceDN w:val="0"/>
        <w:adjustRightInd w:val="0"/>
        <w:ind w:left="426" w:hanging="426"/>
        <w:jc w:val="both"/>
        <w:rPr>
          <w:color w:val="000000"/>
          <w:sz w:val="16"/>
          <w:szCs w:val="16"/>
        </w:rPr>
      </w:pPr>
      <w:r>
        <w:rPr>
          <w:sz w:val="16"/>
        </w:rPr>
        <w:t>[37]</w:t>
      </w:r>
      <w:r>
        <w:rPr>
          <w:sz w:val="16"/>
        </w:rPr>
        <w:tab/>
        <w:t>J. Bollen, H. Mao, and X. Zeng, "Twitter mood predicts the stock market," J. Comput. Sci., vol. 2, no. 1, pp. 1–8, 2011. doi: 10.1016/j.jocs.2010.12.007.</w:t>
      </w:r>
    </w:p>
    <w:p w14:paraId="5066DEB0" w14:textId="5A4F68E2" w:rsidR="008A6A82" w:rsidRPr="008A6A82" w:rsidRDefault="008A6A82" w:rsidP="008A6A82">
      <w:pPr>
        <w:widowControl w:val="0"/>
        <w:autoSpaceDE w:val="0"/>
        <w:autoSpaceDN w:val="0"/>
        <w:adjustRightInd w:val="0"/>
        <w:ind w:left="426" w:hanging="426"/>
        <w:jc w:val="both"/>
        <w:rPr>
          <w:color w:val="000000"/>
          <w:sz w:val="16"/>
          <w:szCs w:val="16"/>
        </w:rPr>
      </w:pPr>
      <w:r>
        <w:rPr>
          <w:sz w:val="16"/>
        </w:rPr>
        <w:t>[38]</w:t>
      </w:r>
      <w:r>
        <w:rPr>
          <w:sz w:val="16"/>
        </w:rPr>
        <w:tab/>
        <w:t>I. E. Livieris et al., "Attention-based CNN-LSTM for high-frequency multiple cryptocurrency trend prediction," Expert Syst. Appl., vol. 213, art. no. 119208, 2024. doi: 10.1016/j.eswa.2022.119208.</w:t>
      </w:r>
    </w:p>
    <w:p w14:paraId="1579EB65" w14:textId="337798BE" w:rsidR="008A6A82" w:rsidRPr="008A6A82" w:rsidRDefault="008A6A82" w:rsidP="008A6A82">
      <w:pPr>
        <w:widowControl w:val="0"/>
        <w:autoSpaceDE w:val="0"/>
        <w:autoSpaceDN w:val="0"/>
        <w:adjustRightInd w:val="0"/>
        <w:ind w:left="426" w:hanging="426"/>
        <w:jc w:val="both"/>
        <w:rPr>
          <w:color w:val="000000"/>
          <w:sz w:val="16"/>
          <w:szCs w:val="16"/>
        </w:rPr>
      </w:pPr>
      <w:r>
        <w:rPr>
          <w:sz w:val="16"/>
        </w:rPr>
        <w:t>[39]</w:t>
      </w:r>
      <w:r>
        <w:rPr>
          <w:sz w:val="16"/>
        </w:rPr>
        <w:tab/>
        <w:t>J. Brooke, "SUS: A 'Quick and Dirty' Usability Scale," in Usability Evaluation in Industry, P. W. Jordan et al., Eds. London, UK: Taylor &amp; Francis, 1996, pp. 189–194.</w:t>
      </w:r>
    </w:p>
    <w:p w14:paraId="2684CBB8" w14:textId="0E2B876B" w:rsidR="006E1F55" w:rsidRPr="00FC1023" w:rsidRDefault="008A6A82" w:rsidP="008A6A82">
      <w:pPr>
        <w:widowControl w:val="0"/>
        <w:autoSpaceDE w:val="0"/>
        <w:autoSpaceDN w:val="0"/>
        <w:adjustRightInd w:val="0"/>
        <w:ind w:left="426" w:hanging="426"/>
        <w:jc w:val="both"/>
        <w:rPr>
          <w:color w:val="000000"/>
        </w:rPr>
      </w:pPr>
      <w:r>
        <w:rPr>
          <w:sz w:val="16"/>
        </w:rPr>
        <w:t>[40]</w:t>
      </w:r>
      <w:r>
        <w:rPr>
          <w:sz w:val="16"/>
        </w:rPr>
        <w:tab/>
        <w:t>A. Bangor, P. T. Kortum, and J. T. Miller, "Determining what individual SUS scores mean: Adding an adjective rating scale," J. Usability Stud., vol. 4, no. 3, pp. 114–123, 2009. [Online]. Available: https://uxpajournal.org/determining-what-individual-sus-scores-mean/.</w:t>
      </w:r>
    </w:p>
    <w:p w14:paraId="6AAD199A" w14:textId="77777777" w:rsidR="00416737" w:rsidRPr="00FC1023" w:rsidRDefault="00416737" w:rsidP="006E1F55">
      <w:pPr>
        <w:widowControl w:val="0"/>
        <w:autoSpaceDE w:val="0"/>
        <w:autoSpaceDN w:val="0"/>
        <w:adjustRightInd w:val="0"/>
        <w:ind w:left="426" w:hanging="426"/>
        <w:jc w:val="both"/>
        <w:rPr>
          <w:color w:val="000000"/>
        </w:rPr>
      </w:pPr>
    </w:p>
    <w:p w14:paraId="649ACF93" w14:textId="77777777" w:rsidR="008F7C6C" w:rsidRDefault="008F7C6C" w:rsidP="008F7C6C">
      <w:pPr>
        <w:jc w:val="both"/>
        <w:rPr>
          <w:b/>
        </w:rPr>
      </w:pPr>
    </w:p>
    <w:p w14:paraId="03F7A657" w14:textId="77777777" w:rsidR="00DE055B" w:rsidRPr="00FC1023" w:rsidRDefault="00DE055B" w:rsidP="00DE055B">
      <w:pPr>
        <w:jc w:val="both"/>
        <w:rPr>
          <w:b/>
          <w:bCs/>
        </w:rPr>
      </w:pPr>
      <w:r w:rsidRPr="00FC1023">
        <w:rPr>
          <w:b/>
        </w:rPr>
        <w:t xml:space="preserve">BIOGRAPHIES OF AUTHORS </w:t>
      </w:r>
    </w:p>
    <w:tbl>
      <w:tblPr>
        <w:tblW w:w="5000" w:type="pct"/>
        <w:tblLook w:val="04A0" w:firstRow="1" w:lastRow="0" w:firstColumn="1" w:lastColumn="0" w:noHBand="0" w:noVBand="1"/>
      </w:tblPr>
      <w:tblGrid>
        <w:gridCol w:w="1956"/>
        <w:gridCol w:w="6832"/>
      </w:tblGrid>
      <w:tr w:rsidR="00BB4B1A" w:rsidRPr="00FC1023" w14:paraId="2170DB4A" w14:textId="77777777" w:rsidTr="00DE055B">
        <w:tc>
          <w:tcPr>
            <w:tcW w:w="1113" w:type="pct"/>
          </w:tcPr>
          <w:p w14:paraId="0237C8E6" w14:textId="70060D12" w:rsidR="009F4E50" w:rsidRPr="00FC1023" w:rsidRDefault="00123E9E" w:rsidP="005C5BD1">
            <w:pPr>
              <w:jc w:val="center"/>
              <w:rPr>
                <w:color w:val="000000"/>
                <w:highlight w:val="yellow"/>
              </w:rPr>
            </w:pPr>
            <w:r>
              <w:rPr>
                <w:noProof/>
              </w:rPr>
              <w:drawing>
                <wp:inline distT="0" distB="0" distL="0" distR="0" wp14:anchorId="33304E39" wp14:editId="5F359CB9">
                  <wp:extent cx="1101725" cy="1101725"/>
                  <wp:effectExtent l="0" t="0" r="3175" b="3175"/>
                  <wp:docPr id="1036805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1725" cy="1101725"/>
                          </a:xfrm>
                          <a:prstGeom prst="rect">
                            <a:avLst/>
                          </a:prstGeom>
                          <a:noFill/>
                          <a:ln>
                            <a:noFill/>
                          </a:ln>
                        </pic:spPr>
                      </pic:pic>
                    </a:graphicData>
                  </a:graphic>
                </wp:inline>
              </w:drawing>
            </w:r>
          </w:p>
        </w:tc>
        <w:tc>
          <w:tcPr>
            <w:tcW w:w="3887" w:type="pct"/>
          </w:tcPr>
          <w:p w14:paraId="3122DC79" w14:textId="389202BD" w:rsidR="009F4E50" w:rsidRPr="00FC1023" w:rsidRDefault="00123E9E" w:rsidP="005C5BD1">
            <w:pPr>
              <w:jc w:val="both"/>
              <w:rPr>
                <w:color w:val="000000"/>
                <w:sz w:val="18"/>
                <w:szCs w:val="18"/>
              </w:rPr>
            </w:pPr>
            <w:proofErr w:type="spellStart"/>
            <w:r w:rsidRPr="008217DF">
              <w:rPr>
                <w:b/>
                <w:bCs/>
                <w:color w:val="000000"/>
                <w:sz w:val="18"/>
                <w:szCs w:val="18"/>
              </w:rPr>
              <w:t>Asep</w:t>
            </w:r>
            <w:proofErr w:type="spellEnd"/>
            <w:r w:rsidRPr="008217DF">
              <w:rPr>
                <w:b/>
                <w:bCs/>
                <w:color w:val="000000"/>
                <w:sz w:val="18"/>
                <w:szCs w:val="18"/>
              </w:rPr>
              <w:t xml:space="preserve"> </w:t>
            </w:r>
            <w:proofErr w:type="spellStart"/>
            <w:r w:rsidRPr="008217DF">
              <w:rPr>
                <w:b/>
                <w:bCs/>
                <w:color w:val="000000"/>
                <w:sz w:val="18"/>
                <w:szCs w:val="18"/>
              </w:rPr>
              <w:t>Surahman</w:t>
            </w:r>
            <w:proofErr w:type="spellEnd"/>
            <w:r w:rsidRPr="008217DF">
              <w:rPr>
                <w:b/>
                <w:bCs/>
                <w:color w:val="000000"/>
                <w:sz w:val="18"/>
                <w:szCs w:val="18"/>
              </w:rPr>
              <w:t xml:space="preserve"> </w:t>
            </w:r>
            <w:proofErr w:type="spellStart"/>
            <w:r w:rsidRPr="008217DF">
              <w:rPr>
                <w:b/>
                <w:bCs/>
                <w:color w:val="000000"/>
                <w:sz w:val="18"/>
                <w:szCs w:val="18"/>
              </w:rPr>
              <w:t>Sulaeman</w:t>
            </w:r>
            <w:proofErr w:type="spellEnd"/>
            <w:r w:rsidRPr="008217DF">
              <w:rPr>
                <w:b/>
                <w:bCs/>
                <w:color w:val="000000"/>
                <w:sz w:val="18"/>
                <w:szCs w:val="18"/>
              </w:rPr>
              <w:t xml:space="preserve"> </w:t>
            </w:r>
            <w:r w:rsidRPr="00843E6B">
              <w:rPr>
                <w:noProof/>
                <w:color w:val="000000"/>
                <w:sz w:val="18"/>
                <w:szCs w:val="18"/>
              </w:rPr>
              <w:drawing>
                <wp:inline distT="0" distB="0" distL="0" distR="0" wp14:anchorId="547FE96C" wp14:editId="4A2AA921">
                  <wp:extent cx="114935" cy="114935"/>
                  <wp:effectExtent l="0" t="0" r="0" b="0"/>
                  <wp:docPr id="88221957" name="Picture 882219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61A7291C" wp14:editId="2A160F0B">
                  <wp:extent cx="114935" cy="114935"/>
                  <wp:effectExtent l="0" t="0" r="0" b="0"/>
                  <wp:docPr id="399021619" name="Picture 39902161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24FDCC97" wp14:editId="379E8ADB">
                  <wp:extent cx="114935" cy="114935"/>
                  <wp:effectExtent l="0" t="0" r="0" b="0"/>
                  <wp:docPr id="33" name="Picture 3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217DF">
              <w:rPr>
                <w:color w:val="000000"/>
                <w:sz w:val="18"/>
                <w:szCs w:val="18"/>
              </w:rPr>
              <w:t xml:space="preserve">is currently pursuing the Master’s degree in Informatics at Universitas Nusa Putra, Indonesia. He received his Bachelor’s degree in Informatics Engineering from Universitas Nusa Putra, Indonesia. Currently, he serves as a postgraduate staff member at Universitas Nusa Putra. His research interests include artificial intelligence, data science, and software development, with a strong emphasis on deep learning, big data analytics, and intelligent decision support systems. His current research focuses on developing a scalable multimodal adaptive ensemble architecture with attention fusion for forecasting gold price dynamics, integrating structured financial data and unstructured visual data within a distributed computing environment. His work leverages advanced models such as LSTM, GRU, and </w:t>
            </w:r>
            <w:proofErr w:type="spellStart"/>
            <w:r w:rsidRPr="008217DF">
              <w:rPr>
                <w:color w:val="000000"/>
                <w:sz w:val="18"/>
                <w:szCs w:val="18"/>
              </w:rPr>
              <w:t>XGBoost</w:t>
            </w:r>
            <w:proofErr w:type="spellEnd"/>
            <w:r w:rsidRPr="008217DF">
              <w:rPr>
                <w:color w:val="000000"/>
                <w:sz w:val="18"/>
                <w:szCs w:val="18"/>
              </w:rPr>
              <w:t xml:space="preserve"> combined with parallel processing frameworks to improve predictive performance and interpretability in financial time series analysis. He is actively involved in academic and research activities in the field of information technology. </w:t>
            </w:r>
            <w:r w:rsidRPr="00FA12C2">
              <w:rPr>
                <w:color w:val="000000"/>
                <w:sz w:val="18"/>
                <w:szCs w:val="18"/>
              </w:rPr>
              <w:t>He can be contacted at email: asep.surahman@nusaputra.ac.id</w:t>
            </w:r>
          </w:p>
        </w:tc>
      </w:tr>
      <w:tr w:rsidR="00BB4B1A" w:rsidRPr="00FC1023" w14:paraId="6745CD28" w14:textId="77777777" w:rsidTr="00DE055B">
        <w:tc>
          <w:tcPr>
            <w:tcW w:w="1113" w:type="pct"/>
          </w:tcPr>
          <w:p w14:paraId="01995B63" w14:textId="77777777" w:rsidR="009F4E50" w:rsidRPr="00FC1023" w:rsidRDefault="009F4E50" w:rsidP="005C5BD1">
            <w:pPr>
              <w:rPr>
                <w:color w:val="000000"/>
                <w:highlight w:val="yellow"/>
              </w:rPr>
            </w:pPr>
          </w:p>
        </w:tc>
        <w:tc>
          <w:tcPr>
            <w:tcW w:w="3887" w:type="pct"/>
          </w:tcPr>
          <w:p w14:paraId="73538C99" w14:textId="77777777" w:rsidR="009F4E50" w:rsidRPr="00FC1023" w:rsidRDefault="009F4E50" w:rsidP="005C5BD1">
            <w:pPr>
              <w:jc w:val="both"/>
              <w:rPr>
                <w:color w:val="000000"/>
                <w:sz w:val="18"/>
                <w:szCs w:val="18"/>
                <w:highlight w:val="yellow"/>
              </w:rPr>
            </w:pPr>
          </w:p>
        </w:tc>
      </w:tr>
      <w:tr w:rsidR="00BB4B1A" w:rsidRPr="00FC1023" w14:paraId="07A000D1" w14:textId="77777777" w:rsidTr="00DE055B">
        <w:trPr>
          <w:trHeight w:val="1547"/>
        </w:trPr>
        <w:tc>
          <w:tcPr>
            <w:tcW w:w="1113" w:type="pct"/>
          </w:tcPr>
          <w:p w14:paraId="210B5ABE" w14:textId="789B5405" w:rsidR="00BB4B1A" w:rsidRPr="00BB4B1A" w:rsidRDefault="00BB4B1A" w:rsidP="00BB4B1A">
            <w:pPr>
              <w:jc w:val="center"/>
              <w:rPr>
                <w:color w:val="000000"/>
                <w:highlight w:val="yellow"/>
              </w:rPr>
            </w:pPr>
            <w:r w:rsidRPr="00BB4B1A">
              <w:rPr>
                <w:noProof/>
                <w:color w:val="000000"/>
                <w:highlight w:val="yellow"/>
              </w:rPr>
              <w:lastRenderedPageBreak/>
              <w:drawing>
                <wp:inline distT="0" distB="0" distL="0" distR="0" wp14:anchorId="640B5010" wp14:editId="78CDAAC6">
                  <wp:extent cx="1046425" cy="1279335"/>
                  <wp:effectExtent l="0" t="0" r="1905" b="0"/>
                  <wp:docPr id="464322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70858" cy="1309206"/>
                          </a:xfrm>
                          <a:prstGeom prst="rect">
                            <a:avLst/>
                          </a:prstGeom>
                          <a:noFill/>
                          <a:ln>
                            <a:noFill/>
                          </a:ln>
                        </pic:spPr>
                      </pic:pic>
                    </a:graphicData>
                  </a:graphic>
                </wp:inline>
              </w:drawing>
            </w:r>
          </w:p>
          <w:p w14:paraId="7BDC5B68" w14:textId="58EA3A29" w:rsidR="009F4E50" w:rsidRPr="00FC1023" w:rsidRDefault="009F4E50" w:rsidP="005C5BD1">
            <w:pPr>
              <w:jc w:val="center"/>
              <w:rPr>
                <w:color w:val="000000"/>
                <w:highlight w:val="yellow"/>
              </w:rPr>
            </w:pPr>
          </w:p>
        </w:tc>
        <w:tc>
          <w:tcPr>
            <w:tcW w:w="3887" w:type="pct"/>
          </w:tcPr>
          <w:p w14:paraId="4FABA9DA" w14:textId="0294A969" w:rsidR="009F4E50" w:rsidRPr="00FC1023" w:rsidRDefault="008639AC" w:rsidP="006004E2">
            <w:pPr>
              <w:jc w:val="both"/>
              <w:rPr>
                <w:color w:val="000000"/>
                <w:sz w:val="18"/>
                <w:szCs w:val="18"/>
              </w:rPr>
            </w:pPr>
            <w:bookmarkStart w:id="4" w:name="_Hlk81227280"/>
            <w:r>
              <w:rPr>
                <w:b/>
                <w:bCs/>
                <w:color w:val="000000"/>
                <w:sz w:val="18"/>
                <w:szCs w:val="18"/>
              </w:rPr>
              <w:t xml:space="preserve">Deden </w:t>
            </w:r>
            <w:proofErr w:type="spellStart"/>
            <w:r>
              <w:rPr>
                <w:b/>
                <w:bCs/>
                <w:color w:val="000000"/>
                <w:sz w:val="18"/>
                <w:szCs w:val="18"/>
              </w:rPr>
              <w:t>Witarsyah</w:t>
            </w:r>
            <w:proofErr w:type="spellEnd"/>
            <w:r w:rsidR="009F4E50" w:rsidRPr="00FC1023">
              <w:rPr>
                <w:b/>
                <w:bCs/>
                <w:color w:val="000000"/>
                <w:sz w:val="18"/>
                <w:szCs w:val="18"/>
              </w:rPr>
              <w:t xml:space="preserve"> </w:t>
            </w:r>
            <w:bookmarkEnd w:id="4"/>
            <w:r w:rsidR="009F4E50" w:rsidRPr="00FC1023">
              <w:rPr>
                <w:noProof/>
                <w:color w:val="000000"/>
                <w:sz w:val="18"/>
                <w:szCs w:val="18"/>
              </w:rPr>
              <w:drawing>
                <wp:inline distT="0" distB="0" distL="0" distR="0" wp14:anchorId="3ADEA489" wp14:editId="16BD83D0">
                  <wp:extent cx="114935" cy="114935"/>
                  <wp:effectExtent l="0" t="0" r="0" b="0"/>
                  <wp:docPr id="28" name="Picture 2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2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9F4E50" w:rsidRPr="00FC1023">
              <w:rPr>
                <w:color w:val="000000"/>
                <w:sz w:val="18"/>
                <w:szCs w:val="18"/>
              </w:rPr>
              <w:t xml:space="preserve"> </w:t>
            </w:r>
            <w:r w:rsidR="009F4E50" w:rsidRPr="00FC1023">
              <w:rPr>
                <w:noProof/>
                <w:color w:val="000000"/>
                <w:sz w:val="18"/>
                <w:szCs w:val="18"/>
              </w:rPr>
              <w:drawing>
                <wp:inline distT="0" distB="0" distL="0" distR="0" wp14:anchorId="5F50AA8C" wp14:editId="024A04E4">
                  <wp:extent cx="114935" cy="114935"/>
                  <wp:effectExtent l="0" t="0" r="0" b="0"/>
                  <wp:docPr id="29" name="Picture 2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23"/>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9F4E50" w:rsidRPr="00FC1023">
              <w:rPr>
                <w:color w:val="000000"/>
                <w:sz w:val="18"/>
                <w:szCs w:val="18"/>
              </w:rPr>
              <w:t xml:space="preserve"> </w:t>
            </w:r>
            <w:r w:rsidR="009F4E50" w:rsidRPr="00FC1023">
              <w:rPr>
                <w:noProof/>
                <w:color w:val="000000"/>
                <w:sz w:val="18"/>
                <w:szCs w:val="18"/>
              </w:rPr>
              <w:drawing>
                <wp:inline distT="0" distB="0" distL="0" distR="0" wp14:anchorId="39AF3570" wp14:editId="5BBFDC0C">
                  <wp:extent cx="114935" cy="114935"/>
                  <wp:effectExtent l="0" t="0" r="0" b="0"/>
                  <wp:docPr id="9" name="Graphic 9">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9" name="Graphic 9">
                            <a:hlinkClick r:id="rId24"/>
                          </pic:cNvPr>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sidR="009F4E50" w:rsidRPr="00FC1023">
              <w:rPr>
                <w:color w:val="000000"/>
                <w:sz w:val="18"/>
                <w:szCs w:val="18"/>
              </w:rPr>
              <w:t xml:space="preserve"> </w:t>
            </w:r>
            <w:r w:rsidR="009F4E50" w:rsidRPr="00FC1023">
              <w:rPr>
                <w:noProof/>
                <w:color w:val="000000"/>
                <w:sz w:val="18"/>
                <w:szCs w:val="18"/>
              </w:rPr>
              <w:drawing>
                <wp:inline distT="0" distB="0" distL="0" distR="0" wp14:anchorId="0721AC11" wp14:editId="362303B9">
                  <wp:extent cx="114935" cy="114935"/>
                  <wp:effectExtent l="0" t="0" r="0" b="0"/>
                  <wp:docPr id="31" name="Picture 3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7"/>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9F4E50" w:rsidRPr="00FC1023">
              <w:rPr>
                <w:color w:val="000000"/>
                <w:sz w:val="18"/>
                <w:szCs w:val="18"/>
              </w:rPr>
              <w:t xml:space="preserve"> </w:t>
            </w:r>
            <w:r w:rsidR="008028CC" w:rsidRPr="008028CC">
              <w:rPr>
                <w:color w:val="000000"/>
                <w:sz w:val="18"/>
                <w:szCs w:val="18"/>
              </w:rPr>
              <w:t xml:space="preserve">is a Professor in Information Systems with extensive academic and international research experience. He earned his Master’s degree in Electrical and Computer Engineering from Curtin University of Technology, Australia, and completed his Ph.D. in Information Systems through </w:t>
            </w:r>
            <w:proofErr w:type="spellStart"/>
            <w:r w:rsidR="008028CC" w:rsidRPr="008028CC">
              <w:rPr>
                <w:color w:val="000000"/>
                <w:sz w:val="18"/>
                <w:szCs w:val="18"/>
              </w:rPr>
              <w:t>Universiti</w:t>
            </w:r>
            <w:proofErr w:type="spellEnd"/>
            <w:r w:rsidR="008028CC" w:rsidRPr="008028CC">
              <w:rPr>
                <w:color w:val="000000"/>
                <w:sz w:val="18"/>
                <w:szCs w:val="18"/>
              </w:rPr>
              <w:t xml:space="preserve"> Tun Hussein Onn Malaysia, with academic engagement in the </w:t>
            </w:r>
            <w:proofErr w:type="spellStart"/>
            <w:r w:rsidR="008028CC" w:rsidRPr="008028CC">
              <w:rPr>
                <w:color w:val="000000"/>
                <w:sz w:val="18"/>
                <w:szCs w:val="18"/>
              </w:rPr>
              <w:t>Netherlands.He</w:t>
            </w:r>
            <w:proofErr w:type="spellEnd"/>
            <w:r w:rsidR="008028CC" w:rsidRPr="008028CC">
              <w:rPr>
                <w:color w:val="000000"/>
                <w:sz w:val="18"/>
                <w:szCs w:val="18"/>
              </w:rPr>
              <w:t xml:space="preserve"> is currently affiliated with Nusa Putra University and has served Ph.D. examiner at TU Delft, Netherlands. His research focuses on information systems, e-government, open data, and IT project management, with collaborations spanning institutions in Europe, Asia, and Australia</w:t>
            </w:r>
            <w:r w:rsidR="006004E2">
              <w:rPr>
                <w:color w:val="000000"/>
                <w:sz w:val="18"/>
                <w:szCs w:val="18"/>
              </w:rPr>
              <w:t>.</w:t>
            </w:r>
            <w:r w:rsidR="007D4260">
              <w:rPr>
                <w:color w:val="000000"/>
                <w:sz w:val="18"/>
                <w:szCs w:val="18"/>
              </w:rPr>
              <w:t xml:space="preserve"> </w:t>
            </w:r>
            <w:r w:rsidR="008028CC" w:rsidRPr="008028CC">
              <w:rPr>
                <w:color w:val="000000"/>
                <w:sz w:val="18"/>
                <w:szCs w:val="18"/>
              </w:rPr>
              <w:t>Prof. Deden has led key research initiatives, including serving as Head of the Open Data Research Center and contributing to international projects and academic programs. With a strong commitment to innovation, collaboration, and academic excellence, he continues to advance research and education in digital technologies.</w:t>
            </w:r>
          </w:p>
        </w:tc>
      </w:tr>
      <w:tr w:rsidR="00BB4B1A" w:rsidRPr="00FC1023" w14:paraId="272E136B" w14:textId="77777777" w:rsidTr="00DE055B">
        <w:trPr>
          <w:trHeight w:val="54"/>
        </w:trPr>
        <w:tc>
          <w:tcPr>
            <w:tcW w:w="1113" w:type="pct"/>
          </w:tcPr>
          <w:p w14:paraId="204C05A1" w14:textId="77777777" w:rsidR="009F4E50" w:rsidRPr="00FC1023" w:rsidRDefault="009F4E50" w:rsidP="005C5BD1">
            <w:pPr>
              <w:jc w:val="center"/>
              <w:rPr>
                <w:noProof/>
                <w:sz w:val="18"/>
                <w:szCs w:val="18"/>
              </w:rPr>
            </w:pPr>
          </w:p>
        </w:tc>
        <w:tc>
          <w:tcPr>
            <w:tcW w:w="3887" w:type="pct"/>
          </w:tcPr>
          <w:p w14:paraId="1F80B1B4" w14:textId="77777777" w:rsidR="009F4E50" w:rsidRPr="00FC1023" w:rsidRDefault="009F4E50" w:rsidP="005C5BD1">
            <w:pPr>
              <w:jc w:val="both"/>
              <w:rPr>
                <w:b/>
                <w:bCs/>
                <w:sz w:val="18"/>
                <w:szCs w:val="18"/>
              </w:rPr>
            </w:pPr>
          </w:p>
        </w:tc>
      </w:tr>
      <w:tr w:rsidR="00BB4B1A" w:rsidRPr="00FC1023" w14:paraId="43E96214" w14:textId="77777777" w:rsidTr="00DE055B">
        <w:trPr>
          <w:trHeight w:val="54"/>
        </w:trPr>
        <w:tc>
          <w:tcPr>
            <w:tcW w:w="1113" w:type="pct"/>
          </w:tcPr>
          <w:p w14:paraId="2DABBF39" w14:textId="2951C253" w:rsidR="009F4E50" w:rsidRPr="00FC1023" w:rsidRDefault="00436689" w:rsidP="005C5BD1">
            <w:pPr>
              <w:jc w:val="center"/>
              <w:rPr>
                <w:noProof/>
                <w:sz w:val="18"/>
                <w:szCs w:val="18"/>
              </w:rPr>
            </w:pPr>
            <w:r>
              <w:rPr>
                <w:noProof/>
                <w:sz w:val="18"/>
                <w:szCs w:val="18"/>
              </w:rPr>
              <w:drawing>
                <wp:inline distT="0" distB="0" distL="0" distR="0" wp14:anchorId="4098BF92" wp14:editId="06B7D329">
                  <wp:extent cx="1068636" cy="1605462"/>
                  <wp:effectExtent l="0" t="0" r="0" b="0"/>
                  <wp:docPr id="443039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9873" name="Picture 4430398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98428" cy="1650220"/>
                          </a:xfrm>
                          <a:prstGeom prst="rect">
                            <a:avLst/>
                          </a:prstGeom>
                        </pic:spPr>
                      </pic:pic>
                    </a:graphicData>
                  </a:graphic>
                </wp:inline>
              </w:drawing>
            </w:r>
          </w:p>
        </w:tc>
        <w:tc>
          <w:tcPr>
            <w:tcW w:w="3887" w:type="pct"/>
          </w:tcPr>
          <w:p w14:paraId="30D3AEE5" w14:textId="1608F5BB" w:rsidR="009F4E50" w:rsidRPr="00B24EE8" w:rsidRDefault="00436689" w:rsidP="00436689">
            <w:pPr>
              <w:jc w:val="both"/>
              <w:rPr>
                <w:color w:val="000000" w:themeColor="text1"/>
                <w:sz w:val="18"/>
                <w:szCs w:val="18"/>
              </w:rPr>
            </w:pPr>
            <w:r w:rsidRPr="00B24EE8">
              <w:rPr>
                <w:b/>
                <w:bCs/>
                <w:color w:val="000000" w:themeColor="text1"/>
                <w:sz w:val="18"/>
                <w:szCs w:val="18"/>
              </w:rPr>
              <w:t xml:space="preserve">Aswan Supriyadi </w:t>
            </w:r>
            <w:proofErr w:type="spellStart"/>
            <w:r w:rsidRPr="00B24EE8">
              <w:rPr>
                <w:b/>
                <w:bCs/>
                <w:color w:val="000000" w:themeColor="text1"/>
                <w:sz w:val="18"/>
                <w:szCs w:val="18"/>
              </w:rPr>
              <w:t>Sunge</w:t>
            </w:r>
            <w:proofErr w:type="spellEnd"/>
            <w:r w:rsidR="009F4E50" w:rsidRPr="00B24EE8">
              <w:rPr>
                <w:b/>
                <w:bCs/>
                <w:color w:val="000000"/>
                <w:sz w:val="18"/>
                <w:szCs w:val="18"/>
              </w:rPr>
              <w:t xml:space="preserve"> </w:t>
            </w:r>
            <w:r w:rsidR="009F4E50" w:rsidRPr="00B24EE8">
              <w:rPr>
                <w:noProof/>
                <w:color w:val="000000"/>
                <w:sz w:val="18"/>
                <w:szCs w:val="18"/>
                <w:lang w:eastAsia="id-ID"/>
              </w:rPr>
              <w:drawing>
                <wp:inline distT="0" distB="0" distL="0" distR="0" wp14:anchorId="43733240" wp14:editId="76B7013F">
                  <wp:extent cx="114935" cy="114935"/>
                  <wp:effectExtent l="0" t="0" r="0" b="0"/>
                  <wp:docPr id="17" name="Picture 1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29"/>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9F4E50" w:rsidRPr="00B24EE8">
              <w:rPr>
                <w:color w:val="000000"/>
                <w:sz w:val="18"/>
                <w:szCs w:val="18"/>
              </w:rPr>
              <w:t xml:space="preserve"> </w:t>
            </w:r>
            <w:r w:rsidR="009F4E50" w:rsidRPr="00B24EE8">
              <w:rPr>
                <w:noProof/>
                <w:color w:val="000000"/>
                <w:sz w:val="18"/>
                <w:szCs w:val="18"/>
                <w:lang w:eastAsia="id-ID"/>
              </w:rPr>
              <w:drawing>
                <wp:inline distT="0" distB="0" distL="0" distR="0" wp14:anchorId="171D0A3C" wp14:editId="432893B8">
                  <wp:extent cx="114935" cy="114935"/>
                  <wp:effectExtent l="0" t="0" r="0" b="0"/>
                  <wp:docPr id="18" name="Picture 1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30"/>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9F4E50" w:rsidRPr="00B24EE8">
              <w:rPr>
                <w:sz w:val="18"/>
                <w:szCs w:val="18"/>
              </w:rPr>
              <w:t xml:space="preserve"> </w:t>
            </w:r>
            <w:r w:rsidR="009F4E50" w:rsidRPr="00B24EE8">
              <w:rPr>
                <w:noProof/>
                <w:color w:val="000000"/>
                <w:sz w:val="18"/>
                <w:szCs w:val="18"/>
                <w:lang w:eastAsia="id-ID"/>
              </w:rPr>
              <w:drawing>
                <wp:inline distT="0" distB="0" distL="0" distR="0" wp14:anchorId="3A5B88D7" wp14:editId="56842472">
                  <wp:extent cx="114935" cy="114935"/>
                  <wp:effectExtent l="0" t="0" r="0" b="0"/>
                  <wp:docPr id="20" name="Graphic 20">
                    <a:hlinkClick xmlns:a="http://schemas.openxmlformats.org/drawingml/2006/main" r:id="rId31"/>
                  </wp:docPr>
                  <wp:cNvGraphicFramePr/>
                  <a:graphic xmlns:a="http://schemas.openxmlformats.org/drawingml/2006/main">
                    <a:graphicData uri="http://schemas.openxmlformats.org/drawingml/2006/picture">
                      <pic:pic xmlns:pic="http://schemas.openxmlformats.org/drawingml/2006/picture">
                        <pic:nvPicPr>
                          <pic:cNvPr id="20" name="Graphic 20">
                            <a:hlinkClick r:id="rId31"/>
                          </pic:cNvPr>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sidR="009F4E50" w:rsidRPr="00B24EE8">
              <w:rPr>
                <w:color w:val="000000"/>
                <w:sz w:val="18"/>
                <w:szCs w:val="18"/>
              </w:rPr>
              <w:t xml:space="preserve"> </w:t>
            </w:r>
            <w:r w:rsidR="009F4E50" w:rsidRPr="00B24EE8">
              <w:rPr>
                <w:noProof/>
                <w:color w:val="000000"/>
                <w:sz w:val="18"/>
                <w:szCs w:val="18"/>
                <w:lang w:eastAsia="id-ID"/>
              </w:rPr>
              <w:drawing>
                <wp:inline distT="0" distB="0" distL="0" distR="0" wp14:anchorId="04DB32F1" wp14:editId="2677208D">
                  <wp:extent cx="114935" cy="114935"/>
                  <wp:effectExtent l="0" t="0" r="0" b="0"/>
                  <wp:docPr id="30" name="Picture 3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2"/>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9F4E50" w:rsidRPr="00B24EE8">
              <w:rPr>
                <w:sz w:val="18"/>
                <w:szCs w:val="18"/>
              </w:rPr>
              <w:t xml:space="preserve"> </w:t>
            </w:r>
            <w:r w:rsidR="00275064" w:rsidRPr="00275064">
              <w:rPr>
                <w:color w:val="000000" w:themeColor="text1"/>
                <w:sz w:val="18"/>
                <w:szCs w:val="18"/>
              </w:rPr>
              <w:t xml:space="preserve">is currently serving as a Computer Science lecturer at Pelita </w:t>
            </w:r>
            <w:proofErr w:type="spellStart"/>
            <w:r w:rsidR="00275064" w:rsidRPr="00275064">
              <w:rPr>
                <w:color w:val="000000" w:themeColor="text1"/>
                <w:sz w:val="18"/>
                <w:szCs w:val="18"/>
              </w:rPr>
              <w:t>Bangsa</w:t>
            </w:r>
            <w:proofErr w:type="spellEnd"/>
            <w:r w:rsidR="00275064" w:rsidRPr="00275064">
              <w:rPr>
                <w:color w:val="000000" w:themeColor="text1"/>
                <w:sz w:val="18"/>
                <w:szCs w:val="18"/>
              </w:rPr>
              <w:t xml:space="preserve"> University in West Java, Indonesia</w:t>
            </w:r>
            <w:r w:rsidR="00275064" w:rsidRPr="00D5392F">
              <w:rPr>
                <w:color w:val="000000" w:themeColor="text1"/>
                <w:sz w:val="18"/>
                <w:szCs w:val="18"/>
              </w:rPr>
              <w:t>. He earned his bachelor's degree in economics from Gorontalo University in 2004, followed by a Master of Commerce in Computer Science from Nusa Mandiri University, Jakarta, in 2013. In 2024, he completed his Doctorate in Computer Science at Bina Nusantara Univ</w:t>
            </w:r>
            <w:r w:rsidR="00275064" w:rsidRPr="00275064">
              <w:rPr>
                <w:color w:val="000000" w:themeColor="text1"/>
                <w:sz w:val="18"/>
                <w:szCs w:val="18"/>
              </w:rPr>
              <w:t>ersity, Indonesia. Throughout his academic career, he has authored several books and conducted various research projects in the field of computer science.</w:t>
            </w:r>
            <w:r w:rsidR="00275064">
              <w:rPr>
                <w:color w:val="000000" w:themeColor="text1"/>
                <w:sz w:val="18"/>
                <w:szCs w:val="18"/>
              </w:rPr>
              <w:t xml:space="preserve"> </w:t>
            </w:r>
            <w:r w:rsidR="009F4E50" w:rsidRPr="00B24EE8">
              <w:rPr>
                <w:bCs/>
                <w:color w:val="000000"/>
                <w:sz w:val="18"/>
                <w:szCs w:val="18"/>
              </w:rPr>
              <w:t xml:space="preserve">He can be contacted at email: </w:t>
            </w:r>
            <w:r w:rsidRPr="00B24EE8">
              <w:rPr>
                <w:bCs/>
                <w:color w:val="000000"/>
                <w:sz w:val="18"/>
                <w:szCs w:val="18"/>
              </w:rPr>
              <w:t>aswan.sunge</w:t>
            </w:r>
            <w:r w:rsidR="009F4E50" w:rsidRPr="00B24EE8">
              <w:rPr>
                <w:color w:val="000000" w:themeColor="text1"/>
                <w:sz w:val="18"/>
                <w:szCs w:val="18"/>
              </w:rPr>
              <w:t>@</w:t>
            </w:r>
            <w:r w:rsidRPr="00B24EE8">
              <w:rPr>
                <w:color w:val="000000" w:themeColor="text1"/>
                <w:sz w:val="18"/>
                <w:szCs w:val="18"/>
              </w:rPr>
              <w:t>pelitabangsa.ac.id</w:t>
            </w:r>
          </w:p>
        </w:tc>
      </w:tr>
    </w:tbl>
    <w:p w14:paraId="6C7BCBF2" w14:textId="77777777" w:rsidR="005D4E0F" w:rsidRDefault="005D4E0F"/>
    <w:sectPr w:rsidR="005D4E0F" w:rsidSect="002A276C">
      <w:headerReference w:type="even" r:id="rId33"/>
      <w:headerReference w:type="default" r:id="rId34"/>
      <w:footerReference w:type="even" r:id="rId35"/>
      <w:footerReference w:type="default" r:id="rId36"/>
      <w:headerReference w:type="first" r:id="rId37"/>
      <w:footerReference w:type="first" r:id="rId38"/>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6723" w14:textId="77777777" w:rsidR="005D4E0F" w:rsidRDefault="005D4E0F">
      <w:r>
        <w:separator/>
      </w:r>
    </w:p>
  </w:endnote>
  <w:endnote w:type="continuationSeparator" w:id="0">
    <w:p w14:paraId="0389E735" w14:textId="77777777" w:rsidR="005D4E0F" w:rsidRDefault="005D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CD070"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48D5E991"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DB3F9"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859E8"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445F" w14:textId="77777777" w:rsidR="005D4E0F" w:rsidRDefault="005D4E0F">
      <w:r>
        <w:separator/>
      </w:r>
    </w:p>
  </w:footnote>
  <w:footnote w:type="continuationSeparator" w:id="0">
    <w:p w14:paraId="5E5D4296" w14:textId="77777777" w:rsidR="005D4E0F" w:rsidRDefault="005D4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772FD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0F92A"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FEF1D3"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29A7"/>
    <w:rsid w:val="00034C84"/>
    <w:rsid w:val="000416A3"/>
    <w:rsid w:val="000437AE"/>
    <w:rsid w:val="000442C6"/>
    <w:rsid w:val="000454C7"/>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843"/>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B6E"/>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1F50"/>
    <w:rsid w:val="000B30B1"/>
    <w:rsid w:val="000B5480"/>
    <w:rsid w:val="000B682B"/>
    <w:rsid w:val="000C03DA"/>
    <w:rsid w:val="000C4B17"/>
    <w:rsid w:val="000C6F74"/>
    <w:rsid w:val="000C730A"/>
    <w:rsid w:val="000D099B"/>
    <w:rsid w:val="000D11F9"/>
    <w:rsid w:val="000D3410"/>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5154"/>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3E9E"/>
    <w:rsid w:val="00124431"/>
    <w:rsid w:val="0012593C"/>
    <w:rsid w:val="00125C41"/>
    <w:rsid w:val="00126B1A"/>
    <w:rsid w:val="0012751B"/>
    <w:rsid w:val="0013179E"/>
    <w:rsid w:val="00131A6C"/>
    <w:rsid w:val="00131E4C"/>
    <w:rsid w:val="00133B59"/>
    <w:rsid w:val="001363DF"/>
    <w:rsid w:val="00136716"/>
    <w:rsid w:val="00137465"/>
    <w:rsid w:val="00137E25"/>
    <w:rsid w:val="00137F36"/>
    <w:rsid w:val="00140260"/>
    <w:rsid w:val="0014131C"/>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96F0F"/>
    <w:rsid w:val="001A0839"/>
    <w:rsid w:val="001A0F0D"/>
    <w:rsid w:val="001A33EF"/>
    <w:rsid w:val="001B2439"/>
    <w:rsid w:val="001B2EF9"/>
    <w:rsid w:val="001B3457"/>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506"/>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109B6"/>
    <w:rsid w:val="00211BC5"/>
    <w:rsid w:val="00212DCC"/>
    <w:rsid w:val="002141C1"/>
    <w:rsid w:val="00215A82"/>
    <w:rsid w:val="00216F2A"/>
    <w:rsid w:val="002200C0"/>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6B8"/>
    <w:rsid w:val="00254EC2"/>
    <w:rsid w:val="002550AB"/>
    <w:rsid w:val="00255388"/>
    <w:rsid w:val="00256322"/>
    <w:rsid w:val="0025705D"/>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064"/>
    <w:rsid w:val="00275406"/>
    <w:rsid w:val="002769E7"/>
    <w:rsid w:val="00277772"/>
    <w:rsid w:val="002806BC"/>
    <w:rsid w:val="00281882"/>
    <w:rsid w:val="00281D99"/>
    <w:rsid w:val="002821B9"/>
    <w:rsid w:val="002833E0"/>
    <w:rsid w:val="0028450D"/>
    <w:rsid w:val="00291EBF"/>
    <w:rsid w:val="00291FA7"/>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3A02"/>
    <w:rsid w:val="00305125"/>
    <w:rsid w:val="00306442"/>
    <w:rsid w:val="003069FB"/>
    <w:rsid w:val="00312C0C"/>
    <w:rsid w:val="003133D1"/>
    <w:rsid w:val="00313AA2"/>
    <w:rsid w:val="003200C9"/>
    <w:rsid w:val="003209C7"/>
    <w:rsid w:val="0032306D"/>
    <w:rsid w:val="00324E17"/>
    <w:rsid w:val="00326170"/>
    <w:rsid w:val="003263E9"/>
    <w:rsid w:val="00326D35"/>
    <w:rsid w:val="00331183"/>
    <w:rsid w:val="00331B83"/>
    <w:rsid w:val="00332063"/>
    <w:rsid w:val="00332AC9"/>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3753"/>
    <w:rsid w:val="0037476F"/>
    <w:rsid w:val="003751C8"/>
    <w:rsid w:val="00376867"/>
    <w:rsid w:val="00376A96"/>
    <w:rsid w:val="003772AC"/>
    <w:rsid w:val="0038168A"/>
    <w:rsid w:val="0038172D"/>
    <w:rsid w:val="00381E56"/>
    <w:rsid w:val="003826FF"/>
    <w:rsid w:val="0039123B"/>
    <w:rsid w:val="00393D9D"/>
    <w:rsid w:val="00393E61"/>
    <w:rsid w:val="003962C6"/>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0DAF"/>
    <w:rsid w:val="003D5B84"/>
    <w:rsid w:val="003D6B19"/>
    <w:rsid w:val="003D79CF"/>
    <w:rsid w:val="003E0207"/>
    <w:rsid w:val="003E0E36"/>
    <w:rsid w:val="003E23A5"/>
    <w:rsid w:val="003E304D"/>
    <w:rsid w:val="003E4AA5"/>
    <w:rsid w:val="003E4DD5"/>
    <w:rsid w:val="003E572F"/>
    <w:rsid w:val="003F0964"/>
    <w:rsid w:val="003F18A1"/>
    <w:rsid w:val="003F1D93"/>
    <w:rsid w:val="003F2EB6"/>
    <w:rsid w:val="003F4897"/>
    <w:rsid w:val="003F6587"/>
    <w:rsid w:val="00402C7D"/>
    <w:rsid w:val="00402FCF"/>
    <w:rsid w:val="00403A74"/>
    <w:rsid w:val="00407351"/>
    <w:rsid w:val="00407C2D"/>
    <w:rsid w:val="004106DF"/>
    <w:rsid w:val="00411A71"/>
    <w:rsid w:val="00411C0C"/>
    <w:rsid w:val="0041364A"/>
    <w:rsid w:val="0041399A"/>
    <w:rsid w:val="00414535"/>
    <w:rsid w:val="00414EA0"/>
    <w:rsid w:val="00415538"/>
    <w:rsid w:val="00416737"/>
    <w:rsid w:val="004208FC"/>
    <w:rsid w:val="00420D64"/>
    <w:rsid w:val="00424E85"/>
    <w:rsid w:val="00425BE9"/>
    <w:rsid w:val="00427072"/>
    <w:rsid w:val="0043585C"/>
    <w:rsid w:val="00436689"/>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CDE"/>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9748F"/>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B79F0"/>
    <w:rsid w:val="004C0B2C"/>
    <w:rsid w:val="004C1E2F"/>
    <w:rsid w:val="004C1EBB"/>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A8D"/>
    <w:rsid w:val="00505F41"/>
    <w:rsid w:val="0050794C"/>
    <w:rsid w:val="00510727"/>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2EDD"/>
    <w:rsid w:val="0055343D"/>
    <w:rsid w:val="0055649A"/>
    <w:rsid w:val="00563102"/>
    <w:rsid w:val="005641A0"/>
    <w:rsid w:val="00572013"/>
    <w:rsid w:val="00573257"/>
    <w:rsid w:val="00575F6D"/>
    <w:rsid w:val="005778F7"/>
    <w:rsid w:val="00577A3F"/>
    <w:rsid w:val="005805DF"/>
    <w:rsid w:val="00581789"/>
    <w:rsid w:val="005823DC"/>
    <w:rsid w:val="0058279C"/>
    <w:rsid w:val="00582C1F"/>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2EF"/>
    <w:rsid w:val="005B0825"/>
    <w:rsid w:val="005B0A84"/>
    <w:rsid w:val="005B2D16"/>
    <w:rsid w:val="005B4DAF"/>
    <w:rsid w:val="005B56A0"/>
    <w:rsid w:val="005B5788"/>
    <w:rsid w:val="005B60CF"/>
    <w:rsid w:val="005B60D5"/>
    <w:rsid w:val="005B693A"/>
    <w:rsid w:val="005B78D5"/>
    <w:rsid w:val="005C11D6"/>
    <w:rsid w:val="005C12EA"/>
    <w:rsid w:val="005C1759"/>
    <w:rsid w:val="005C234E"/>
    <w:rsid w:val="005D02EE"/>
    <w:rsid w:val="005D0C1B"/>
    <w:rsid w:val="005D210E"/>
    <w:rsid w:val="005D3D27"/>
    <w:rsid w:val="005D464B"/>
    <w:rsid w:val="005D4E0F"/>
    <w:rsid w:val="005D68A1"/>
    <w:rsid w:val="005D7D3A"/>
    <w:rsid w:val="005D7EB1"/>
    <w:rsid w:val="005E1032"/>
    <w:rsid w:val="005E3927"/>
    <w:rsid w:val="005E51F9"/>
    <w:rsid w:val="005E6EF7"/>
    <w:rsid w:val="005E736A"/>
    <w:rsid w:val="005E75FC"/>
    <w:rsid w:val="005E79AF"/>
    <w:rsid w:val="005F042D"/>
    <w:rsid w:val="005F227D"/>
    <w:rsid w:val="005F3D1C"/>
    <w:rsid w:val="005F534C"/>
    <w:rsid w:val="005F75F8"/>
    <w:rsid w:val="006004E2"/>
    <w:rsid w:val="006044C7"/>
    <w:rsid w:val="006123B6"/>
    <w:rsid w:val="00613977"/>
    <w:rsid w:val="0061627D"/>
    <w:rsid w:val="00617711"/>
    <w:rsid w:val="006179BE"/>
    <w:rsid w:val="006206C7"/>
    <w:rsid w:val="00622EC4"/>
    <w:rsid w:val="0062468D"/>
    <w:rsid w:val="0062488B"/>
    <w:rsid w:val="006327F1"/>
    <w:rsid w:val="00635E86"/>
    <w:rsid w:val="00636167"/>
    <w:rsid w:val="00644417"/>
    <w:rsid w:val="00647075"/>
    <w:rsid w:val="00652EBE"/>
    <w:rsid w:val="006549EF"/>
    <w:rsid w:val="00655972"/>
    <w:rsid w:val="00655C14"/>
    <w:rsid w:val="00656420"/>
    <w:rsid w:val="0065699B"/>
    <w:rsid w:val="00656AAA"/>
    <w:rsid w:val="00662070"/>
    <w:rsid w:val="0066228A"/>
    <w:rsid w:val="0066237A"/>
    <w:rsid w:val="006628A9"/>
    <w:rsid w:val="00663CA3"/>
    <w:rsid w:val="0066416E"/>
    <w:rsid w:val="00665A9F"/>
    <w:rsid w:val="00665B37"/>
    <w:rsid w:val="00665DA0"/>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9D8"/>
    <w:rsid w:val="006C5EC9"/>
    <w:rsid w:val="006C7C8B"/>
    <w:rsid w:val="006D29E6"/>
    <w:rsid w:val="006D3D6E"/>
    <w:rsid w:val="006D428D"/>
    <w:rsid w:val="006D449D"/>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06DA"/>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51B3"/>
    <w:rsid w:val="00777AD7"/>
    <w:rsid w:val="00784C44"/>
    <w:rsid w:val="007912CE"/>
    <w:rsid w:val="007934C4"/>
    <w:rsid w:val="0079451D"/>
    <w:rsid w:val="00795966"/>
    <w:rsid w:val="007970FE"/>
    <w:rsid w:val="007A04C8"/>
    <w:rsid w:val="007A3102"/>
    <w:rsid w:val="007A3B30"/>
    <w:rsid w:val="007A3FC0"/>
    <w:rsid w:val="007A49BA"/>
    <w:rsid w:val="007A609F"/>
    <w:rsid w:val="007A7176"/>
    <w:rsid w:val="007A7484"/>
    <w:rsid w:val="007B3EF9"/>
    <w:rsid w:val="007B57A1"/>
    <w:rsid w:val="007B69DD"/>
    <w:rsid w:val="007B7535"/>
    <w:rsid w:val="007C0D3D"/>
    <w:rsid w:val="007C2A08"/>
    <w:rsid w:val="007C60D8"/>
    <w:rsid w:val="007D0AC6"/>
    <w:rsid w:val="007D2077"/>
    <w:rsid w:val="007D4260"/>
    <w:rsid w:val="007D4DC3"/>
    <w:rsid w:val="007D4E68"/>
    <w:rsid w:val="007D57CD"/>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8CC"/>
    <w:rsid w:val="00802CDB"/>
    <w:rsid w:val="008042C8"/>
    <w:rsid w:val="00805CFD"/>
    <w:rsid w:val="0080702A"/>
    <w:rsid w:val="00807F15"/>
    <w:rsid w:val="00811BC5"/>
    <w:rsid w:val="00812E7F"/>
    <w:rsid w:val="0081359D"/>
    <w:rsid w:val="008136A0"/>
    <w:rsid w:val="00813CDD"/>
    <w:rsid w:val="00814164"/>
    <w:rsid w:val="00814AD7"/>
    <w:rsid w:val="00815A2E"/>
    <w:rsid w:val="008167BC"/>
    <w:rsid w:val="008168B9"/>
    <w:rsid w:val="00817787"/>
    <w:rsid w:val="00820B4E"/>
    <w:rsid w:val="00822488"/>
    <w:rsid w:val="00822945"/>
    <w:rsid w:val="0082383D"/>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2222"/>
    <w:rsid w:val="00843390"/>
    <w:rsid w:val="008439A0"/>
    <w:rsid w:val="00843BE9"/>
    <w:rsid w:val="008461DC"/>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39AC"/>
    <w:rsid w:val="0086508B"/>
    <w:rsid w:val="00866E4F"/>
    <w:rsid w:val="0087156B"/>
    <w:rsid w:val="00872D7E"/>
    <w:rsid w:val="008754E6"/>
    <w:rsid w:val="008755FE"/>
    <w:rsid w:val="00875A0C"/>
    <w:rsid w:val="0087776F"/>
    <w:rsid w:val="008778A0"/>
    <w:rsid w:val="0088233C"/>
    <w:rsid w:val="0088280A"/>
    <w:rsid w:val="00883EB7"/>
    <w:rsid w:val="00884999"/>
    <w:rsid w:val="00892807"/>
    <w:rsid w:val="0089284C"/>
    <w:rsid w:val="00892C9F"/>
    <w:rsid w:val="00892FBD"/>
    <w:rsid w:val="00893AD8"/>
    <w:rsid w:val="00893D2C"/>
    <w:rsid w:val="00894D11"/>
    <w:rsid w:val="0089523F"/>
    <w:rsid w:val="008967E5"/>
    <w:rsid w:val="00897BCF"/>
    <w:rsid w:val="008A07FE"/>
    <w:rsid w:val="008A12AD"/>
    <w:rsid w:val="008A1677"/>
    <w:rsid w:val="008A5452"/>
    <w:rsid w:val="008A5CDA"/>
    <w:rsid w:val="008A62DC"/>
    <w:rsid w:val="008A6436"/>
    <w:rsid w:val="008A6A82"/>
    <w:rsid w:val="008A6E5D"/>
    <w:rsid w:val="008B04B3"/>
    <w:rsid w:val="008B060F"/>
    <w:rsid w:val="008B144F"/>
    <w:rsid w:val="008B1A88"/>
    <w:rsid w:val="008B2607"/>
    <w:rsid w:val="008B279B"/>
    <w:rsid w:val="008B3B85"/>
    <w:rsid w:val="008B42E3"/>
    <w:rsid w:val="008B4E8C"/>
    <w:rsid w:val="008B60B8"/>
    <w:rsid w:val="008B7CA2"/>
    <w:rsid w:val="008C07FB"/>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6179"/>
    <w:rsid w:val="008F7C6C"/>
    <w:rsid w:val="008F7FD5"/>
    <w:rsid w:val="00900317"/>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4B91"/>
    <w:rsid w:val="009406FF"/>
    <w:rsid w:val="00941203"/>
    <w:rsid w:val="009416C1"/>
    <w:rsid w:val="0094264B"/>
    <w:rsid w:val="00942670"/>
    <w:rsid w:val="0094367D"/>
    <w:rsid w:val="00943FA1"/>
    <w:rsid w:val="00945A5C"/>
    <w:rsid w:val="00946389"/>
    <w:rsid w:val="0094738D"/>
    <w:rsid w:val="009475DB"/>
    <w:rsid w:val="00950EF7"/>
    <w:rsid w:val="00954DC1"/>
    <w:rsid w:val="00955462"/>
    <w:rsid w:val="00956EB6"/>
    <w:rsid w:val="00956F83"/>
    <w:rsid w:val="00957C11"/>
    <w:rsid w:val="009617A9"/>
    <w:rsid w:val="009636EE"/>
    <w:rsid w:val="009665BE"/>
    <w:rsid w:val="009673AB"/>
    <w:rsid w:val="00970E84"/>
    <w:rsid w:val="00971153"/>
    <w:rsid w:val="00981036"/>
    <w:rsid w:val="00981E5F"/>
    <w:rsid w:val="00981F5C"/>
    <w:rsid w:val="00983846"/>
    <w:rsid w:val="0098648B"/>
    <w:rsid w:val="00990CC8"/>
    <w:rsid w:val="0099227E"/>
    <w:rsid w:val="009949C5"/>
    <w:rsid w:val="00997C10"/>
    <w:rsid w:val="009A19B2"/>
    <w:rsid w:val="009A2748"/>
    <w:rsid w:val="009B3EC0"/>
    <w:rsid w:val="009B46BC"/>
    <w:rsid w:val="009B4878"/>
    <w:rsid w:val="009B5FE8"/>
    <w:rsid w:val="009B62B1"/>
    <w:rsid w:val="009B76C2"/>
    <w:rsid w:val="009C080D"/>
    <w:rsid w:val="009C142A"/>
    <w:rsid w:val="009C2521"/>
    <w:rsid w:val="009C5293"/>
    <w:rsid w:val="009D41DF"/>
    <w:rsid w:val="009D6B5B"/>
    <w:rsid w:val="009D709E"/>
    <w:rsid w:val="009E0249"/>
    <w:rsid w:val="009E055A"/>
    <w:rsid w:val="009E0F0F"/>
    <w:rsid w:val="009E2DB3"/>
    <w:rsid w:val="009E36AC"/>
    <w:rsid w:val="009E41D1"/>
    <w:rsid w:val="009E4FB4"/>
    <w:rsid w:val="009E5694"/>
    <w:rsid w:val="009E585B"/>
    <w:rsid w:val="009E64A0"/>
    <w:rsid w:val="009E7D5A"/>
    <w:rsid w:val="009F040E"/>
    <w:rsid w:val="009F1F65"/>
    <w:rsid w:val="009F3146"/>
    <w:rsid w:val="009F4E50"/>
    <w:rsid w:val="009F5100"/>
    <w:rsid w:val="009F578B"/>
    <w:rsid w:val="00A01765"/>
    <w:rsid w:val="00A02DD3"/>
    <w:rsid w:val="00A04D6C"/>
    <w:rsid w:val="00A05622"/>
    <w:rsid w:val="00A100B6"/>
    <w:rsid w:val="00A1136A"/>
    <w:rsid w:val="00A135A2"/>
    <w:rsid w:val="00A15523"/>
    <w:rsid w:val="00A16250"/>
    <w:rsid w:val="00A17296"/>
    <w:rsid w:val="00A17D28"/>
    <w:rsid w:val="00A21621"/>
    <w:rsid w:val="00A223D5"/>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A09"/>
    <w:rsid w:val="00A9117D"/>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0354"/>
    <w:rsid w:val="00AD2373"/>
    <w:rsid w:val="00AD4DF3"/>
    <w:rsid w:val="00AD564C"/>
    <w:rsid w:val="00AD5DF4"/>
    <w:rsid w:val="00AD7639"/>
    <w:rsid w:val="00AE3182"/>
    <w:rsid w:val="00AE43A3"/>
    <w:rsid w:val="00AF095A"/>
    <w:rsid w:val="00AF1119"/>
    <w:rsid w:val="00AF59C3"/>
    <w:rsid w:val="00B011BB"/>
    <w:rsid w:val="00B012F2"/>
    <w:rsid w:val="00B0163B"/>
    <w:rsid w:val="00B02A0C"/>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4EE8"/>
    <w:rsid w:val="00B252F9"/>
    <w:rsid w:val="00B25977"/>
    <w:rsid w:val="00B271D8"/>
    <w:rsid w:val="00B27C45"/>
    <w:rsid w:val="00B313EB"/>
    <w:rsid w:val="00B3198A"/>
    <w:rsid w:val="00B3451B"/>
    <w:rsid w:val="00B34812"/>
    <w:rsid w:val="00B357AE"/>
    <w:rsid w:val="00B37E57"/>
    <w:rsid w:val="00B40F5E"/>
    <w:rsid w:val="00B42FA5"/>
    <w:rsid w:val="00B43958"/>
    <w:rsid w:val="00B44E93"/>
    <w:rsid w:val="00B453AF"/>
    <w:rsid w:val="00B477CA"/>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1643"/>
    <w:rsid w:val="00B92474"/>
    <w:rsid w:val="00B977BE"/>
    <w:rsid w:val="00BA1783"/>
    <w:rsid w:val="00BA2419"/>
    <w:rsid w:val="00BA2A58"/>
    <w:rsid w:val="00BB0F2F"/>
    <w:rsid w:val="00BB14FA"/>
    <w:rsid w:val="00BB1C66"/>
    <w:rsid w:val="00BB3596"/>
    <w:rsid w:val="00BB48F9"/>
    <w:rsid w:val="00BB4B1A"/>
    <w:rsid w:val="00BB524D"/>
    <w:rsid w:val="00BB5385"/>
    <w:rsid w:val="00BB5543"/>
    <w:rsid w:val="00BB5653"/>
    <w:rsid w:val="00BB6E3C"/>
    <w:rsid w:val="00BC06CF"/>
    <w:rsid w:val="00BC133D"/>
    <w:rsid w:val="00BC37CF"/>
    <w:rsid w:val="00BC3E9C"/>
    <w:rsid w:val="00BC4AF5"/>
    <w:rsid w:val="00BC4B07"/>
    <w:rsid w:val="00BC4D40"/>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1BB2"/>
    <w:rsid w:val="00BF2C8B"/>
    <w:rsid w:val="00BF34A7"/>
    <w:rsid w:val="00BF3B14"/>
    <w:rsid w:val="00BF6218"/>
    <w:rsid w:val="00C00EA2"/>
    <w:rsid w:val="00C011EE"/>
    <w:rsid w:val="00C020C2"/>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4623"/>
    <w:rsid w:val="00C14E45"/>
    <w:rsid w:val="00C15102"/>
    <w:rsid w:val="00C15A56"/>
    <w:rsid w:val="00C20353"/>
    <w:rsid w:val="00C22F0A"/>
    <w:rsid w:val="00C2325B"/>
    <w:rsid w:val="00C24DA3"/>
    <w:rsid w:val="00C255F5"/>
    <w:rsid w:val="00C25B1C"/>
    <w:rsid w:val="00C26299"/>
    <w:rsid w:val="00C30ED2"/>
    <w:rsid w:val="00C311E4"/>
    <w:rsid w:val="00C322BB"/>
    <w:rsid w:val="00C33540"/>
    <w:rsid w:val="00C3404B"/>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059B"/>
    <w:rsid w:val="00C61929"/>
    <w:rsid w:val="00C619E7"/>
    <w:rsid w:val="00C62E71"/>
    <w:rsid w:val="00C63059"/>
    <w:rsid w:val="00C631FE"/>
    <w:rsid w:val="00C63C08"/>
    <w:rsid w:val="00C65E31"/>
    <w:rsid w:val="00C66CCC"/>
    <w:rsid w:val="00C676A4"/>
    <w:rsid w:val="00C67C1A"/>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47D5"/>
    <w:rsid w:val="00C9655A"/>
    <w:rsid w:val="00C96FCA"/>
    <w:rsid w:val="00C9754D"/>
    <w:rsid w:val="00C975DF"/>
    <w:rsid w:val="00CA5D84"/>
    <w:rsid w:val="00CC1960"/>
    <w:rsid w:val="00CC79F1"/>
    <w:rsid w:val="00CD4F70"/>
    <w:rsid w:val="00CD5ADF"/>
    <w:rsid w:val="00CE1CF3"/>
    <w:rsid w:val="00CE4BC0"/>
    <w:rsid w:val="00CE70F3"/>
    <w:rsid w:val="00CE7659"/>
    <w:rsid w:val="00CF0E18"/>
    <w:rsid w:val="00CF29A4"/>
    <w:rsid w:val="00CF2F2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392F"/>
    <w:rsid w:val="00D53A70"/>
    <w:rsid w:val="00D540A4"/>
    <w:rsid w:val="00D54DBC"/>
    <w:rsid w:val="00D55BC2"/>
    <w:rsid w:val="00D5659D"/>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879AF"/>
    <w:rsid w:val="00D87E67"/>
    <w:rsid w:val="00D9045B"/>
    <w:rsid w:val="00D90EA9"/>
    <w:rsid w:val="00D91E83"/>
    <w:rsid w:val="00D93083"/>
    <w:rsid w:val="00D941C3"/>
    <w:rsid w:val="00D94A99"/>
    <w:rsid w:val="00D95324"/>
    <w:rsid w:val="00D95482"/>
    <w:rsid w:val="00DA0390"/>
    <w:rsid w:val="00DA0B49"/>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55B"/>
    <w:rsid w:val="00DE0B7E"/>
    <w:rsid w:val="00DE1418"/>
    <w:rsid w:val="00DE2205"/>
    <w:rsid w:val="00DE4203"/>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3B7"/>
    <w:rsid w:val="00E2599A"/>
    <w:rsid w:val="00E26A0F"/>
    <w:rsid w:val="00E305A0"/>
    <w:rsid w:val="00E318D4"/>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6621"/>
    <w:rsid w:val="00E67187"/>
    <w:rsid w:val="00E67E51"/>
    <w:rsid w:val="00E76BE0"/>
    <w:rsid w:val="00E7790B"/>
    <w:rsid w:val="00E77E1F"/>
    <w:rsid w:val="00E80346"/>
    <w:rsid w:val="00E81714"/>
    <w:rsid w:val="00E91546"/>
    <w:rsid w:val="00E91678"/>
    <w:rsid w:val="00E9206E"/>
    <w:rsid w:val="00E9319D"/>
    <w:rsid w:val="00E93438"/>
    <w:rsid w:val="00E93F64"/>
    <w:rsid w:val="00E94443"/>
    <w:rsid w:val="00E96092"/>
    <w:rsid w:val="00E96737"/>
    <w:rsid w:val="00E96B5C"/>
    <w:rsid w:val="00EA0668"/>
    <w:rsid w:val="00EA127F"/>
    <w:rsid w:val="00EA1F53"/>
    <w:rsid w:val="00EA2C41"/>
    <w:rsid w:val="00EA4376"/>
    <w:rsid w:val="00EA70DC"/>
    <w:rsid w:val="00EA7A84"/>
    <w:rsid w:val="00EB01FF"/>
    <w:rsid w:val="00EB06C6"/>
    <w:rsid w:val="00EB1B47"/>
    <w:rsid w:val="00EB46E1"/>
    <w:rsid w:val="00EB4FED"/>
    <w:rsid w:val="00EB7BD6"/>
    <w:rsid w:val="00EC00B4"/>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472E"/>
    <w:rsid w:val="00EE589E"/>
    <w:rsid w:val="00EE76D0"/>
    <w:rsid w:val="00EE7C89"/>
    <w:rsid w:val="00EE7FB7"/>
    <w:rsid w:val="00EF1185"/>
    <w:rsid w:val="00EF1245"/>
    <w:rsid w:val="00EF754D"/>
    <w:rsid w:val="00F00AA7"/>
    <w:rsid w:val="00F027E9"/>
    <w:rsid w:val="00F0775E"/>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55EC"/>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35FB"/>
    <w:rsid w:val="00FA5742"/>
    <w:rsid w:val="00FA597D"/>
    <w:rsid w:val="00FA5B9A"/>
    <w:rsid w:val="00FB01B9"/>
    <w:rsid w:val="00FB763A"/>
    <w:rsid w:val="00FB79C0"/>
    <w:rsid w:val="00FC1023"/>
    <w:rsid w:val="00FC2EB8"/>
    <w:rsid w:val="00FC5C43"/>
    <w:rsid w:val="00FC783D"/>
    <w:rsid w:val="00FD1598"/>
    <w:rsid w:val="00FD576E"/>
    <w:rsid w:val="00FD596B"/>
    <w:rsid w:val="00FD6DB9"/>
    <w:rsid w:val="00FE58CC"/>
    <w:rsid w:val="00FE75A9"/>
    <w:rsid w:val="00FF0462"/>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sv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holar.google.co.id/citations?user=SyPKlXwAAAAJ&amp;hl=id&amp;oi=ao" TargetMode="External"/><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orcid.org/0000-0003-4296-98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copus.com/authid/detail.uri?authorId=57192986806" TargetMode="External"/><Relationship Id="rId32" Type="http://schemas.openxmlformats.org/officeDocument/2006/relationships/hyperlink" Target="https://www.webofscience.com/wos/author/record/AEM-7101-2022"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my-orcid?orcid=0009-0002-6274-4120" TargetMode="External"/><Relationship Id="rId23" Type="http://schemas.openxmlformats.org/officeDocument/2006/relationships/hyperlink" Target="https://scholar.google.com/citations?user=gg23-lQAAAAJ&amp;hl=en&amp;oi=ao" TargetMode="External"/><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webofscience.com/wos/author/record/PUH-8709-2026" TargetMode="External"/><Relationship Id="rId31" Type="http://schemas.openxmlformats.org/officeDocument/2006/relationships/hyperlink" Target="https://www.scopus.com/authid/detail.uri?authorId=5721096916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rcid.org/0000-0001-8102-0326" TargetMode="External"/><Relationship Id="rId27" Type="http://schemas.openxmlformats.org/officeDocument/2006/relationships/hyperlink" Target="https://www.webofscience.com/wos/author/record/1966994" TargetMode="External"/><Relationship Id="rId30" Type="http://schemas.openxmlformats.org/officeDocument/2006/relationships/hyperlink" Target="https://scholar.google.com/citations?user=bOwUlW8AAAAJ&amp;hl=id" TargetMode="External"/><Relationship Id="rId35" Type="http://schemas.openxmlformats.org/officeDocument/2006/relationships/footer" Target="footer1.xml"/><Relationship Id="rId8" Type="http://schemas.openxmlformats.org/officeDocument/2006/relationships/hyperlink" Target="https://creativecommons.org/licenses/by-sa/4.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4036</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26994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Alter Natef</cp:lastModifiedBy>
  <cp:revision>18</cp:revision>
  <cp:lastPrinted>2021-08-05T08:35:00Z</cp:lastPrinted>
  <dcterms:created xsi:type="dcterms:W3CDTF">2026-05-08T13:42:00Z</dcterms:created>
  <dcterms:modified xsi:type="dcterms:W3CDTF">2026-05-11T10:44:00Z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