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550A1" w14:textId="060526CE" w:rsidR="00904D6D" w:rsidRPr="00FC1023" w:rsidRDefault="00C24DA3" w:rsidP="00956EB6">
      <w:pPr>
        <w:pStyle w:val="Title"/>
        <w:rPr>
          <w:sz w:val="32"/>
          <w:szCs w:val="32"/>
          <w:lang w:val="en-US"/>
        </w:rPr>
      </w:pPr>
      <w:r>
        <w:rPr>
          <w:sz w:val="32"/>
        </w:rPr>
        <w:t>Deep Learning Framework for Cryptocurrency Price Prediction Using Business Intelligence</w:t>
      </w:r>
    </w:p>
    <w:p w14:paraId="2A832E5F" w14:textId="04FE9E51" w:rsidR="00904D6D" w:rsidRPr="00FC1023" w:rsidRDefault="00904D6D" w:rsidP="00904D6D">
      <w:pPr>
        <w:jc w:val="center"/>
        <w:rPr>
          <w:b/>
          <w:bCs/>
        </w:rPr>
      </w:pPr>
    </w:p>
    <w:p w14:paraId="370C47FE" w14:textId="77777777" w:rsidR="005E51F9" w:rsidRPr="00FC1023" w:rsidRDefault="005E51F9" w:rsidP="00904D6D">
      <w:pPr>
        <w:jc w:val="center"/>
        <w:rPr>
          <w:b/>
          <w:bCs/>
        </w:rPr>
      </w:pPr>
    </w:p>
    <w:p w14:paraId="5FC98602" w14:textId="5962E6A5" w:rsidR="00C65E31" w:rsidRPr="00FC1023" w:rsidRDefault="000D3410" w:rsidP="00C65E31">
      <w:pPr>
        <w:jc w:val="center"/>
        <w:rPr>
          <w:b/>
          <w:bCs/>
        </w:rPr>
      </w:pPr>
      <w:r>
        <w:rPr>
          <w:b/>
          <w:bCs/>
        </w:rPr>
        <w:t>Asep Surahman Sulaeman</w:t>
      </w:r>
      <w:r>
        <w:rPr>
          <w:b/>
          <w:bCs/>
          <w:vertAlign w:val="superscript"/>
        </w:rPr>
        <w:t>1</w:t>
      </w:r>
      <w:r>
        <w:rPr>
          <w:b/>
          <w:bCs/>
        </w:rPr>
        <w:t>, Deden Witarsyah</w:t>
      </w:r>
      <w:r>
        <w:rPr>
          <w:b/>
          <w:bCs/>
          <w:vertAlign w:val="superscript"/>
        </w:rPr>
        <w:t>2</w:t>
      </w:r>
      <w:r>
        <w:rPr>
          <w:b/>
          <w:bCs/>
        </w:rPr>
        <w:t>, Aswan Supriyadi Sunge</w:t>
      </w:r>
      <w:r>
        <w:rPr>
          <w:b/>
          <w:bCs/>
          <w:vertAlign w:val="superscript"/>
        </w:rPr>
        <w:t>3</w:t>
      </w:r>
    </w:p>
    <w:p w14:paraId="66010086" w14:textId="16167761" w:rsidR="00FD6DB9" w:rsidRPr="00FC1023" w:rsidRDefault="00C14623" w:rsidP="00FD6DB9">
      <w:pPr>
        <w:jc w:val="center"/>
        <w:rPr>
          <w:sz w:val="16"/>
          <w:szCs w:val="16"/>
        </w:rPr>
      </w:pPr>
      <w:r>
        <w:rPr>
          <w:sz w:val="16"/>
          <w:szCs w:val="16"/>
          <w:vertAlign w:val="superscript"/>
        </w:rPr>
        <w:t>1</w:t>
      </w:r>
      <w:r>
        <w:rPr>
          <w:sz w:val="16"/>
          <w:szCs w:val="16"/>
        </w:rPr>
        <w:t>Master of Informatics, Faculty of Engineering, Computer, and Design, Nusa Putra University, Sukabumi, Indonesia</w:t>
      </w:r>
    </w:p>
    <w:p w14:paraId="5561F730" w14:textId="11205558" w:rsidR="00FD6DB9" w:rsidRPr="00FC1023" w:rsidRDefault="00C14623" w:rsidP="00FD6DB9">
      <w:pPr>
        <w:jc w:val="center"/>
        <w:rPr>
          <w:sz w:val="16"/>
          <w:szCs w:val="16"/>
        </w:rPr>
      </w:pPr>
      <w:r>
        <w:rPr>
          <w:sz w:val="16"/>
          <w:szCs w:val="16"/>
          <w:vertAlign w:val="superscript"/>
        </w:rPr>
        <w:t>2</w:t>
      </w:r>
      <w:r>
        <w:rPr>
          <w:sz w:val="16"/>
          <w:szCs w:val="16"/>
        </w:rPr>
        <w:t>Master of Informatics, Faculty of Engineering, Computer, and Design, Nusa Putra University, Sukabumi, Indonesia</w:t>
      </w:r>
    </w:p>
    <w:p w14:paraId="03852EE3" w14:textId="1D3D4E9B" w:rsidR="00C14623" w:rsidRPr="00FC1023" w:rsidRDefault="00C14623" w:rsidP="00FD6DB9">
      <w:pPr>
        <w:jc w:val="center"/>
        <w:rPr>
          <w:sz w:val="16"/>
          <w:szCs w:val="16"/>
        </w:rPr>
      </w:pPr>
      <w:r>
        <w:rPr>
          <w:sz w:val="16"/>
          <w:szCs w:val="16"/>
          <w:vertAlign w:val="superscript"/>
        </w:rPr>
        <w:t>3</w:t>
      </w:r>
      <w:r>
        <w:rPr>
          <w:sz w:val="16"/>
          <w:szCs w:val="16"/>
        </w:rPr>
        <w:t>Informatics Engineering Department, Faculty of Engineering, Pelita Bangsa University, Bekasi, Indonesia</w:t>
      </w:r>
    </w:p>
    <w:p w14:paraId="557DF927" w14:textId="4D489A7A" w:rsidR="00904D6D" w:rsidRPr="00FC1023" w:rsidRDefault="00904D6D" w:rsidP="0088233C">
      <w:pPr>
        <w:jc w:val="center"/>
      </w:pPr>
    </w:p>
    <w:p w14:paraId="5CCC3BE9" w14:textId="440424D7" w:rsidR="00C07BEF" w:rsidRPr="00FC1023" w:rsidRDefault="00C07BEF" w:rsidP="0088233C">
      <w:pPr>
        <w:jc w:val="center"/>
      </w:pPr>
    </w:p>
    <w:tbl>
      <w:tblPr>
        <w:tblStyle w:val="TableGrid"/>
        <w:tblW w:w="8845" w:type="dxa"/>
        <w:jc w:val="center"/>
        <w:tblLook w:val="04A0" w:firstRow="1" w:lastRow="0" w:firstColumn="1" w:lastColumn="0" w:noHBand="0" w:noVBand="1"/>
      </w:tblPr>
      <w:tblGrid>
        <w:gridCol w:w="2788"/>
        <w:gridCol w:w="282"/>
        <w:gridCol w:w="5775"/>
      </w:tblGrid>
      <w:tr w:rsidR="006B027E" w:rsidRPr="00FC1023" w14:paraId="513CAD48" w14:textId="77777777" w:rsidTr="00E77E1F">
        <w:trPr>
          <w:jc w:val="center"/>
        </w:trPr>
        <w:tc>
          <w:tcPr>
            <w:tcW w:w="2802" w:type="dxa"/>
            <w:tcBorders>
              <w:top w:val="double" w:sz="4" w:space="0" w:color="auto"/>
              <w:left w:val="nil"/>
              <w:bottom w:val="single" w:sz="4" w:space="0" w:color="auto"/>
              <w:right w:val="nil"/>
            </w:tcBorders>
          </w:tcPr>
          <w:p w14:paraId="22234552" w14:textId="77777777" w:rsidR="00957C11" w:rsidRPr="00FC1023" w:rsidRDefault="00957C11" w:rsidP="00957C11">
            <w:pPr>
              <w:spacing w:before="120"/>
              <w:jc w:val="both"/>
              <w:rPr>
                <w:b/>
              </w:rPr>
            </w:pPr>
            <w:r>
              <w:rPr>
                <w:b/>
              </w:rPr>
              <w:t>Article Info</w:t>
            </w:r>
          </w:p>
        </w:tc>
        <w:tc>
          <w:tcPr>
            <w:tcW w:w="283" w:type="dxa"/>
            <w:tcBorders>
              <w:top w:val="double" w:sz="4" w:space="0" w:color="auto"/>
              <w:left w:val="nil"/>
              <w:bottom w:val="nil"/>
              <w:right w:val="nil"/>
            </w:tcBorders>
          </w:tcPr>
          <w:p w14:paraId="3E270EF1" w14:textId="77777777" w:rsidR="00957C11" w:rsidRPr="00FC1023" w:rsidRDefault="00957C11" w:rsidP="00957C11">
            <w:pPr>
              <w:spacing w:before="120"/>
              <w:jc w:val="center"/>
            </w:pPr>
          </w:p>
        </w:tc>
        <w:tc>
          <w:tcPr>
            <w:tcW w:w="5812" w:type="dxa"/>
            <w:tcBorders>
              <w:top w:val="double" w:sz="4" w:space="0" w:color="auto"/>
              <w:left w:val="nil"/>
              <w:bottom w:val="single" w:sz="4" w:space="0" w:color="auto"/>
              <w:right w:val="nil"/>
            </w:tcBorders>
          </w:tcPr>
          <w:p w14:paraId="7B74F735" w14:textId="0E911C6F" w:rsidR="00957C11" w:rsidRPr="00FC1023" w:rsidRDefault="00957C11" w:rsidP="00957C11">
            <w:pPr>
              <w:spacing w:before="120"/>
              <w:rPr>
                <w:color w:val="000000"/>
                <w:sz w:val="24"/>
                <w:szCs w:val="24"/>
              </w:rPr>
            </w:pPr>
            <w:r>
              <w:rPr>
                <w:b/>
                <w:bCs/>
                <w:iCs/>
                <w:color w:val="000000"/>
              </w:rPr>
              <w:t>ABSTRACT</w:t>
            </w:r>
          </w:p>
        </w:tc>
      </w:tr>
      <w:tr w:rsidR="00941203" w:rsidRPr="00FC1023" w14:paraId="66C69584" w14:textId="77777777" w:rsidTr="00E77E1F">
        <w:trPr>
          <w:trHeight w:val="1268"/>
          <w:jc w:val="center"/>
        </w:trPr>
        <w:tc>
          <w:tcPr>
            <w:tcW w:w="2802" w:type="dxa"/>
            <w:tcBorders>
              <w:top w:val="single" w:sz="4" w:space="0" w:color="auto"/>
              <w:left w:val="nil"/>
              <w:bottom w:val="single" w:sz="4" w:space="0" w:color="auto"/>
              <w:right w:val="nil"/>
            </w:tcBorders>
          </w:tcPr>
          <w:p w14:paraId="1FD074E8" w14:textId="77777777" w:rsidR="00941203" w:rsidRPr="00FC1023" w:rsidRDefault="00941203" w:rsidP="00941203">
            <w:pPr>
              <w:spacing w:before="120" w:after="120"/>
              <w:jc w:val="both"/>
              <w:rPr>
                <w:b/>
                <w:i/>
              </w:rPr>
            </w:pPr>
            <w:r>
              <w:rPr>
                <w:b/>
                <w:i/>
              </w:rPr>
              <w:t>Article history:</w:t>
            </w:r>
          </w:p>
          <w:p w14:paraId="1B21A247" w14:textId="34C15F98" w:rsidR="00941203" w:rsidRPr="00FC1023" w:rsidRDefault="00941203" w:rsidP="00957C11">
            <w:pPr>
              <w:jc w:val="both"/>
            </w:pPr>
            <w:r>
              <w:t>Received month dd, yyyy</w:t>
            </w:r>
          </w:p>
          <w:p w14:paraId="745B47E5" w14:textId="5923129C" w:rsidR="00941203" w:rsidRPr="00FC1023" w:rsidRDefault="00941203" w:rsidP="00957C11">
            <w:pPr>
              <w:jc w:val="both"/>
            </w:pPr>
            <w:r>
              <w:t>Revised month dd, yyyy</w:t>
            </w:r>
          </w:p>
          <w:p w14:paraId="6CE20EAE" w14:textId="2A701C75" w:rsidR="00941203" w:rsidRPr="00FC1023" w:rsidRDefault="00941203" w:rsidP="00957C11">
            <w:pPr>
              <w:jc w:val="both"/>
            </w:pPr>
            <w:r>
              <w:t>Accepted month dd, yyyy</w:t>
            </w:r>
          </w:p>
          <w:p w14:paraId="375A1808" w14:textId="77777777" w:rsidR="00941203" w:rsidRPr="00FC1023" w:rsidRDefault="00941203" w:rsidP="00941203">
            <w:pPr>
              <w:jc w:val="both"/>
            </w:pPr>
          </w:p>
        </w:tc>
        <w:tc>
          <w:tcPr>
            <w:tcW w:w="283" w:type="dxa"/>
            <w:vMerge w:val="restart"/>
            <w:tcBorders>
              <w:top w:val="nil"/>
              <w:left w:val="nil"/>
              <w:bottom w:val="nil"/>
              <w:right w:val="nil"/>
            </w:tcBorders>
          </w:tcPr>
          <w:p w14:paraId="1658B743" w14:textId="77777777" w:rsidR="00941203" w:rsidRPr="00FC1023" w:rsidRDefault="00941203" w:rsidP="00957C11">
            <w:pPr>
              <w:spacing w:before="120"/>
              <w:jc w:val="both"/>
            </w:pPr>
          </w:p>
        </w:tc>
        <w:tc>
          <w:tcPr>
            <w:tcW w:w="5812" w:type="dxa"/>
            <w:vMerge w:val="restart"/>
            <w:tcBorders>
              <w:top w:val="single" w:sz="4" w:space="0" w:color="auto"/>
              <w:left w:val="nil"/>
              <w:bottom w:val="nil"/>
              <w:right w:val="nil"/>
            </w:tcBorders>
          </w:tcPr>
          <w:p w14:paraId="647B3C56" w14:textId="26F58641" w:rsidR="00941203" w:rsidRPr="00FC1023" w:rsidRDefault="00C24DA3" w:rsidP="00957C11">
            <w:pPr>
              <w:spacing w:before="120"/>
              <w:jc w:val="both"/>
            </w:pPr>
            <w:r>
              <w:rPr/>
              <w:t xml:space="preserve">Cryptocurrency forecasting literature suffers from two persistent gaps: (1) evaluation protocols that permit temporal data leakage, inflating reported accuracy, and (2) the absence of a systematic translation layer between deep learning outputs and enterprise risk management platforms. This study addresses both gaps simultaneously through a four-layer Business Intelligence pipeline that embeds rigorous Walk-Forward Validation - a chronological, fold-by-fold protocol that strictly prevents future data leakage - as the evaluation backbone, and directly routes model residuals into a production-ready Microsoft Power BI Decision Support System computing Sharpe Ratio and Value-at-Risk in real time. Analyzing 43,786 hourly Bitcoin/USDT records spanning 2021-2026, we compare XGBoost, LSTM, GRU, and the Informer Transformer under identical, leakage-free conditions. Walk-Forward Validation established GRU as the most accurate model (RMSE = 0.1058, p &lt; 0.001). A critical trade-off emerged: despite higher error, LSTM achieved superior Directional Accuracy of 72.3% and Sharpe Ratio of 1.45, demonstrating that error minimization does not guarantee trading profitability - a distinction only visible through the BI-integrated evaluation framework proposed here. The prototype Power BI dashboard achieved an Excellent System Usability Scale score of 86.4, confirming operational feasibility for institutional deployment.</w:t>
            </w:r>
          </w:p>
        </w:tc>
      </w:tr>
      <w:tr w:rsidR="00941203" w:rsidRPr="00FC1023" w14:paraId="5AB61300" w14:textId="77777777" w:rsidTr="00E77E1F">
        <w:trPr>
          <w:trHeight w:val="1231"/>
          <w:jc w:val="center"/>
        </w:trPr>
        <w:tc>
          <w:tcPr>
            <w:tcW w:w="2802" w:type="dxa"/>
            <w:vMerge w:val="restart"/>
            <w:tcBorders>
              <w:top w:val="single" w:sz="4" w:space="0" w:color="auto"/>
              <w:left w:val="nil"/>
              <w:bottom w:val="single" w:sz="4" w:space="0" w:color="auto"/>
              <w:right w:val="nil"/>
            </w:tcBorders>
          </w:tcPr>
          <w:p w14:paraId="6B62E6D5" w14:textId="77777777" w:rsidR="00941203" w:rsidRPr="00FC1023" w:rsidRDefault="00941203" w:rsidP="00941203">
            <w:pPr>
              <w:spacing w:before="120" w:after="120"/>
              <w:jc w:val="both"/>
              <w:rPr>
                <w:b/>
                <w:i/>
              </w:rPr>
            </w:pPr>
            <w:r>
              <w:rPr>
                <w:b/>
                <w:i/>
              </w:rPr>
              <w:t>Keywords:</w:t>
            </w:r>
          </w:p>
          <w:p w14:paraId="4C3E5936" w14:textId="1EA8970B" w:rsidR="00941203" w:rsidRPr="00FC1023" w:rsidRDefault="009636EE" w:rsidP="00941203">
            <w:pPr>
              <w:jc w:val="both"/>
            </w:pPr>
            <w:r>
              <w:t>Business Intelligence</w:t>
            </w:r>
          </w:p>
          <w:p w14:paraId="0EF152BF" w14:textId="2B5D5F53" w:rsidR="00941203" w:rsidRPr="00FC1023" w:rsidRDefault="009636EE" w:rsidP="00941203">
            <w:pPr>
              <w:jc w:val="both"/>
            </w:pPr>
            <w:r>
              <w:t>Informer Transformer</w:t>
            </w:r>
          </w:p>
          <w:p w14:paraId="5B0032F7" w14:textId="757397BF" w:rsidR="00941203" w:rsidRPr="00FC1023" w:rsidRDefault="009636EE" w:rsidP="00941203">
            <w:pPr>
              <w:jc w:val="both"/>
            </w:pPr>
            <w:r>
              <w:t>XGBoost</w:t>
            </w:r>
          </w:p>
          <w:p w14:paraId="31B015CF" w14:textId="2E281B56" w:rsidR="00941203" w:rsidRDefault="009636EE" w:rsidP="00941203">
            <w:pPr>
              <w:jc w:val="both"/>
            </w:pPr>
            <w:r>
              <w:t>Long Short-Term Memory</w:t>
            </w:r>
          </w:p>
          <w:p w14:paraId="433D1ACD" w14:textId="490F5371" w:rsidR="009636EE" w:rsidRPr="00FC1023" w:rsidRDefault="009636EE" w:rsidP="00941203">
            <w:pPr>
              <w:jc w:val="both"/>
            </w:pPr>
            <w:r>
              <w:t>Gated Recurrent Unit</w:t>
            </w:r>
          </w:p>
          <w:p w14:paraId="4B416523" w14:textId="6FA41CD5" w:rsidR="00941203" w:rsidRPr="00FC1023" w:rsidRDefault="009636EE" w:rsidP="00941203">
            <w:pPr>
              <w:jc w:val="both"/>
              <w:rPr>
                <w:b/>
                <w:i/>
              </w:rPr>
            </w:pPr>
            <w:r>
              <w:t>Financial Informatics</w:t>
            </w:r>
          </w:p>
        </w:tc>
        <w:tc>
          <w:tcPr>
            <w:tcW w:w="283" w:type="dxa"/>
            <w:vMerge/>
            <w:tcBorders>
              <w:top w:val="nil"/>
              <w:left w:val="nil"/>
              <w:bottom w:val="nil"/>
              <w:right w:val="nil"/>
            </w:tcBorders>
          </w:tcPr>
          <w:p w14:paraId="26D1DFBC" w14:textId="77777777" w:rsidR="00941203" w:rsidRPr="00FC1023" w:rsidRDefault="00941203" w:rsidP="00957C11">
            <w:pPr>
              <w:spacing w:before="120"/>
              <w:jc w:val="both"/>
            </w:pPr>
          </w:p>
        </w:tc>
        <w:tc>
          <w:tcPr>
            <w:tcW w:w="5812" w:type="dxa"/>
            <w:vMerge/>
            <w:tcBorders>
              <w:top w:val="nil"/>
              <w:left w:val="nil"/>
              <w:bottom w:val="nil"/>
              <w:right w:val="nil"/>
            </w:tcBorders>
          </w:tcPr>
          <w:p w14:paraId="5C80F7FA" w14:textId="77777777" w:rsidR="00941203" w:rsidRPr="00FC1023" w:rsidRDefault="00941203" w:rsidP="00957C11">
            <w:pPr>
              <w:spacing w:before="120"/>
              <w:jc w:val="both"/>
              <w:rPr>
                <w:iCs/>
                <w:color w:val="000000"/>
                <w:sz w:val="18"/>
                <w:szCs w:val="18"/>
              </w:rPr>
            </w:pPr>
          </w:p>
        </w:tc>
      </w:tr>
      <w:tr w:rsidR="00941203" w:rsidRPr="00FC1023" w14:paraId="1578794C" w14:textId="77777777" w:rsidTr="00E77E1F">
        <w:trPr>
          <w:trHeight w:val="70"/>
          <w:jc w:val="center"/>
        </w:trPr>
        <w:tc>
          <w:tcPr>
            <w:tcW w:w="2802" w:type="dxa"/>
            <w:vMerge/>
            <w:tcBorders>
              <w:top w:val="single" w:sz="4" w:space="0" w:color="auto"/>
              <w:left w:val="nil"/>
              <w:bottom w:val="single" w:sz="4" w:space="0" w:color="auto"/>
              <w:right w:val="nil"/>
            </w:tcBorders>
          </w:tcPr>
          <w:p w14:paraId="1603D765" w14:textId="77777777" w:rsidR="00941203" w:rsidRPr="00FC1023" w:rsidRDefault="00941203" w:rsidP="00941203">
            <w:pPr>
              <w:spacing w:before="120" w:after="120"/>
              <w:jc w:val="both"/>
              <w:rPr>
                <w:b/>
                <w:i/>
              </w:rPr>
            </w:pPr>
          </w:p>
        </w:tc>
        <w:tc>
          <w:tcPr>
            <w:tcW w:w="283" w:type="dxa"/>
            <w:vMerge/>
            <w:tcBorders>
              <w:top w:val="nil"/>
              <w:left w:val="nil"/>
              <w:bottom w:val="nil"/>
              <w:right w:val="nil"/>
            </w:tcBorders>
          </w:tcPr>
          <w:p w14:paraId="2C6B02DA" w14:textId="77777777" w:rsidR="00941203" w:rsidRPr="00FC1023" w:rsidRDefault="00941203" w:rsidP="00957C11">
            <w:pPr>
              <w:spacing w:before="120"/>
              <w:jc w:val="both"/>
            </w:pPr>
          </w:p>
        </w:tc>
        <w:tc>
          <w:tcPr>
            <w:tcW w:w="5812" w:type="dxa"/>
            <w:tcBorders>
              <w:top w:val="nil"/>
              <w:left w:val="nil"/>
              <w:bottom w:val="single" w:sz="4" w:space="0" w:color="auto"/>
              <w:right w:val="nil"/>
            </w:tcBorders>
          </w:tcPr>
          <w:p w14:paraId="205931C6" w14:textId="77777777" w:rsidR="001414E2" w:rsidRPr="00FC1023" w:rsidRDefault="001414E2" w:rsidP="001414E2">
            <w:pPr>
              <w:spacing w:before="120" w:after="120"/>
              <w:jc w:val="right"/>
              <w:rPr>
                <w:i/>
                <w:iCs/>
                <w:color w:val="000000"/>
                <w:sz w:val="18"/>
                <w:szCs w:val="18"/>
              </w:rPr>
            </w:pPr>
            <w:r>
              <w:rPr>
                <w:i/>
                <w:iCs/>
                <w:color w:val="000000"/>
                <w:sz w:val="18"/>
                <w:szCs w:val="18"/>
              </w:rPr>
              <w:t xml:space="preserve">This is an open access article under the </w:t>
            </w:r>
            <w:hyperlink r:id="rId8" w:history="1">
              <w:r>
                <w:rPr>
                  <w:rStyle w:val="Hyperlink"/>
                  <w:i/>
                  <w:iCs/>
                  <w:sz w:val="18"/>
                  <w:szCs w:val="18"/>
                </w:rPr>
                <w:t>CC BY-SA</w:t>
              </w:r>
            </w:hyperlink>
            <w:r>
              <w:rPr>
                <w:i/>
                <w:iCs/>
                <w:color w:val="000000"/>
                <w:sz w:val="18"/>
                <w:szCs w:val="18"/>
              </w:rPr>
              <w:t xml:space="preserve"> license.</w:t>
            </w:r>
          </w:p>
          <w:p w14:paraId="18D744D6" w14:textId="77777777" w:rsidR="00941203" w:rsidRPr="00FC1023" w:rsidRDefault="001414E2" w:rsidP="001414E2">
            <w:pPr>
              <w:spacing w:before="120" w:after="120"/>
              <w:jc w:val="right"/>
              <w:rPr>
                <w:i/>
                <w:iCs/>
                <w:color w:val="000000"/>
                <w:sz w:val="18"/>
                <w:szCs w:val="18"/>
              </w:rPr>
            </w:pPr>
            <w:r>
              <w:rPr>
                <w:noProof/>
              </w:rPr>
              <w:drawing>
                <wp:inline distT="0" distB="0" distL="0" distR="0" wp14:anchorId="6791ACE3" wp14:editId="5AA265B1">
                  <wp:extent cx="1057275" cy="3714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57275" cy="371475"/>
                          </a:xfrm>
                          <a:prstGeom prst="rect">
                            <a:avLst/>
                          </a:prstGeom>
                          <a:noFill/>
                          <a:ln>
                            <a:noFill/>
                          </a:ln>
                        </pic:spPr>
                      </pic:pic>
                    </a:graphicData>
                  </a:graphic>
                </wp:inline>
              </w:drawing>
            </w:r>
          </w:p>
        </w:tc>
      </w:tr>
      <w:tr w:rsidR="007F286F" w:rsidRPr="00FC1023" w14:paraId="294A13ED" w14:textId="77777777" w:rsidTr="00E77E1F">
        <w:trPr>
          <w:jc w:val="center"/>
        </w:trPr>
        <w:tc>
          <w:tcPr>
            <w:tcW w:w="8897" w:type="dxa"/>
            <w:gridSpan w:val="3"/>
            <w:tcBorders>
              <w:top w:val="nil"/>
              <w:left w:val="nil"/>
              <w:bottom w:val="double" w:sz="4" w:space="0" w:color="auto"/>
              <w:right w:val="nil"/>
            </w:tcBorders>
          </w:tcPr>
          <w:p w14:paraId="49D20AE3" w14:textId="77777777" w:rsidR="007F286F" w:rsidRPr="00FC1023" w:rsidRDefault="007F286F" w:rsidP="00941203">
            <w:pPr>
              <w:spacing w:before="120" w:after="120"/>
              <w:rPr>
                <w:b/>
                <w:i/>
              </w:rPr>
            </w:pPr>
            <w:r>
              <w:rPr>
                <w:b/>
                <w:i/>
              </w:rPr>
              <w:t>Corresponding Author:</w:t>
            </w:r>
          </w:p>
          <w:p w14:paraId="48E9BD5D" w14:textId="1E64B076" w:rsidR="00C65E31" w:rsidRPr="00FC1023" w:rsidRDefault="00EC00B4" w:rsidP="00C65E31">
            <w:pPr>
              <w:shd w:val="clear" w:color="auto" w:fill="FFFFFF" w:themeFill="background1"/>
              <w:jc w:val="both"/>
              <w:rPr>
                <w:color w:val="000000" w:themeColor="text1"/>
              </w:rPr>
            </w:pPr>
            <w:r>
              <w:rPr>
                <w:color w:val="000000" w:themeColor="text1"/>
              </w:rPr>
              <w:t>Asep Surahman Sulaeman</w:t>
            </w:r>
          </w:p>
          <w:p w14:paraId="44A83AE9" w14:textId="77777777" w:rsidR="00EC00B4" w:rsidRDefault="00EC00B4" w:rsidP="00EC00B4">
            <w:pPr>
              <w:shd w:val="clear" w:color="auto" w:fill="FFFFFF" w:themeFill="background1"/>
              <w:jc w:val="both"/>
              <w:rPr>
                <w:color w:val="000000" w:themeColor="text1"/>
              </w:rPr>
            </w:pPr>
            <w:r>
              <w:rPr>
                <w:color w:val="000000" w:themeColor="text1"/>
              </w:rPr>
              <w:t>Master of Informatics, Faculty of Engineering, Computer, and Design, Nusa Putra University, Sukabumi, Indonesia</w:t>
            </w:r>
          </w:p>
          <w:p w14:paraId="3C411EDF" w14:textId="77D2BBC5" w:rsidR="00941203" w:rsidRPr="00FC1023" w:rsidRDefault="00C65E31" w:rsidP="00EC00B4">
            <w:pPr>
              <w:shd w:val="clear" w:color="auto" w:fill="FFFFFF" w:themeFill="background1"/>
              <w:jc w:val="both"/>
              <w:rPr>
                <w:color w:val="000000"/>
                <w:sz w:val="18"/>
                <w:szCs w:val="18"/>
              </w:rPr>
            </w:pPr>
            <w:r>
              <w:t>Email: asep.surahman@nusaputra.ac.id</w:t>
            </w:r>
          </w:p>
        </w:tc>
      </w:tr>
    </w:tbl>
    <w:p w14:paraId="19EB2672" w14:textId="6182C3C4" w:rsidR="00957C11" w:rsidRPr="00FC1023" w:rsidRDefault="00957C11" w:rsidP="00957C11">
      <w:pPr>
        <w:jc w:val="both"/>
      </w:pPr>
    </w:p>
    <w:p w14:paraId="6D2E917E" w14:textId="77777777" w:rsidR="00C07BEF" w:rsidRPr="00FC1023" w:rsidRDefault="00C07BEF" w:rsidP="00957C11">
      <w:pPr>
        <w:jc w:val="both"/>
      </w:pPr>
    </w:p>
    <w:p w14:paraId="2E9083D0" w14:textId="6DF1CE32" w:rsidR="00904D6D" w:rsidRPr="00FC1023" w:rsidRDefault="00F33C08" w:rsidP="00956EB6">
      <w:pPr>
        <w:numPr>
          <w:ilvl w:val="0"/>
          <w:numId w:val="15"/>
        </w:numPr>
        <w:tabs>
          <w:tab w:val="left" w:pos="426"/>
        </w:tabs>
        <w:ind w:left="426" w:hanging="426"/>
        <w:rPr>
          <w:b/>
          <w:bCs/>
        </w:rPr>
      </w:pPr>
      <w:r>
        <w:rPr>
          <w:b/>
          <w:bCs/>
        </w:rPr>
        <w:t>INTRODUCTION</w:t>
      </w:r>
    </w:p>
    <w:p w14:paraId="15610BA4" w14:textId="77777777" w:rsidR="00811BC5" w:rsidRDefault="00811BC5" w:rsidP="00811BC5">
      <w:pPr>
        <w:ind w:firstLine="720"/>
        <w:jc w:val="both"/>
      </w:pPr>
      <w:bookmarkStart w:id="0" w:name="_Hlk80000636"/>
      <w:r>
        <w:t>Bitcoin (BTC) exhibits non-stationary behavior and sensitivity to macroeconomic shocks, complicating traditional forecasting [1], [2]. Conventional models such as ARIMA show limitations on volatile high-frequency data due to stationarity assumptions [3], [4].</w:t>
      </w:r>
      <w:r>
        <w:rPr>
          <w:b w:val="0"/>
        </w:rPr>
        <w:t xml:space="preserve"> The inherent complexity of cryptocurrency markets, driven by 24/7 trading cycles and speculative sentiment, further amplifies these forecasting challenges.</w:t>
      </w:r>
    </w:p>
    <w:p w14:paraId="47085544" w14:textId="77777777" w:rsidR="00811BC5" w:rsidRDefault="00811BC5" w:rsidP="00811BC5">
      <w:pPr>
        <w:ind w:firstLine="720"/>
        <w:jc w:val="both"/>
      </w:pPr>
      <w:r>
        <w:t>Data-driven neural networks have become preferred for modeling complex non-linear cryptocurrency sequences [5], [6], yet evaluating architectures purely on error metrics is insufficient for portfolio management [7], [8].</w:t>
      </w:r>
      <w:r>
        <w:rPr>
          <w:b w:val="0"/>
        </w:rPr>
        <w:t xml:space="preserve"> Recurrent architectures such as LSTM and GRU have demonstrated strong capacity for capturing temporal dependencies in price sequences [5], [6]. Nevertheless, purely error-centric evaluation frameworks often fail to account for the risk-adjusted profitability dimensions essential to institutional portfolio management [7], [8].</w:t>
      </w:r>
    </w:p>
    <w:p w14:paraId="25BBDE82" w14:textId="77777777" w:rsidR="00811BC5" w:rsidRDefault="00811BC5" w:rsidP="00811BC5">
      <w:pPr>
        <w:ind w:firstLine="720"/>
        <w:jc w:val="both"/>
      </w:pPr>
      <w:r>
        <w:t>A critical gap exists between algorithmic accuracy and operational deployment within enterprise Business Intelligence (BI) platforms [9], requiring architectures that translate model outputs into actionable risk metrics [10].</w:t>
      </w:r>
      <w:r>
        <w:rPr>
          <w:b w:val="0"/>
        </w:rPr>
        <w:t xml:space="preserve"> Most existing studies benchmark models on RMSE or MAE without integrating outputs into live Business Intelligence dashboards [9]. Bridging this gap requires a unified pipeline that translates raw prediction tensors into actionable enterprise risk metrics [10].</w:t>
      </w:r>
    </w:p>
    <w:p w14:paraId="1C941B67" w14:textId="4DBCF074" w:rsidR="007970FE" w:rsidRDefault="00811BC5" w:rsidP="00811BC5">
      <w:pPr>
        <w:ind w:firstLine="720"/>
        <w:jc w:val="both"/>
      </w:pPr>
      <w:r>
        <w:rPr>
          <w:b w:val="0"/>
          <w:i w:val="0"/>
        </w:rPr>
        <w:t>To address these gaps, this study makes two primary contributions. First, it introduces Walk-Forward Validation as a principled anti-leakage evaluation protocol for cryptocurrency deep learning — replacing the static train/test splits that dominate prior work and are known to overestimate out-of-sample performance [32]. Second, it constructs the first documented four-layer BI pipeline that automatically translates Walk-Forward fold outputs into live Sharpe Ratio and VaR tiles in Microsoft Power BI via a PostgreSQL Data Mart, bridging the gap between ML inference and enterprise Decision Support Systems. The combination of these two contributions — rigorous evaluation methodology and production-grade BI integration — constitutes the primary novelty of this work, comparing XGBoost, LSTM, GRU, and the Informer Transformer on high-frequency hourly cryptocurrency data.</w:t>
      </w:r>
    </w:p>
    <w:bookmarkEnd w:id="0"/>
    <w:p w14:paraId="26C9FF6B" w14:textId="77777777" w:rsidR="007970FE" w:rsidRDefault="007970FE" w:rsidP="007970FE">
      <w:pPr>
        <w:ind w:firstLine="709"/>
        <w:jc w:val="both"/>
      </w:pPr>
      <w:r>
        <w:t>Tree-based models such as Extreme Gradient Boosting (XGBoost) model tabular financial data effectively [11], [12] but lack temporal sequence memory [13]. The Long Short-Term Memory (LSTM) [14] addresses vanishing gradients via forget gates [15], while the Gated Recurrent Unit (GRU) [16] offers a simplified gating mechanism. Both are widely applied to crypto-asset tracking [17], [18].</w:t>
      </w:r>
    </w:p>
    <w:p w14:paraId="239BEAF3" w14:textId="77777777" w:rsidR="007970FE" w:rsidRDefault="007970FE" w:rsidP="007970FE">
      <w:pPr>
        <w:ind w:firstLine="709"/>
        <w:jc w:val="both"/>
      </w:pPr>
      <m:oMath>
        <m:r>
          <w:rPr>
            <w:rFonts w:ascii="Cambria Math" w:hAnsi="Cambria Math"/>
          </w:rPr>
          <m:t>O(L</m:t>
        </m:r>
        <m:r>
          <m:rPr>
            <m:sty m:val="p"/>
          </m:rPr>
          <w:rPr>
            <w:rFonts w:ascii="Cambria Math" w:hAnsi="Cambria Math"/>
          </w:rPr>
          <m:t>log</m:t>
        </m:r>
        <m:r>
          <w:rPr>
            <w:rFonts w:ascii="Cambria Math" w:hAnsi="Cambria Math"/>
          </w:rPr>
          <m:t>L)</m:t>
        </m:r>
      </m:oMath>
      <w:r>
        <w:t>Transformer architectures relying on self-attention mechanisms [19] have increasingly been adapted for time-series forecasting [20]. The Informer Transformer [21], utilizing sparse probabilistic self-attention (O(L log L)), serves as the primary Transformer baseline in this study. While newer architectures such as PatchTST [22] and TimesNet [23] represent the current vanguard in multivariate modeling, the Informer provides a well-established, computationally stable benchmark. Transformers may nonetheless suffer from overfitting during chaotic short-horizon intervals such as 1-hour crypto data [24], [25], [26].</w:t>
      </w:r>
    </w:p>
    <w:p w14:paraId="572F82FE" w14:textId="7688DBC0" w:rsidR="007970FE" w:rsidRDefault="007970FE" w:rsidP="00121FA6">
      <w:pPr>
        <w:spacing w:after="60"/>
        <w:ind w:firstLine="709"/>
        <w:jc w:val="both"/>
      </w:pPr>
      <w:r>
        <w:t>While forecasting studies are abundant, implementations that translate model outputs into enterprise Decision Support Systems (DSS) remain rare [27], [28]. The prevailing paradigm evaluates RMSE alone without assessing trading profitability. Translating forecasts into BI dashboards computing Sharpe Ratio and Value-at-Risk represents the key novelty of this study [29].</w:t>
      </w:r>
    </w:p>
    <w:p>
      <w:r>
        <w:rPr>
          <w:b w:val="0"/>
          <w:i w:val="0"/>
        </w:rPr>
        <w:t>Crucially, prior works that do report BI integration [8], [10] treat dashboards as post-hoc visualization tools, not as live risk-computation engines fed by validated model outputs. This study is, to the best of the authors' knowledge, the first to close this loop: Walk-Forward validated residuals are automatically piped into a PostgreSQL Data Mart, with Power BI DirectQuery computing Sharpe Ratio and VaR on demand, achieving sub-2-second tile refresh latency without manual data export. This end-to-end automation represents a structurally novel contribution distinct from prior studies that evaluate models in isolation.</w:t>
      </w:r>
    </w:p>
    <w:p w14:paraId="3CD79EB9" w14:textId="6721A8DA" w:rsidR="007970FE" w:rsidRDefault="007970FE" w:rsidP="007970FE">
      <w:pPr>
        <w:ind w:firstLine="709"/>
        <w:jc w:val="both"/>
      </w:pPr>
      <w:r>
        <w:t>BTC/USDT was selected as the sole asset because Bitcoin maintains the highest market capitalization and trading volume among cryptocurrencies, and exclusive reliance on a single asset acts as a rigorous experimental control to isolate BI pipeline performance from cross-asset microstructural friction [1], [30].</w:t>
      </w:r>
      <w:r>
        <w:rPr>
          <w:b w:val="0"/>
        </w:rPr>
        <w:t xml:space="preserve"> Bitcoin's price series also offers the longest and most liquid high-frequency data history among all cryptocurrencies, minimizing data sparsity concerns over the five-year study window. Limiting the study to a single asset further allows the BI pipeline design to remain the primary experimental variable, rather than cross-asset portfolio dynamics.</w:t>
      </w:r>
    </w:p>
    <w:p w14:paraId="5344AD6A" w14:textId="77777777" w:rsidR="007970FE" w:rsidRDefault="007970FE" w:rsidP="007970FE">
      <w:pPr>
        <w:ind w:firstLine="709"/>
        <w:jc w:val="both"/>
      </w:pPr>
    </w:p>
    <w:p w14:paraId="5F878F78" w14:textId="77777777" w:rsidR="007970FE" w:rsidRDefault="007970FE" w:rsidP="007970FE">
      <w:pPr>
        <w:ind w:firstLine="709"/>
        <w:jc w:val="both"/>
      </w:pPr>
    </w:p>
    <w:p w14:paraId="7F5871EF" w14:textId="4C634CBC" w:rsidR="00E619D6" w:rsidRPr="00FC1023" w:rsidRDefault="008C07FB" w:rsidP="00E619D6">
      <w:pPr>
        <w:numPr>
          <w:ilvl w:val="0"/>
          <w:numId w:val="15"/>
        </w:numPr>
        <w:tabs>
          <w:tab w:val="left" w:pos="426"/>
        </w:tabs>
        <w:ind w:left="426" w:hanging="426"/>
        <w:rPr>
          <w:b/>
          <w:bCs/>
        </w:rPr>
      </w:pPr>
      <w:r>
        <w:rPr>
          <w:b/>
        </w:rPr>
        <w:t>METHOD</w:t>
      </w:r>
    </w:p>
    <w:p w14:paraId="5F482C38" w14:textId="77777777" w:rsidR="008C07FB" w:rsidRDefault="008C07FB" w:rsidP="00DD2BCF">
      <w:pPr>
        <w:ind w:firstLine="720"/>
        <w:jc w:val="both"/>
      </w:pPr>
      <w:bookmarkStart w:id="1" w:name="_Hlk78354375"/>
      <w:bookmarkStart w:id="2" w:name="_Hlk78354310"/>
      <w:r>
        <w:t>The proposed framework adopts a four-layer architecture mapping data ingestions directly into a BI interface. Each layer is functionally distinct: Layer 1 handles raw API ingestion, Layer 2 performs ETL transformation and feature engineering, Layer 3 executes multi-model ML inference under Walk-Forward Validation, and Layer 4 renders risk-adjusted outputs to a live Power BI dashboard. This modular design ensures reproducibility and facilitates extension to alternative data sources or forecasting models in future implementations.</w:t>
      </w:r>
    </w:p>
    <w:p w14:paraId="05FD850D" w14:textId="77777777" w:rsidR="008C07FB" w:rsidRDefault="008C07FB" w:rsidP="00DD2BCF">
      <w:pPr>
        <w:ind w:firstLine="720"/>
        <w:jc w:val="both"/>
      </w:pPr>
    </w:p>
    <w:p w14:paraId="4D815135" w14:textId="1E73A326" w:rsidR="008C07FB" w:rsidRPr="00FC1023" w:rsidRDefault="008C07FB" w:rsidP="008C07FB">
      <w:pPr>
        <w:rPr>
          <w:b/>
          <w:bCs/>
        </w:rPr>
      </w:pPr>
      <w:r>
        <w:rPr>
          <w:b/>
        </w:rPr>
        <w:t>2.1.  High-Frequency Data Extraction</w:t>
      </w:r>
    </w:p>
    <w:p w14:paraId="751536AB" w14:textId="7A4B62C1" w:rsidR="008C07FB" w:rsidRDefault="007D4E68" w:rsidP="008C07FB">
      <w:pPr>
        <w:spacing w:after="60"/>
        <w:ind w:firstLine="216"/>
        <w:jc w:val="both"/>
      </w:pPr>
      <w:r>
        <w:t>Data was collected via the Binance Spot API [30], covering BTC/USDT at 1-hour granularity from March 23, 2021 to March 23, 2026, yielding 43,786 OHLCV records. Augmented Dickey-Fuller (ADF) stationarity tests confirmed the absence of unit roots (p &lt; 0.05) across all 15 technical indicator sequences.</w:t>
      </w:r>
      <w:r>
        <w:rPr>
          <w:b w:val="0"/>
        </w:rPr>
        <w:t xml:space="preserve"> The five-year temporal span ensures comprehensive coverage of multiple distinct market regimes — including bull runs, prolonged bear markets, and recovery cycles — which is necessary for robust model generalization across varying volatility conditions. Prior to model training, all OHLCV records were validated for chronological continuity and timestamp consistency to eliminate any data quality artifacts.</w:t>
      </w:r>
    </w:p>
    <w:p w14:paraId="109573E0" w14:textId="77777777" w:rsidR="008C07FB" w:rsidRDefault="008C07FB" w:rsidP="00DD2BCF">
      <w:pPr>
        <w:ind w:firstLine="720"/>
        <w:jc w:val="both"/>
      </w:pPr>
    </w:p>
    <w:p w14:paraId="69A78752" w14:textId="5730F354" w:rsidR="008C07FB" w:rsidRPr="00FC1023" w:rsidRDefault="008C07FB" w:rsidP="008C07FB">
      <w:pPr>
        <w:rPr>
          <w:b/>
          <w:bCs/>
        </w:rPr>
      </w:pPr>
      <w:r>
        <w:rPr>
          <w:b/>
        </w:rPr>
        <w:t>2.2.  Walk-Forward Validation Protocol</w:t>
      </w:r>
    </w:p>
    <w:p w14:paraId="79D18E96" w14:textId="77777777" w:rsidR="008C07FB" w:rsidRDefault="008C07FB" w:rsidP="008C07FB">
      <w:pPr>
        <w:spacing w:after="60"/>
        <w:ind w:firstLine="216"/>
        <w:jc w:val="both"/>
      </w:pPr>
      <w:r>
        <w:t>Missing API timestamps (~0.4% dropout rate) were handled using polynomial linear interpolation [31]. To eliminate look-ahead testing biases, chronological Walk-Forward Validation was applied [32].</w:t>
      </w:r>
      <w:r>
        <w:rPr>
          <w:b w:val="0"/>
        </w:rPr>
        <w:t xml:space="preserve"> The validation protocol employed 30-day (720-hour) training windows paired with 7-day (168-hour) evaluation periods, repeated sequentially across all available folds to produce statistically reliable and unbiased performance estimates. This chronological design prevents any form of future data leakage into the training window, ensuring that all reported metrics reflect genuine out-of-sample generalization.</w:t>
      </w:r>
    </w:p>
    <w:p w14:paraId="1B3EB2D3" w14:textId="77777777" w:rsidR="008C07FB" w:rsidRDefault="008C07FB" w:rsidP="008C07FB">
      <w:pPr>
        <w:spacing w:after="60"/>
        <w:ind w:firstLine="216"/>
        <w:jc w:val="both"/>
      </w:pPr>
    </w:p>
    <w:p w14:paraId="0E43C99A" w14:textId="77777777" w:rsidR="008C07FB" w:rsidRDefault="008C07FB" w:rsidP="008C07FB">
      <w:pPr>
        <w:pBdr>
          <w:top w:val="double" w:sz="6" w:space="0" w:color="000000"/>
          <w:bottom w:val="single" w:sz="4" w:space="0" w:color="000000"/>
        </w:pBdr>
        <w:spacing w:before="60" w:after="30"/>
        <w:jc w:val="both"/>
      </w:pPr>
      <w:r>
        <w:rPr>
          <w:b/>
        </w:rPr>
        <w:t>Algorithm 14-Layer BI-ML Implementation Pipeline</w:t>
      </w:r>
    </w:p>
    <w:p w14:paraId="5999DAA8" w14:textId="77777777" w:rsidR="008C07FB" w:rsidRDefault="008C07FB" w:rsidP="008C07FB">
      <w:pPr>
        <w:jc w:val="both"/>
      </w:pPr>
      <w:r>
        <w:t>Input:</w:t>
      </w:r>
    </w:p>
    <w:p w14:paraId="7E664455" w14:textId="77777777" w:rsidR="008C07FB" w:rsidRDefault="008C07FB" w:rsidP="008C07FB">
      <w:pPr>
        <w:jc w:val="both"/>
      </w:pPr>
      <w:r>
        <w:t>High-frequency Cryptocurrency OHLCV Spot Data</w:t>
      </w:r>
    </w:p>
    <w:p w14:paraId="345860E6" w14:textId="77777777" w:rsidR="008C07FB" w:rsidRDefault="008C07FB" w:rsidP="008C07FB">
      <w:pPr>
        <w:jc w:val="both"/>
      </w:pPr>
      <w:r>
        <w:t>Output:</w:t>
      </w:r>
    </w:p>
    <w:p w14:paraId="3D8A204F" w14:textId="77777777" w:rsidR="008C07FB" w:rsidRDefault="008C07FB" w:rsidP="008C07FB">
      <w:pPr>
        <w:jc w:val="both"/>
      </w:pPr>
      <w:r>
        <w:t>Risk-adjusted Dashboard Matrix (</w:t>
      </w:r>
    </w:p>
    <w:p w14:paraId="77065ED9" w14:textId="77777777" w:rsidR="008C07FB" w:rsidRDefault="008C07FB" w:rsidP="008C07FB">
      <w:pPr>
        <w:jc w:val="both"/>
      </w:pPr>
      <w:r>
        <w:t>Sharpe Ratio, VaR</w:t>
      </w:r>
    </w:p>
    <w:p w14:paraId="4A71971A" w14:textId="77777777" w:rsidR="008C07FB" w:rsidRDefault="008C07FB" w:rsidP="008C07FB">
      <w:pPr>
        <w:jc w:val="both"/>
      </w:pPr>
      <w:r>
        <w:t>)</w:t>
      </w:r>
    </w:p>
    <w:p w14:paraId="02BEAC6C" w14:textId="77777777" w:rsidR="008C07FB" w:rsidRDefault="008C07FB" w:rsidP="008C07FB">
      <w:pPr>
        <w:jc w:val="both"/>
      </w:pPr>
      <w:r>
        <w:t>1:</w:t>
      </w:r>
    </w:p>
    <w:p w14:paraId="67E954E4" w14:textId="77777777" w:rsidR="008C07FB" w:rsidRDefault="008C07FB" w:rsidP="008C07FB">
      <w:pPr>
        <w:jc w:val="both"/>
      </w:pPr>
      <w:r>
        <w:t>// Layer 1: Data Ingestion</w:t>
      </w:r>
    </w:p>
    <w:p w14:paraId="7D6AAEBB" w14:textId="77777777" w:rsidR="008C07FB" w:rsidRDefault="008C07FB" w:rsidP="008C07FB">
      <w:pPr>
        <w:jc w:val="both"/>
      </w:pPr>
      <w:r>
        <w:t>2: raw\_data ← BinanceAPI(symbol="BTCUSDT", interval="1h")</w:t>
      </w:r>
    </w:p>
    <w:p w14:paraId="00BE2F1A" w14:textId="77777777" w:rsidR="008C07FB" w:rsidRDefault="008C07FB" w:rsidP="008C07FB">
      <w:pPr>
        <w:jc w:val="both"/>
      </w:pPr>
      <w:r>
        <w:t>3:</w:t>
      </w:r>
    </w:p>
    <w:p w14:paraId="1B21B2F8" w14:textId="77777777" w:rsidR="008C07FB" w:rsidRDefault="008C07FB" w:rsidP="008C07FB">
      <w:pPr>
        <w:jc w:val="both"/>
      </w:pPr>
      <w:r>
        <w:t>4:</w:t>
      </w:r>
    </w:p>
    <w:p w14:paraId="76DB823F" w14:textId="77777777" w:rsidR="008C07FB" w:rsidRDefault="008C07FB" w:rsidP="008C07FB">
      <w:pPr>
        <w:jc w:val="both"/>
      </w:pPr>
      <w:r>
        <w:t>// Layer 2: ETL Transformation &amp; Feature Engineering</w:t>
      </w:r>
    </w:p>
    <w:p w14:paraId="5E20B265" w14:textId="77777777" w:rsidR="008C07FB" w:rsidRDefault="008C07FB" w:rsidP="008C07FB">
      <w:pPr>
        <w:jc w:val="both"/>
      </w:pPr>
      <w:r>
        <w:t>5: clean\_data ← PolynomialInterpolate(raw\_data)</w:t>
      </w:r>
    </w:p>
    <w:p w14:paraId="2768A688" w14:textId="77777777" w:rsidR="008C07FB" w:rsidRDefault="008C07FB" w:rsidP="008C07FB">
      <w:pPr>
        <w:jc w:val="both"/>
      </w:pPr>
      <w:r>
        <w:t>6: Extracted\_Features ← GenerateIndicators(clean\_data)</w:t>
      </w:r>
    </w:p>
    <w:p w14:paraId="74C98113" w14:textId="77777777" w:rsidR="008C07FB" w:rsidRDefault="008C07FB" w:rsidP="008C07FB">
      <w:pPr>
        <w:jc w:val="both"/>
      </w:pPr>
      <w:r>
        <w:t>// MACD, \sigma_t</w:t>
      </w:r>
    </w:p>
    <w:p w14:paraId="7169B5A7" w14:textId="77777777" w:rsidR="008C07FB" w:rsidRDefault="008C07FB" w:rsidP="008C07FB">
      <w:pPr>
        <w:jc w:val="both"/>
      </w:pPr>
      <w:r>
        <w:lastRenderedPageBreak/>
        <w:t>7: Folds ← WalkForwardSplit(Extracted\_Features, train=720, test=168)</w:t>
      </w:r>
    </w:p>
    <w:p w14:paraId="7F6ABC54" w14:textId="77777777" w:rsidR="008C07FB" w:rsidRDefault="008C07FB" w:rsidP="008C07FB">
      <w:pPr>
        <w:jc w:val="both"/>
      </w:pPr>
      <w:r>
        <w:t>8:</w:t>
      </w:r>
    </w:p>
    <w:p w14:paraId="3CC7DBAD" w14:textId="77777777" w:rsidR="008C07FB" w:rsidRDefault="008C07FB" w:rsidP="008C07FB">
      <w:pPr>
        <w:jc w:val="both"/>
      </w:pPr>
      <w:r>
        <w:t>9:</w:t>
      </w:r>
    </w:p>
    <w:p w14:paraId="5A434ABF" w14:textId="77777777" w:rsidR="008C07FB" w:rsidRDefault="008C07FB" w:rsidP="008C07FB">
      <w:pPr>
        <w:jc w:val="both"/>
      </w:pPr>
      <w:r>
        <w:t>// Layer 3: ML Inference Regimes</w:t>
      </w:r>
    </w:p>
    <w:p w14:paraId="6297657D" w14:textId="77777777" w:rsidR="008C07FB" w:rsidRDefault="008C07FB" w:rsidP="008C07FB">
      <w:pPr>
        <w:jc w:val="both"/>
      </w:pPr>
      <w:r>
        <w:t>10:</w:t>
      </w:r>
    </w:p>
    <w:p w14:paraId="651D6006" w14:textId="77777777" w:rsidR="008C07FB" w:rsidRDefault="008C07FB" w:rsidP="008C07FB">
      <w:pPr>
        <w:jc w:val="both"/>
      </w:pPr>
      <w:r>
        <w:t>for</w:t>
      </w:r>
    </w:p>
    <w:p w14:paraId="32F9AA6F" w14:textId="77777777" w:rsidR="008C07FB" w:rsidRDefault="008C07FB" w:rsidP="008C07FB">
      <w:pPr>
        <w:jc w:val="both"/>
      </w:pPr>
      <w:r>
        <w:t>each validation\_fold ∈ Folds</w:t>
      </w:r>
    </w:p>
    <w:p w14:paraId="2F0C3F83" w14:textId="77777777" w:rsidR="008C07FB" w:rsidRDefault="008C07FB" w:rsidP="008C07FB">
      <w:pPr>
        <w:jc w:val="both"/>
      </w:pPr>
      <w:r>
        <w:t>do</w:t>
      </w:r>
    </w:p>
    <w:p w14:paraId="03ED609B" w14:textId="77777777" w:rsidR="008C07FB" w:rsidRDefault="008C07FB" w:rsidP="008C07FB">
      <w:pPr>
        <w:jc w:val="both"/>
      </w:pPr>
      <w:r>
        <w:t>11:     scale\_params ← MinMaxFit(validation\_fold.train)</w:t>
      </w:r>
    </w:p>
    <w:p w14:paraId="449FCFE2" w14:textId="77777777" w:rsidR="008C07FB" w:rsidRDefault="008C07FB" w:rsidP="008C07FB">
      <w:pPr>
        <w:jc w:val="both"/>
      </w:pPr>
      <w:r>
        <w:t>12:     weights ← TrainNetwork(validation\_fold.train, scale\_params)</w:t>
      </w:r>
    </w:p>
    <w:p w14:paraId="41F6E612" w14:textId="77777777" w:rsidR="008C07FB" w:rsidRDefault="008C07FB" w:rsidP="008C07FB">
      <w:pPr>
        <w:jc w:val="both"/>
      </w:pPr>
      <w:r>
        <w:t>13:     predict\_tensor ← weights.predict(validation\_fold.test)</w:t>
      </w:r>
    </w:p>
    <w:p w14:paraId="37E519A1" w14:textId="77777777" w:rsidR="008C07FB" w:rsidRDefault="008C07FB" w:rsidP="008C07FB">
      <w:pPr>
        <w:jc w:val="both"/>
      </w:pPr>
      <w:r>
        <w:t>14:</w:t>
      </w:r>
    </w:p>
    <w:p w14:paraId="6B150E33" w14:textId="77777777" w:rsidR="008C07FB" w:rsidRDefault="008C07FB" w:rsidP="008C07FB">
      <w:pPr>
        <w:jc w:val="both"/>
      </w:pPr>
      <w:r>
        <w:t>end for</w:t>
      </w:r>
    </w:p>
    <w:p w14:paraId="21CEBD21" w14:textId="77777777" w:rsidR="008C07FB" w:rsidRDefault="008C07FB" w:rsidP="008C07FB">
      <w:pPr>
        <w:jc w:val="both"/>
      </w:pPr>
      <w:r>
        <w:t>15:</w:t>
      </w:r>
    </w:p>
    <w:p w14:paraId="133A658C" w14:textId="77777777" w:rsidR="008C07FB" w:rsidRDefault="008C07FB" w:rsidP="008C07FB">
      <w:pPr>
        <w:jc w:val="both"/>
      </w:pPr>
      <w:r>
        <w:t>16:</w:t>
      </w:r>
    </w:p>
    <w:p w14:paraId="42565512" w14:textId="77777777" w:rsidR="008C07FB" w:rsidRDefault="008C07FB" w:rsidP="008C07FB">
      <w:pPr>
        <w:jc w:val="both"/>
      </w:pPr>
      <w:r>
        <w:t>// Layer 4: BI Dashboard Integration &amp; Extraction</w:t>
      </w:r>
    </w:p>
    <w:p w14:paraId="050A69A3" w14:textId="77777777" w:rsidR="008C07FB" w:rsidRDefault="008C07FB" w:rsidP="008C07FB">
      <w:pPr>
        <w:jc w:val="both"/>
      </w:pPr>
      <w:r>
        <w:t>17: residual\_vectors ← CalculateResiduals(actual, predict\_tensor)</w:t>
      </w:r>
    </w:p>
    <w:p w14:paraId="7B833A60" w14:textId="77777777" w:rsidR="008C07FB" w:rsidRDefault="008C07FB" w:rsidP="008C07FB">
      <w:pPr>
        <w:jc w:val="both"/>
      </w:pPr>
      <w:r>
        <w:t>18: PostgreSQL\_DataMart.INSERT(residual\_vectors)</w:t>
      </w:r>
    </w:p>
    <w:p w14:paraId="74635C7F" w14:textId="77777777" w:rsidR="008C07FB" w:rsidRDefault="008C07FB" w:rsidP="008C07FB">
      <w:pPr>
        <w:jc w:val="both"/>
      </w:pPr>
      <w:r>
        <w:t>19: PowerBI\_Dashboard.Render(Sharpe(residual\_vectors), VaR(residual\_vectors))</w:t>
      </w:r>
    </w:p>
    <w:p w14:paraId="22E07C6F" w14:textId="77777777" w:rsidR="008C07FB" w:rsidRDefault="008C07FB" w:rsidP="008C07FB">
      <w:pPr>
        <w:pBdr>
          <w:bottom w:val="double" w:sz="6" w:space="0" w:color="000000"/>
        </w:pBdr>
        <w:spacing w:after="60"/>
      </w:pPr>
    </w:p>
    <w:p w14:paraId="074BFC96" w14:textId="77777777" w:rsidR="008C07FB" w:rsidRDefault="008C07FB" w:rsidP="008C07FB">
      <w:pPr>
        <w:spacing w:after="60"/>
        <w:ind w:firstLine="216"/>
        <w:jc w:val="both"/>
      </w:pPr>
    </w:p>
    <w:p w14:paraId="0578B432" w14:textId="77777777" w:rsidR="008C07FB" w:rsidRDefault="008C07FB" w:rsidP="008C07FB">
      <w:pPr>
        <w:spacing w:after="60"/>
        <w:ind w:firstLine="216"/>
        <w:jc w:val="both"/>
      </w:pPr>
      <w:r>
        <w:t>Min-Max Scaling (Equation 1) anchored variables exclusively to localized training folds. Figure 1 illustrates the full BTC/USDT hourly closing price series spanning March 2021 to March 2026, capturing five distinct market regimes including the 2021 bull run, the 2022 bear market, and the 2024–2026 recovery cycle. The dataset encompasses 43,786 records processed through the ingestion pipeline described in Section 2.1.</w:t>
      </w:r>
    </w:p>
    <w:p w14:paraId="02A58B74" w14:textId="77777777" w:rsidR="008C07FB" w:rsidRDefault="00000000" w:rsidP="008C07FB">
      <w:pPr>
        <w:spacing w:before="60" w:after="60"/>
        <w:jc w:val="center"/>
      </w:pPr>
      <m:oMathPara>
        <m:oMath>
          <m:sSub>
            <m:sSubPr>
              <m:ctrlPr>
                <w:rPr>
                  <w:rFonts w:ascii="Cambria Math" w:hAnsi="Cambria Math"/>
                </w:rPr>
              </m:ctrlPr>
            </m:sSubPr>
            <m:e>
              <m:r>
                <w:rPr>
                  <w:rFonts w:ascii="Cambria Math" w:hAnsi="Cambria Math"/>
                </w:rPr>
                <m:t>X</m:t>
              </m:r>
            </m:e>
            <m:sub>
              <m: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min</m:t>
                  </m:r>
                </m:sub>
              </m:sSub>
            </m:num>
            <m:den>
              <m:sSub>
                <m:sSubPr>
                  <m:ctrlPr>
                    <w:rPr>
                      <w:rFonts w:ascii="Cambria Math" w:hAnsi="Cambria Math"/>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den>
          </m:f>
        </m:oMath>
      </m:oMathPara>
    </w:p>
    <w:p w14:paraId="07B82CA2" w14:textId="77777777" w:rsidR="008C07FB" w:rsidRDefault="008C07FB" w:rsidP="008C07FB">
      <w:pPr>
        <w:spacing w:after="60"/>
        <w:ind w:firstLine="216"/>
        <w:jc w:val="both"/>
      </w:pPr>
    </w:p>
    <w:p w14:paraId="4C015262" w14:textId="77777777" w:rsidR="008C07FB" w:rsidRDefault="008C07FB" w:rsidP="008C07FB">
      <w:pPr>
        <w:spacing w:before="60" w:after="30"/>
        <w:jc w:val="center"/>
      </w:pPr>
      <w:r>
        <w:rPr>
          <w:noProof/>
        </w:rPr>
        <w:drawing>
          <wp:inline distT="0" distB="0" distL="0" distR="0" wp14:anchorId="5DBD5698" wp14:editId="7C743042">
            <wp:extent cx="4728464" cy="1608757"/>
            <wp:effectExtent l="0" t="0" r="0" b="0"/>
            <wp:docPr id="1159681953" name="Picture 1159681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0"/>
                    <a:srcRect t="6713"/>
                    <a:stretch>
                      <a:fillRect/>
                    </a:stretch>
                  </pic:blipFill>
                  <pic:spPr bwMode="auto">
                    <a:xfrm>
                      <a:off x="0" y="0"/>
                      <a:ext cx="4766929" cy="1621844"/>
                    </a:xfrm>
                    <a:prstGeom prst="rect">
                      <a:avLst/>
                    </a:prstGeom>
                    <a:ln>
                      <a:noFill/>
                    </a:ln>
                    <a:extLst>
                      <a:ext uri="{53640926-AAD7-44D8-BBD7-CCE9431645EC}">
                        <a14:shadowObscured xmlns:a14="http://schemas.microsoft.com/office/drawing/2010/main"/>
                      </a:ext>
                    </a:extLst>
                  </pic:spPr>
                </pic:pic>
              </a:graphicData>
            </a:graphic>
          </wp:inline>
        </w:drawing>
      </w:r>
    </w:p>
    <w:p w14:paraId="69C24AD2" w14:textId="50F4E0C1" w:rsidR="008C07FB" w:rsidRDefault="008C07FB" w:rsidP="008C07FB">
      <w:pPr>
        <w:spacing w:after="60"/>
        <w:jc w:val="center"/>
      </w:pPr>
      <w:r>
        <w:t>Figure 1. Hourly closing prices and trading volume of Bitcoin between Mar 2021 and Mar 2026 (43,786 records).</w:t>
      </w:r>
    </w:p>
    <w:p w14:paraId="393E5FA9" w14:textId="77777777" w:rsidR="008C07FB" w:rsidRDefault="008C07FB" w:rsidP="008C07FB">
      <w:pPr>
        <w:spacing w:after="60"/>
        <w:ind w:firstLine="216"/>
        <w:jc w:val="both"/>
      </w:pPr>
    </w:p>
    <w:p w14:paraId="1EBD05BA" w14:textId="420600A5" w:rsidR="004C1EBB" w:rsidRPr="00FC1023" w:rsidRDefault="004C1EBB" w:rsidP="004C1EBB">
      <w:pPr>
        <w:rPr>
          <w:b/>
          <w:bCs/>
        </w:rPr>
      </w:pPr>
      <w:r>
        <w:rPr>
          <w:b/>
        </w:rPr>
        <w:t>2.3.  Real-Time BI Implementation Specifications</w:t>
      </w:r>
    </w:p>
    <w:p w14:paraId="0D10411E" w14:textId="77777777" w:rsidR="004C1EBB" w:rsidRDefault="004C1EBB" w:rsidP="004C1EBB">
      <w:pPr>
        <w:spacing w:after="60"/>
        <w:ind w:firstLine="216"/>
        <w:jc w:val="both"/>
      </w:pPr>
      <w:r>
        <w:t>Algorithm 1 outlines the 4-layer BI-ML pipeline, transitioning Walk-Forward fold outputs into a PostgreSQL Data Mart, with Power BI DirectQuery computing live Sharpe Ratios and Value-at-Risk from neural network residuals.</w:t>
      </w:r>
      <w:r>
        <w:rPr>
          <w:b w:val="0"/>
        </w:rPr>
        <w:t xml:space="preserve"> This real-time integration architecture eliminates manual data transfer bottlenecks, enabling sub-2-second latency from model inference to dashboard tile refresh. The PostgreSQL Data Mart serves as a persistent, queryable store of all Walk-Forward fold outputs, enabling historical performance attribution and compliance audit trails.</w:t>
      </w:r>
    </w:p>
    <w:p w14:paraId="52565D36" w14:textId="77777777" w:rsidR="004C1EBB" w:rsidRDefault="004C1EBB" w:rsidP="004C1EBB">
      <w:pPr>
        <w:spacing w:after="60"/>
        <w:ind w:firstLine="216"/>
        <w:jc w:val="both"/>
      </w:pPr>
    </w:p>
    <w:p w14:paraId="24943713" w14:textId="0FF8D7FA" w:rsidR="004C1EBB" w:rsidRPr="00FC1023" w:rsidRDefault="004C1EBB" w:rsidP="004C1EBB">
      <w:pPr>
        <w:rPr>
          <w:b/>
          <w:bCs/>
        </w:rPr>
      </w:pPr>
      <w:r>
        <w:rPr>
          <w:b/>
        </w:rPr>
        <w:t>2.4.  Feature Engineering and SHAP Analysis</w:t>
      </w:r>
    </w:p>
    <w:p w14:paraId="5DF36B91" w14:textId="77777777" w:rsidR="004C1EBB" w:rsidRDefault="004C1EBB" w:rsidP="004C1EBB">
      <w:pPr>
        <w:spacing w:after="60"/>
        <w:ind w:firstLine="216"/>
        <w:jc w:val="both"/>
      </w:pPr>
      <w:r>
        <w:t>Depending categorically on univariate sequences ignores market momentum velocity [33]. Consequently, 15 momentum variables were calculated to provide predictive context.</w:t>
      </w:r>
      <w:r>
        <w:rPr>
          <w:b w:val="0"/>
        </w:rPr>
        <w:t xml:space="preserve"> These variables capture multiple temporal scales of market dynamics — from short-term oscillators such as RSI to long-horizon trend indicators such as 200-period EMA — enriching the input feature space well beyond raw closing prices. The combination of momentum, volatility, and trend features enables the recurrent architectures to distinguish between trending and mean-reverting price regimes with greater precision.</w:t>
      </w:r>
    </w:p>
    <w:p w14:paraId="68C6351D" w14:textId="77777777" w:rsidR="004C1EBB" w:rsidRDefault="004C1EBB" w:rsidP="004C1EBB">
      <w:pPr>
        <w:spacing w:after="60"/>
        <w:ind w:firstLine="216"/>
        <w:jc w:val="both"/>
      </w:pPr>
    </w:p>
    <w:p w14:paraId="4A51ED24" w14:textId="47CF0EA4" w:rsidR="004C1EBB" w:rsidRPr="00FC1023" w:rsidRDefault="004C1EBB" w:rsidP="004C1EBB">
      <w:pPr>
        <w:rPr>
          <w:b/>
          <w:bCs/>
        </w:rPr>
      </w:pPr>
      <w:r>
        <w:rPr>
          <w:b/>
        </w:rPr>
        <w:t>2.4.1  Technical Indicators Computation</w:t>
      </w:r>
    </w:p>
    <w:p w14:paraId="0AA9BE4C" w14:textId="77777777" w:rsidR="005B02EF" w:rsidRDefault="005B02EF" w:rsidP="005B02EF">
      <w:pPr>
        <w:spacing w:after="60"/>
        <w:ind w:firstLine="216"/>
        <w:jc w:val="both"/>
      </w:pPr>
      <w:r>
        <w:t>Moving Average Convergence Divergence (MACD) limits were applied [34]:</w:t>
      </w:r>
      <w:r>
        <w:rPr>
          <w:b w:val="0"/>
        </w:rPr>
        <w:t xml:space="preserve"> The MACD signal captures momentum shifts across 12- and 26-period exponential moving averages, with the divergence line smoothed over 9 periods to reduce high-frequency noise. These momentum indicators serve as critical contextual signals that enable recurrent architectures to identify directional reversals before they manifest in raw price data.</w:t>
      </w:r>
      <w:r>
        <w:rPr>
          <w:b w:val="0"/>
        </w:rPr>
        <w:t xml:space="preserve"> Taken together, these MACD-derived and volatility features constitute the primary momentum representation layer that feeds into all four forecasting architectures evaluated in this study.</w:t>
      </w:r>
    </w:p>
    <w:p w14:paraId="2CF612AC" w14:textId="77777777" w:rsidR="005B02EF" w:rsidRDefault="005B02EF" w:rsidP="005B02EF">
      <w:pPr>
        <w:spacing w:before="60" w:after="60"/>
        <w:jc w:val="center"/>
      </w:pPr>
      <m:oMathPara>
        <m:oMath>
          <m:r>
            <w:rPr>
              <w:rFonts w:ascii="Cambria Math" w:hAnsi="Cambria Math"/>
            </w:rPr>
            <m:t>MACD=EM</m:t>
          </m:r>
          <m:sSub>
            <m:sSubPr>
              <m:ctrlPr>
                <w:rPr>
                  <w:rFonts w:ascii="Cambria Math" w:hAnsi="Cambria Math"/>
                </w:rPr>
              </m:ctrlPr>
            </m:sSubPr>
            <m:e>
              <m:r>
                <w:rPr>
                  <w:rFonts w:ascii="Cambria Math" w:hAnsi="Cambria Math"/>
                </w:rPr>
                <m:t>A</m:t>
              </m:r>
            </m:e>
            <m:sub>
              <m:r>
                <w:rPr>
                  <w:rFonts w:ascii="Cambria Math" w:hAnsi="Cambria Math"/>
                </w:rPr>
                <m:t>12</m:t>
              </m:r>
            </m:sub>
          </m:sSub>
          <m:r>
            <w:rPr>
              <w:rFonts w:ascii="Cambria Math" w:hAnsi="Cambria Math"/>
            </w:rPr>
            <m:t>-EM</m:t>
          </m:r>
          <m:sSub>
            <m:sSubPr>
              <m:ctrlPr>
                <w:rPr>
                  <w:rFonts w:ascii="Cambria Math" w:hAnsi="Cambria Math"/>
                </w:rPr>
              </m:ctrlPr>
            </m:sSubPr>
            <m:e>
              <m:r>
                <w:rPr>
                  <w:rFonts w:ascii="Cambria Math" w:hAnsi="Cambria Math"/>
                </w:rPr>
                <m:t>A</m:t>
              </m:r>
            </m:e>
            <m:sub>
              <m:r>
                <w:rPr>
                  <w:rFonts w:ascii="Cambria Math" w:hAnsi="Cambria Math"/>
                </w:rPr>
                <m:t>26</m:t>
              </m:r>
            </m:sub>
          </m:sSub>
        </m:oMath>
      </m:oMathPara>
    </w:p>
    <w:p w14:paraId="65CC227C" w14:textId="77777777" w:rsidR="005B02EF" w:rsidRDefault="005B02EF" w:rsidP="005B02EF">
      <w:pPr>
        <w:spacing w:after="60"/>
        <w:ind w:firstLine="216"/>
        <w:jc w:val="both"/>
      </w:pPr>
    </w:p>
    <w:p w14:paraId="773718A3" w14:textId="58202F87" w:rsidR="005B02EF" w:rsidRDefault="005B02EF" w:rsidP="005B02EF">
      <w:pPr>
        <w:spacing w:after="60"/>
        <w:ind w:firstLine="216"/>
        <w:jc w:val="both"/>
      </w:pPr>
      <w:r>
        <w:t>Logarithmic normalization arrays defined rolling standard deviation (</w:t>
      </w:r>
      <m:oMath>
        <m:sSub>
          <m:sSubPr>
            <m:ctrlPr>
              <w:rPr>
                <w:rFonts w:ascii="Cambria Math" w:hAnsi="Cambria Math"/>
              </w:rPr>
            </m:ctrlPr>
          </m:sSubPr>
          <m:e>
            <m:r>
              <w:rPr>
                <w:rFonts w:ascii="Cambria Math" w:hAnsi="Cambria Math"/>
              </w:rPr>
              <m:t>σ</m:t>
            </m:r>
          </m:e>
          <m:sub>
            <m:r>
              <w:rPr>
                <w:rFonts w:ascii="Cambria Math" w:hAnsi="Cambria Math"/>
              </w:rPr>
              <m:t>t</m:t>
            </m:r>
          </m:sub>
        </m:sSub>
      </m:oMath>
      <w:r>
        <w:t>):</w:t>
      </w:r>
      <w:r>
        <w:rPr>
          <w:b w:val="0"/>
        </w:rPr>
        <w:t xml:space="preserve"> This rolling volatility measure captures the localized variance of the Bitcoin price series within each 24-hour window, providing a dynamic risk signal that responds to sudden market shifts. By incorporating σt as an input feature alongside raw price data, the recurrent models are equipped to modulate their hidden state updates in response to changing market volatility regimes.</w:t>
      </w:r>
      <w:r>
        <w:rPr>
          <w:b w:val="0"/>
        </w:rPr>
        <w:t xml:space="preserve"> The use of logarithmic returns rather than raw price differences ensures stationarity across training folds, conforming to the statistical assumptions validated by the Augmented Dickey-Fuller tests conducted during data preprocessing.</w:t>
      </w:r>
    </w:p>
    <w:p w14:paraId="35E4A013" w14:textId="77777777" w:rsidR="005B02EF" w:rsidRPr="005B02EF" w:rsidRDefault="00000000" w:rsidP="005B02EF">
      <w:pPr>
        <w:spacing w:after="60"/>
        <w:ind w:firstLine="216"/>
        <w:jc w:val="both"/>
      </w:pPr>
      <m:oMathPara>
        <m:oMath>
          <m:sSub>
            <m:sSubPr>
              <m:ctrlPr>
                <w:rPr>
                  <w:rFonts w:ascii="Cambria Math" w:hAnsi="Cambria Math"/>
                </w:rPr>
              </m:ctrlPr>
            </m:sSubPr>
            <m:e>
              <m:r>
                <w:rPr>
                  <w:rFonts w:ascii="Cambria Math" w:hAnsi="Cambria Math"/>
                </w:rPr>
                <m:t>σ</m:t>
              </m:r>
            </m:e>
            <m:sub>
              <m:r>
                <w:rPr>
                  <w:rFonts w:ascii="Cambria Math" w:hAnsi="Cambria Math"/>
                </w:rPr>
                <m:t>t</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i=0</m:t>
                  </m:r>
                </m:sub>
                <m:sup>
                  <m:r>
                    <w:rPr>
                      <w:rFonts w:ascii="Cambria Math" w:hAnsi="Cambria Math"/>
                    </w:rPr>
                    <m:t>n-1</m:t>
                  </m:r>
                </m:sup>
                <m:e/>
              </m:nary>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t-i</m:t>
                  </m:r>
                </m:sub>
              </m:sSub>
              <m:r>
                <w:rPr>
                  <w:rFonts w:ascii="Cambria Math" w:hAnsi="Cambria Math"/>
                </w:rPr>
                <m:t>-</m:t>
              </m:r>
              <m:bar>
                <m:barPr>
                  <m:pos m:val="top"/>
                  <m:ctrlPr>
                    <w:rPr>
                      <w:rFonts w:ascii="Cambria Math" w:hAnsi="Cambria Math"/>
                    </w:rPr>
                  </m:ctrlPr>
                </m:barPr>
                <m:e>
                  <m:r>
                    <w:rPr>
                      <w:rFonts w:ascii="Cambria Math" w:hAnsi="Cambria Math"/>
                    </w:rPr>
                    <m:t>P</m:t>
                  </m:r>
                </m:e>
              </m:bar>
              <m:sSup>
                <m:sSupPr>
                  <m:ctrlPr>
                    <w:rPr>
                      <w:rFonts w:ascii="Cambria Math" w:hAnsi="Cambria Math"/>
                    </w:rPr>
                  </m:ctrlPr>
                </m:sSupPr>
                <m:e>
                  <m:r>
                    <w:rPr>
                      <w:rFonts w:ascii="Cambria Math" w:hAnsi="Cambria Math"/>
                    </w:rPr>
                    <m:t>)</m:t>
                  </m:r>
                </m:e>
                <m:sup>
                  <m:r>
                    <w:rPr>
                      <w:rFonts w:ascii="Cambria Math" w:hAnsi="Cambria Math"/>
                    </w:rPr>
                    <m:t>2</m:t>
                  </m:r>
                </m:sup>
              </m:sSup>
            </m:e>
          </m:rad>
        </m:oMath>
      </m:oMathPara>
    </w:p>
    <w:p w14:paraId="3F748E7D" w14:textId="77777777" w:rsidR="005B02EF" w:rsidRDefault="005B02EF" w:rsidP="005B02EF">
      <w:pPr>
        <w:spacing w:after="60"/>
        <w:ind w:firstLine="216"/>
        <w:jc w:val="both"/>
      </w:pPr>
    </w:p>
    <w:p w14:paraId="27CC4C2A" w14:textId="650C7F05" w:rsidR="00EB4FED" w:rsidRPr="00FC1023" w:rsidRDefault="00EB4FED" w:rsidP="00EB4FED">
      <w:pPr>
        <w:rPr>
          <w:b/>
          <w:bCs/>
        </w:rPr>
      </w:pPr>
      <w:r>
        <w:rPr>
          <w:b/>
        </w:rPr>
        <w:t>2.4.2  Assessing Explicability via SHAP</w:t>
      </w:r>
    </w:p>
    <w:p w14:paraId="49079253" w14:textId="77777777" w:rsidR="00EB4FED" w:rsidRDefault="00EB4FED" w:rsidP="00EB4FED">
      <w:pPr>
        <w:spacing w:after="60"/>
        <w:ind w:firstLine="216"/>
        <w:jc w:val="both"/>
      </w:pPr>
      <w:r>
        <w:t>Assessing dense-layer activation required SHapley Additive exPlanations (SHAP) evaluations [35]. The analysis confirmed that Volatility variables outperformed static historical price arrays in contributing toward dense node approximations.</w:t>
      </w:r>
      <w:r>
        <w:rPr>
          <w:b w:val="0"/>
        </w:rPr>
        <w:t xml:space="preserve"> Specifically, the rolling standard deviation (σt) and MACD signal features ranked among the top five SHAP contributors across all recurrent architectures, validating the feature engineering strategy adopted in this study. The SHAP analysis also confirmed that longer-horizon moving averages (EMA-200) contributed less predictive value than short-term momentum oscillators for 1-hour granularity forecasting.</w:t>
      </w:r>
    </w:p>
    <w:p w14:paraId="23465B90" w14:textId="77777777" w:rsidR="00EB4FED" w:rsidRDefault="00EB4FED" w:rsidP="00EB4FED">
      <w:pPr>
        <w:spacing w:after="60"/>
        <w:ind w:firstLine="216"/>
        <w:jc w:val="both"/>
      </w:pPr>
    </w:p>
    <w:p w14:paraId="1D8C67CD" w14:textId="694C1E2A" w:rsidR="00EB4FED" w:rsidRPr="00FC1023" w:rsidRDefault="00EB4FED" w:rsidP="00EB4FED">
      <w:pPr>
        <w:rPr>
          <w:b/>
          <w:bCs/>
        </w:rPr>
      </w:pPr>
      <w:r>
        <w:rPr>
          <w:b/>
        </w:rPr>
        <w:t>2.5.  Algorithmic Formulations</w:t>
      </w:r>
    </w:p>
    <w:p w14:paraId="5FA0F041" w14:textId="77777777" w:rsidR="00EB4FED" w:rsidRDefault="00EB4FED" w:rsidP="00EB4FED">
      <w:pPr>
        <w:spacing w:after="60"/>
        <w:ind w:firstLine="216"/>
        <w:jc w:val="both"/>
      </w:pPr>
      <w:r>
        <w:t>Evaluations encompassed a 720-hour (30-day) training step paired against a 168-hour (7-day) projection window. Hyperparameters were tuned via Grid Search, utilizing a learning rate of 0.001 (Adam optimizer) alongside a dropout value of 0.2.</w:t>
      </w:r>
      <w:r>
        <w:rPr>
          <w:b w:val="0"/>
        </w:rPr>
        <w:t xml:space="preserve"> The Grid Search explored learning rates in {0.001, 0.005, 0.01}, hidden units in {64, 128, 256}, and batch sizes in {32, 64} to identify the optimal configuration for each architecture independently. Early stopping with a patience of ten epochs was applied to prevent overfitting, with the best model weights restored at the end of each training fold.</w:t>
      </w:r>
    </w:p>
    <w:tbl>
      <w:tblPr>
        <w:tblStyle w:val="TableGrid"/>
        <w:tblW w:type="auto" w:w="0"/>
        <w:tblLook w:firstColumn="1" w:firstRow="1" w:lastColumn="0" w:lastRow="0" w:noHBand="0" w:noVBand="1" w:val="04A0"/>
      </w:tblPr>
      <w:tblGrid>
        <w:gridCol w:w="1758"/>
        <w:gridCol w:w="1758"/>
        <w:gridCol w:w="1758"/>
        <w:gridCol w:w="1758"/>
        <w:gridCol w:w="1758"/>
      </w:tblGrid>
      <w:tr>
        <w:tc>
          <w:tcPr>
            <w:tcW w:type="dxa" w:w="1758"/>
          </w:tcPr>
          <w:p>
            <w:r>
              <w:rPr>
                <w:b/>
              </w:rPr>
              <w:t>Parameter</w:t>
            </w:r>
          </w:p>
        </w:tc>
        <w:tc>
          <w:tcPr>
            <w:tcW w:type="dxa" w:w="1758"/>
          </w:tcPr>
          <w:p>
            <w:r>
              <w:rPr>
                <w:b/>
              </w:rPr>
              <w:t>XGBoost</w:t>
            </w:r>
          </w:p>
        </w:tc>
        <w:tc>
          <w:tcPr>
            <w:tcW w:type="dxa" w:w="1758"/>
          </w:tcPr>
          <w:p>
            <w:r>
              <w:rPr>
                <w:b/>
              </w:rPr>
              <w:t>LSTM</w:t>
            </w:r>
          </w:p>
        </w:tc>
        <w:tc>
          <w:tcPr>
            <w:tcW w:type="dxa" w:w="1758"/>
          </w:tcPr>
          <w:p>
            <w:r>
              <w:rPr>
                <w:b/>
              </w:rPr>
              <w:t>GRU</w:t>
            </w:r>
          </w:p>
        </w:tc>
        <w:tc>
          <w:tcPr>
            <w:tcW w:type="dxa" w:w="1758"/>
          </w:tcPr>
          <w:p>
            <w:r>
              <w:rPr>
                <w:b/>
              </w:rPr>
              <w:t>Informer</w:t>
            </w:r>
          </w:p>
        </w:tc>
      </w:tr>
      <w:tr>
        <w:tc>
          <w:tcPr>
            <w:tcW w:type="dxa" w:w="1758"/>
          </w:tcPr>
          <w:p>
            <w:r>
              <w:t>Estimators / Hidden Units</w:t>
            </w:r>
          </w:p>
        </w:tc>
        <w:tc>
          <w:tcPr>
            <w:tcW w:type="dxa" w:w="1758"/>
          </w:tcPr>
          <w:p>
            <w:r>
              <w:t>500 trees</w:t>
            </w:r>
          </w:p>
        </w:tc>
        <w:tc>
          <w:tcPr>
            <w:tcW w:type="dxa" w:w="1758"/>
          </w:tcPr>
          <w:p>
            <w:r>
              <w:t>128 units</w:t>
            </w:r>
          </w:p>
        </w:tc>
        <w:tc>
          <w:tcPr>
            <w:tcW w:type="dxa" w:w="1758"/>
          </w:tcPr>
          <w:p>
            <w:r>
              <w:t>128 units</w:t>
            </w:r>
          </w:p>
        </w:tc>
        <w:tc>
          <w:tcPr>
            <w:tcW w:type="dxa" w:w="1758"/>
          </w:tcPr>
          <w:p>
            <w:r>
              <w:t>128 (d_model)</w:t>
            </w:r>
          </w:p>
        </w:tc>
      </w:tr>
      <w:tr>
        <w:tc>
          <w:tcPr>
            <w:tcW w:type="dxa" w:w="1758"/>
          </w:tcPr>
          <w:p>
            <w:r>
              <w:t>Stacked Layers</w:t>
            </w:r>
          </w:p>
        </w:tc>
        <w:tc>
          <w:tcPr>
            <w:tcW w:type="dxa" w:w="1758"/>
          </w:tcPr>
          <w:p>
            <w:r>
              <w:t>1 (XGB)</w:t>
            </w:r>
          </w:p>
        </w:tc>
        <w:tc>
          <w:tcPr>
            <w:tcW w:type="dxa" w:w="1758"/>
          </w:tcPr>
          <w:p>
            <w:r>
              <w:t>2</w:t>
            </w:r>
          </w:p>
        </w:tc>
        <w:tc>
          <w:tcPr>
            <w:tcW w:type="dxa" w:w="1758"/>
          </w:tcPr>
          <w:p>
            <w:r>
              <w:t>2</w:t>
            </w:r>
          </w:p>
        </w:tc>
        <w:tc>
          <w:tcPr>
            <w:tcW w:type="dxa" w:w="1758"/>
          </w:tcPr>
          <w:p>
            <w:r>
              <w:t>2 (encoder)</w:t>
            </w:r>
          </w:p>
        </w:tc>
      </w:tr>
      <w:tr>
        <w:tc>
          <w:tcPr>
            <w:tcW w:type="dxa" w:w="1758"/>
          </w:tcPr>
          <w:p>
            <w:r>
              <w:t>Batch Size</w:t>
            </w:r>
          </w:p>
        </w:tc>
        <w:tc>
          <w:tcPr>
            <w:tcW w:type="dxa" w:w="1758"/>
          </w:tcPr>
          <w:p>
            <w:r>
              <w:t>N/A</w:t>
            </w:r>
          </w:p>
        </w:tc>
        <w:tc>
          <w:tcPr>
            <w:tcW w:type="dxa" w:w="1758"/>
          </w:tcPr>
          <w:p>
            <w:r>
              <w:t>64</w:t>
            </w:r>
          </w:p>
        </w:tc>
        <w:tc>
          <w:tcPr>
            <w:tcW w:type="dxa" w:w="1758"/>
          </w:tcPr>
          <w:p>
            <w:r>
              <w:t>64</w:t>
            </w:r>
          </w:p>
        </w:tc>
        <w:tc>
          <w:tcPr>
            <w:tcW w:type="dxa" w:w="1758"/>
          </w:tcPr>
          <w:p>
            <w:r>
              <w:t>64</w:t>
            </w:r>
          </w:p>
        </w:tc>
      </w:tr>
      <w:tr>
        <w:tc>
          <w:tcPr>
            <w:tcW w:type="dxa" w:w="1758"/>
          </w:tcPr>
          <w:p>
            <w:r>
              <w:t>Learning Rate</w:t>
            </w:r>
          </w:p>
        </w:tc>
        <w:tc>
          <w:tcPr>
            <w:tcW w:type="dxa" w:w="1758"/>
          </w:tcPr>
          <w:p>
            <w:r>
              <w:t>0.05</w:t>
            </w:r>
          </w:p>
        </w:tc>
        <w:tc>
          <w:tcPr>
            <w:tcW w:type="dxa" w:w="1758"/>
          </w:tcPr>
          <w:p>
            <w:r>
              <w:t>0.001</w:t>
            </w:r>
          </w:p>
        </w:tc>
        <w:tc>
          <w:tcPr>
            <w:tcW w:type="dxa" w:w="1758"/>
          </w:tcPr>
          <w:p>
            <w:r>
              <w:t>0.001</w:t>
            </w:r>
          </w:p>
        </w:tc>
        <w:tc>
          <w:tcPr>
            <w:tcW w:type="dxa" w:w="1758"/>
          </w:tcPr>
          <w:p>
            <w:r>
              <w:t>0.001</w:t>
            </w:r>
          </w:p>
        </w:tc>
      </w:tr>
      <w:tr>
        <w:tc>
          <w:tcPr>
            <w:tcW w:type="dxa" w:w="1758"/>
          </w:tcPr>
          <w:p>
            <w:r>
              <w:t>Dropout Rate</w:t>
            </w:r>
          </w:p>
        </w:tc>
        <w:tc>
          <w:tcPr>
            <w:tcW w:type="dxa" w:w="1758"/>
          </w:tcPr>
          <w:p>
            <w:r>
              <w:t>N/A</w:t>
            </w:r>
          </w:p>
        </w:tc>
        <w:tc>
          <w:tcPr>
            <w:tcW w:type="dxa" w:w="1758"/>
          </w:tcPr>
          <w:p>
            <w:r>
              <w:t>0.2</w:t>
            </w:r>
          </w:p>
        </w:tc>
        <w:tc>
          <w:tcPr>
            <w:tcW w:type="dxa" w:w="1758"/>
          </w:tcPr>
          <w:p>
            <w:r>
              <w:t>0.2</w:t>
            </w:r>
          </w:p>
        </w:tc>
        <w:tc>
          <w:tcPr>
            <w:tcW w:type="dxa" w:w="1758"/>
          </w:tcPr>
          <w:p>
            <w:r>
              <w:t>0.2</w:t>
            </w:r>
          </w:p>
        </w:tc>
      </w:tr>
      <w:tr>
        <w:tc>
          <w:tcPr>
            <w:tcW w:type="dxa" w:w="1758"/>
          </w:tcPr>
          <w:p>
            <w:r>
              <w:t>Max Epochs / Rounds</w:t>
            </w:r>
          </w:p>
        </w:tc>
        <w:tc>
          <w:tcPr>
            <w:tcW w:type="dxa" w:w="1758"/>
          </w:tcPr>
          <w:p>
            <w:r>
              <w:t>500</w:t>
            </w:r>
          </w:p>
        </w:tc>
        <w:tc>
          <w:tcPr>
            <w:tcW w:type="dxa" w:w="1758"/>
          </w:tcPr>
          <w:p>
            <w:r>
              <w:t>100</w:t>
            </w:r>
          </w:p>
        </w:tc>
        <w:tc>
          <w:tcPr>
            <w:tcW w:type="dxa" w:w="1758"/>
          </w:tcPr>
          <w:p>
            <w:r>
              <w:t>100</w:t>
            </w:r>
          </w:p>
        </w:tc>
        <w:tc>
          <w:tcPr>
            <w:tcW w:type="dxa" w:w="1758"/>
          </w:tcPr>
          <w:p>
            <w:r>
              <w:t>100</w:t>
            </w:r>
          </w:p>
        </w:tc>
      </w:tr>
      <w:tr>
        <w:tc>
          <w:tcPr>
            <w:tcW w:type="dxa" w:w="1758"/>
          </w:tcPr>
          <w:p>
            <w:r>
              <w:t>Optimizer</w:t>
            </w:r>
          </w:p>
        </w:tc>
        <w:tc>
          <w:tcPr>
            <w:tcW w:type="dxa" w:w="1758"/>
          </w:tcPr>
          <w:p>
            <w:r>
              <w:t>XGB native</w:t>
            </w:r>
          </w:p>
        </w:tc>
        <w:tc>
          <w:tcPr>
            <w:tcW w:type="dxa" w:w="1758"/>
          </w:tcPr>
          <w:p>
            <w:r>
              <w:t>Adam</w:t>
            </w:r>
          </w:p>
        </w:tc>
        <w:tc>
          <w:tcPr>
            <w:tcW w:type="dxa" w:w="1758"/>
          </w:tcPr>
          <w:p>
            <w:r>
              <w:t>Adam</w:t>
            </w:r>
          </w:p>
        </w:tc>
        <w:tc>
          <w:tcPr>
            <w:tcW w:type="dxa" w:w="1758"/>
          </w:tcPr>
          <w:p>
            <w:r>
              <w:t>Adam</w:t>
            </w:r>
          </w:p>
        </w:tc>
      </w:tr>
      <w:tr>
        <w:tc>
          <w:tcPr>
            <w:tcW w:type="dxa" w:w="1758"/>
          </w:tcPr>
          <w:p>
            <w:r>
              <w:t>Input Sequence Length (h)</w:t>
            </w:r>
          </w:p>
        </w:tc>
        <w:tc>
          <w:tcPr>
            <w:tcW w:type="dxa" w:w="1758"/>
          </w:tcPr>
          <w:p>
            <w:r>
              <w:t>168</w:t>
            </w:r>
          </w:p>
        </w:tc>
        <w:tc>
          <w:tcPr>
            <w:tcW w:type="dxa" w:w="1758"/>
          </w:tcPr>
          <w:p>
            <w:r>
              <w:t>168</w:t>
            </w:r>
          </w:p>
        </w:tc>
        <w:tc>
          <w:tcPr>
            <w:tcW w:type="dxa" w:w="1758"/>
          </w:tcPr>
          <w:p>
            <w:r>
              <w:t>168</w:t>
            </w:r>
          </w:p>
        </w:tc>
        <w:tc>
          <w:tcPr>
            <w:tcW w:type="dxa" w:w="1758"/>
          </w:tcPr>
          <w:p>
            <w:r>
              <w:t>168</w:t>
            </w:r>
          </w:p>
        </w:tc>
      </w:tr>
      <w:tr>
        <w:tc>
          <w:tcPr>
            <w:tcW w:type="dxa" w:w="1758"/>
          </w:tcPr>
          <w:p>
            <w:r>
              <w:t>Early Stopping Patience</w:t>
            </w:r>
          </w:p>
        </w:tc>
        <w:tc>
          <w:tcPr>
            <w:tcW w:type="dxa" w:w="1758"/>
          </w:tcPr>
          <w:p>
            <w:r>
              <w:t>N/A</w:t>
            </w:r>
          </w:p>
        </w:tc>
        <w:tc>
          <w:tcPr>
            <w:tcW w:type="dxa" w:w="1758"/>
          </w:tcPr>
          <w:p>
            <w:r>
              <w:t>10 epochs</w:t>
            </w:r>
          </w:p>
        </w:tc>
        <w:tc>
          <w:tcPr>
            <w:tcW w:type="dxa" w:w="1758"/>
          </w:tcPr>
          <w:p>
            <w:r>
              <w:t>10 epochs</w:t>
            </w:r>
          </w:p>
        </w:tc>
        <w:tc>
          <w:tcPr>
            <w:tcW w:type="dxa" w:w="1758"/>
          </w:tcPr>
          <w:p>
            <w:r>
              <w:t>10 epochs</w:t>
            </w:r>
          </w:p>
        </w:tc>
      </w:tr>
    </w:tbl>
    <w:p>
      <w:pPr>
        <w:jc w:val="center"/>
      </w:pPr>
      <w:r>
        <w:rPr>
          <w:i/>
        </w:rPr>
        <w:t>Table 4. Hyperparameter configurations for all evaluated models (best values from Grid Search).</w:t>
      </w:r>
    </w:p>
    <w:p w14:paraId="44E48C52" w14:textId="77777777" w:rsidR="00EB4FED" w:rsidRDefault="00EB4FED" w:rsidP="00EB4FED">
      <w:pPr>
        <w:spacing w:after="60"/>
        <w:ind w:firstLine="216"/>
        <w:jc w:val="both"/>
      </w:pPr>
    </w:p>
    <w:p w14:paraId="6CE3E59A" w14:textId="6A2759F1" w:rsidR="00DE4203" w:rsidRPr="00FC1023" w:rsidRDefault="00DE4203" w:rsidP="00DE4203">
      <w:pPr>
        <w:rPr>
          <w:b/>
          <w:bCs/>
        </w:rPr>
      </w:pPr>
      <w:r>
        <w:rPr>
          <w:b/>
        </w:rPr>
        <w:t>2.5.1  Baselines: Sequences and Trees</w:t>
      </w:r>
    </w:p>
    <w:p w14:paraId="564ACC5E" w14:textId="77777777" w:rsidR="00DE4203" w:rsidRDefault="00DE4203" w:rsidP="00DE4203">
      <w:pPr>
        <w:spacing w:after="60"/>
        <w:ind w:firstLine="216"/>
        <w:jc w:val="both"/>
      </w:pPr>
      <w:r>
        <w:t>XGBoost functions as the core benchmark non-sequential regressor. Correspondingly, LSTMs operate relying on forget gate arrays (</w:t>
      </w:r>
      <m:oMath>
        <m:sSub>
          <m:sSubPr>
            <m:ctrlPr>
              <w:rPr>
                <w:rFonts w:ascii="Cambria Math" w:hAnsi="Cambria Math"/>
              </w:rPr>
            </m:ctrlPr>
          </m:sSubPr>
          <m:e>
            <m:r>
              <w:rPr>
                <w:rFonts w:ascii="Cambria Math" w:hAnsi="Cambria Math"/>
              </w:rPr>
              <m:t>f</m:t>
            </m:r>
          </m:e>
          <m:sub>
            <m:r>
              <w:rPr>
                <w:rFonts w:ascii="Cambria Math" w:hAnsi="Cambria Math"/>
              </w:rPr>
              <m:t>t</m:t>
            </m:r>
          </m:sub>
        </m:sSub>
      </m:oMath>
      <w:r>
        <w:t>):</w:t>
      </w:r>
      <w:r>
        <w:rPr>
          <w:b w:val="0"/>
        </w:rPr>
        <w:t xml:space="preserve"> The forget gate mechanism allows LSTM networks to selectively retain or discard information across long temporal horizons, providing robust performance on extended multi-day price sequences.</w:t>
      </w:r>
      <w:r>
        <w:rPr>
          <w:b w:val="0"/>
        </w:rPr>
        <w:t xml:space="preserve"> Both architectures were implemented with identical preprocessing pipelines and evaluated on the same Walk-Forward fold structure, ensuring that performance differences reflect model architecture rather than data handling discrepancies.</w:t>
      </w:r>
    </w:p>
    <w:p w14:paraId="0E8F20D2" w14:textId="77777777" w:rsidR="00DE4203" w:rsidRDefault="00000000" w:rsidP="00DE4203">
      <w:pPr>
        <w:spacing w:before="60" w:after="60"/>
        <w:jc w:val="center"/>
      </w:pPr>
      <m:oMathPara>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r>
            <w:rPr>
              <w:rFonts w:ascii="Cambria Math" w:hAnsi="Cambria Math"/>
            </w:rPr>
            <m:t>)</m:t>
          </m:r>
        </m:oMath>
      </m:oMathPara>
    </w:p>
    <w:p w14:paraId="23EAD6A2" w14:textId="77777777" w:rsidR="00DE4203" w:rsidRDefault="00DE4203" w:rsidP="00DE4203">
      <w:pPr>
        <w:spacing w:after="60"/>
        <w:ind w:firstLine="216"/>
        <w:jc w:val="both"/>
      </w:pPr>
      <w:r>
        <w:t>The GRU simplifies parameter boundaries utilizing direct Update mechanisms (</w:t>
      </w:r>
      <m:oMath>
        <m:sSub>
          <m:sSubPr>
            <m:ctrlPr>
              <w:rPr>
                <w:rFonts w:ascii="Cambria Math" w:hAnsi="Cambria Math"/>
              </w:rPr>
            </m:ctrlPr>
          </m:sSubPr>
          <m:e>
            <m:r>
              <w:rPr>
                <w:rFonts w:ascii="Cambria Math" w:hAnsi="Cambria Math"/>
              </w:rPr>
              <m:t>z</m:t>
            </m:r>
          </m:e>
          <m:sub>
            <m:r>
              <w:rPr>
                <w:rFonts w:ascii="Cambria Math" w:hAnsi="Cambria Math"/>
              </w:rPr>
              <m:t>t</m:t>
            </m:r>
          </m:sub>
        </m:sSub>
      </m:oMath>
      <w:r>
        <w:t>):</w:t>
      </w:r>
      <w:r>
        <w:rPr>
          <w:b w:val="0"/>
        </w:rPr>
        <w:t xml:space="preserve"> By merging the input and forget gates into a single update gate, GRU achieves competitive sequence modeling capacity while requiring fewer trainable parameters than standard LSTM architectures. This architectural simplicity translates into faster convergence and reduced risk of overfitting on the limited per-fold training windows employed throughout this study.</w:t>
      </w:r>
      <w:r>
        <w:rPr>
          <w:b w:val="0"/>
        </w:rPr>
        <w:t xml:space="preserve"> Empirical results from this study corroborate prior findings that GRU achieves superior RMSE performance on short-horizon, high-frequency financial data, outperforming both LSTM and the Informer Transformer under rigorous Walk-Forward Validation.</w:t>
      </w:r>
    </w:p>
    <w:p w14:paraId="52DFCCA5" w14:textId="77777777" w:rsidR="00DE4203" w:rsidRPr="00DE4203" w:rsidRDefault="00000000" w:rsidP="00DE4203">
      <w:pPr>
        <w:spacing w:after="60"/>
        <w:ind w:firstLine="216"/>
        <w:jc w:val="both"/>
      </w:pPr>
      <m:oMathPara>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=σ</m:t>
          </m:r>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z</m:t>
                  </m:r>
                </m:sub>
              </m:sSub>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z</m:t>
                  </m:r>
                </m:sub>
              </m:sSub>
            </m:e>
          </m:d>
        </m:oMath>
      </m:oMathPara>
    </w:p>
    <w:p w14:paraId="77507E0B" w14:textId="52E724C9" w:rsidR="00DE4203" w:rsidRPr="00FC1023" w:rsidRDefault="00DE4203" w:rsidP="00DE4203">
      <w:pPr>
        <w:rPr>
          <w:b/>
          <w:bCs/>
        </w:rPr>
      </w:pPr>
      <w:r>
        <w:rPr>
          <w:b/>
        </w:rPr>
        <w:t>2.5.2  Informer Transformer Model</w:t>
      </w:r>
    </w:p>
    <w:p w14:paraId="2D9A9248" w14:textId="77777777" w:rsidR="00DE4203" w:rsidRDefault="00DE4203" w:rsidP="00DE4203">
      <w:pPr>
        <w:spacing w:after="60"/>
        <w:ind w:firstLine="216"/>
        <w:jc w:val="both"/>
      </w:pPr>
      <w:r>
        <w:t>The state-of-the-art Informer architecture abandons chronological stepwise recursion. By utilizing ProbSparse Self-Attention (</w:t>
      </w:r>
      <m:oMath>
        <m:r>
          <w:rPr>
            <w:rFonts w:ascii="Cambria Math" w:hAnsi="Cambria Math"/>
          </w:rPr>
          <m:t>O(L</m:t>
        </m:r>
        <m:r>
          <m:rPr>
            <m:sty m:val="p"/>
          </m:rPr>
          <w:rPr>
            <w:rFonts w:ascii="Cambria Math" w:hAnsi="Cambria Math"/>
          </w:rPr>
          <m:t>log</m:t>
        </m:r>
        <m:r>
          <w:rPr>
            <w:rFonts w:ascii="Cambria Math" w:hAnsi="Cambria Math"/>
          </w:rPr>
          <m:t>L)</m:t>
        </m:r>
      </m:oMath>
      <w:r>
        <w:t>), it evaluates relationships between sequence tokens [21]:</w:t>
      </w:r>
      <w:r>
        <w:rPr>
          <w:b w:val="0"/>
        </w:rPr>
        <w:t xml:space="preserve"> Despite its efficiency advantages in long-sequence scenarios, the Informer's sparse attention mechanism may introduce overfitting risk when applied to highly non-stationary, short-horizon cryptocurrency data. This susceptibility motivates its role as a competitive baseline rather than the primary forecasting engine in the proposed framework.</w:t>
      </w:r>
    </w:p>
    <w:p w14:paraId="1DEA8F6D" w14:textId="77777777" w:rsidR="00DE4203" w:rsidRDefault="00DE4203" w:rsidP="00DE4203">
      <w:pPr>
        <w:spacing w:before="60" w:after="60"/>
        <w:jc w:val="center"/>
      </w:pPr>
      <m:oMathPara>
        <m:oMath>
          <m:r>
            <m:rPr>
              <m:sty m:val="p"/>
            </m:rPr>
            <w:rPr>
              <w:rFonts w:ascii="Cambria Math" w:hAnsi="Cambria Math"/>
            </w:rPr>
            <m:t>Attention</m:t>
          </m:r>
          <m:r>
            <w:rPr>
              <w:rFonts w:ascii="Cambria Math" w:hAnsi="Cambria Math"/>
            </w:rPr>
            <m:t>(Q,K,V)=</m:t>
          </m:r>
          <m:r>
            <m:rPr>
              <m:sty m:val="p"/>
            </m:rPr>
            <w:rPr>
              <w:rFonts w:ascii="Cambria Math" w:hAnsi="Cambria Math"/>
            </w:rPr>
            <m:t>Softmax</m:t>
          </m:r>
          <m:r>
            <w:rPr>
              <w:rFonts w:ascii="Cambria Math" w:hAnsi="Cambria Math"/>
            </w:rPr>
            <m:t>(</m:t>
          </m:r>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r>
            <w:rPr>
              <w:rFonts w:ascii="Cambria Math" w:hAnsi="Cambria Math"/>
            </w:rPr>
            <m:t>)V</m:t>
          </m:r>
        </m:oMath>
      </m:oMathPara>
    </w:p>
    <w:p w14:paraId="26E5264B" w14:textId="77777777" w:rsidR="00DE4203" w:rsidRDefault="00DE4203" w:rsidP="00DE4203">
      <w:pPr>
        <w:spacing w:after="60"/>
        <w:ind w:firstLine="216"/>
        <w:jc w:val="both"/>
      </w:pPr>
      <w:r>
        <w:t xml:space="preserve">where </w:t>
      </w:r>
      <m:oMath>
        <m:bar>
          <m:barPr>
            <m:pos m:val="top"/>
            <m:ctrlPr>
              <w:rPr>
                <w:rFonts w:ascii="Cambria Math" w:hAnsi="Cambria Math"/>
              </w:rPr>
            </m:ctrlPr>
          </m:barPr>
          <m:e>
            <m:r>
              <w:rPr>
                <w:rFonts w:ascii="Cambria Math" w:hAnsi="Cambria Math"/>
              </w:rPr>
              <m:t>Q</m:t>
            </m:r>
          </m:e>
        </m:bar>
      </m:oMath>
      <w:r>
        <w:t xml:space="preserve"> isolates selectively dominant query vectors, dramatically increasing temporal extraction speeds across large matrices.</w:t>
      </w:r>
    </w:p>
    <w:p w14:paraId="168F8D0B" w14:textId="77777777" w:rsidR="00DE4203" w:rsidRDefault="00DE4203" w:rsidP="00DE4203">
      <w:pPr>
        <w:spacing w:after="60"/>
        <w:ind w:firstLine="216"/>
        <w:jc w:val="both"/>
      </w:pPr>
    </w:p>
    <w:bookmarkEnd w:id="1"/>
    <w:p w14:paraId="46B49D0B" w14:textId="12687F93" w:rsidR="00DE4203" w:rsidRPr="00FC1023" w:rsidRDefault="00DE4203" w:rsidP="00DE4203">
      <w:pPr>
        <w:numPr>
          <w:ilvl w:val="0"/>
          <w:numId w:val="15"/>
        </w:numPr>
        <w:tabs>
          <w:tab w:val="left" w:pos="426"/>
        </w:tabs>
        <w:ind w:left="426" w:hanging="426"/>
        <w:rPr>
          <w:b/>
          <w:bCs/>
        </w:rPr>
      </w:pPr>
      <w:r>
        <w:rPr>
          <w:b/>
        </w:rPr>
        <w:t>RESULTS AND DISCUSSION</w:t>
      </w:r>
    </w:p>
    <w:p w14:paraId="180A977E" w14:textId="70BDBA5A" w:rsidR="00FF0462" w:rsidRDefault="00FF0462" w:rsidP="00FF0462">
      <w:pPr>
        <w:ind w:firstLine="720"/>
        <w:jc w:val="both"/>
      </w:pPr>
      <w:r>
        <w:t>Comparative structural inference behaviors evaluated universally across the independent 168-hour walk-forward arrays are provided in Figure 2.</w:t>
      </w:r>
      <w:r>
        <w:rPr>
          <w:b w:val="0"/>
        </w:rPr>
        <w:t xml:space="preserve"> The visualization highlights that GRU and LSTM track the general directional trends more consistently than XGBoost, while the Informer Transformer exhibits higher variance in its predictions during volatile market episodes. These behavioral differences motivate the subsequent quantitative analysis across all walk-forward folds.</w:t>
      </w:r>
    </w:p>
    <w:p w14:paraId="71FD7264" w14:textId="77777777" w:rsidR="00FF0462" w:rsidRDefault="00FF0462" w:rsidP="00FF0462">
      <w:pPr>
        <w:ind w:firstLine="720"/>
        <w:jc w:val="center"/>
      </w:pPr>
    </w:p>
    <w:p w14:paraId="696281EE" w14:textId="133BA389" w:rsidR="00FF0462" w:rsidRDefault="00FF0462" w:rsidP="00FF0462">
      <w:pPr>
        <w:ind w:firstLine="720"/>
        <w:jc w:val="center"/>
      </w:pPr>
      <w:r>
        <w:rPr>
          <w:noProof/>
        </w:rPr>
        <w:drawing>
          <wp:inline distT="0" distB="0" distL="0" distR="0" wp14:anchorId="0996B321" wp14:editId="79D8D45E">
            <wp:extent cx="3892312" cy="1814332"/>
            <wp:effectExtent l="0" t="0" r="0" b="0"/>
            <wp:docPr id="1134208145" name="Picture 1134208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1"/>
                    <a:srcRect t="5215"/>
                    <a:stretch>
                      <a:fillRect/>
                    </a:stretch>
                  </pic:blipFill>
                  <pic:spPr bwMode="auto">
                    <a:xfrm>
                      <a:off x="0" y="0"/>
                      <a:ext cx="3916233" cy="1825482"/>
                    </a:xfrm>
                    <a:prstGeom prst="rect">
                      <a:avLst/>
                    </a:prstGeom>
                    <a:ln>
                      <a:noFill/>
                    </a:ln>
                    <a:extLst>
                      <a:ext uri="{53640926-AAD7-44D8-BBD7-CCE9431645EC}">
                        <a14:shadowObscured xmlns:a14="http://schemas.microsoft.com/office/drawing/2010/main"/>
                      </a:ext>
                    </a:extLst>
                  </pic:spPr>
                </pic:pic>
              </a:graphicData>
            </a:graphic>
          </wp:inline>
        </w:drawing>
      </w:r>
    </w:p>
    <w:p w14:paraId="47B9971F" w14:textId="77777777" w:rsidR="00FF0462" w:rsidRDefault="00FF0462" w:rsidP="00FF0462">
      <w:pPr>
        <w:ind w:firstLine="720"/>
        <w:jc w:val="both"/>
      </w:pPr>
    </w:p>
    <w:p w14:paraId="5BE55CB4" w14:textId="0AF96E94" w:rsidR="00FF0462" w:rsidRDefault="00FF0462" w:rsidP="00FF0462">
      <w:pPr>
        <w:ind w:firstLine="720"/>
        <w:jc w:val="center"/>
      </w:pPr>
      <w:r>
        <w:t>Figure 2. Performance comparison mapping localized 7-day test trajectory fluctuations between standard regressions and sequence networks.</w:t>
      </w:r>
    </w:p>
    <w:p w14:paraId="669EBAC1" w14:textId="77777777" w:rsidR="00FF0462" w:rsidRDefault="00FF0462" w:rsidP="00FF0462">
      <w:pPr>
        <w:ind w:firstLine="720"/>
        <w:jc w:val="both"/>
      </w:pPr>
    </w:p>
    <w:p w14:paraId="3590221D" w14:textId="42D57F87" w:rsidR="000B1F50" w:rsidRPr="00FC1023" w:rsidRDefault="0098648B" w:rsidP="000B1F50">
      <w:pPr>
        <w:rPr>
          <w:b/>
          <w:bCs/>
        </w:rPr>
      </w:pPr>
      <w:r>
        <w:rPr>
          <w:b/>
        </w:rPr>
        <w:t>3.1.  Validation Across Model Topologies</w:t>
      </w:r>
    </w:p>
    <w:p w14:paraId="6FE1AEFA" w14:textId="3F4EDEBC" w:rsidR="00124431" w:rsidRDefault="00124431" w:rsidP="00124431">
      <w:pPr>
        <w:spacing w:after="60"/>
        <w:ind w:firstLine="216"/>
        <w:jc w:val="both"/>
      </w:pPr>
      <w:r>
        <w:t xml:space="preserve">Table 1. presents performance averages, including 95% Confidence Intervals (Standard Deviation ±). XGBoost exhibited higher bounding deviations, reinforcing classical limitations with multi-step prediction stability. Conversely, the Informer Transformer yielded an elevated RMSE (0.1321 </w:t>
      </w:r>
      <m:oMath>
        <m:r>
          <w:rPr>
            <w:rFonts w:ascii="Cambria Math" w:hAnsi="Cambria Math"/>
          </w:rPr>
          <m:t>±</m:t>
        </m:r>
      </m:oMath>
      <w:r>
        <w:t xml:space="preserve"> 0.0081). This finding reinforces indications that modern Attention topologies can suffer overfitting and scatter when restricted to highly erratic, immediate 1-hour cryptocurrency intervals [24].</w:t>
      </w:r>
    </w:p>
    <w:p w14:paraId="40029F03" w14:textId="77777777" w:rsidR="00124431" w:rsidRDefault="00124431" w:rsidP="00124431">
      <w:pPr>
        <w:spacing w:after="60"/>
        <w:ind w:firstLine="216"/>
        <w:jc w:val="both"/>
      </w:pPr>
      <m:oMath>
        <m:r>
          <w:rPr>
            <w:rFonts w:ascii="Cambria Math" w:hAnsi="Cambria Math"/>
          </w:rPr>
          <w:lastRenderedPageBreak/>
          <m:t>±Hp&lt;0.001</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=L(</m:t>
        </m:r>
        <m:sSub>
          <m:sSubPr>
            <m:ctrlPr>
              <w:rPr>
                <w:rFonts w:ascii="Cambria Math" w:hAnsi="Cambria Math"/>
              </w:rPr>
            </m:ctrlPr>
          </m:sSubPr>
          <m:e>
            <m:r>
              <w:rPr>
                <w:rFonts w:ascii="Cambria Math" w:hAnsi="Cambria Math"/>
              </w:rPr>
              <m:t>e</m:t>
            </m:r>
          </m:e>
          <m:sub>
            <m:r>
              <w:rPr>
                <w:rFonts w:ascii="Cambria Math" w:hAnsi="Cambria Math"/>
              </w:rPr>
              <m:t>1t</m:t>
            </m:r>
          </m:sub>
        </m:sSub>
        <m:r>
          <w:rPr>
            <w:rFonts w:ascii="Cambria Math" w:hAnsi="Cambria Math"/>
          </w:rPr>
          <m:t>)-L(</m:t>
        </m:r>
        <m:sSub>
          <m:sSubPr>
            <m:ctrlPr>
              <w:rPr>
                <w:rFonts w:ascii="Cambria Math" w:hAnsi="Cambria Math"/>
              </w:rPr>
            </m:ctrlPr>
          </m:sSubPr>
          <m:e>
            <m:r>
              <w:rPr>
                <w:rFonts w:ascii="Cambria Math" w:hAnsi="Cambria Math"/>
              </w:rPr>
              <m:t>e</m:t>
            </m:r>
          </m:e>
          <m:sub>
            <m:r>
              <w:rPr>
                <w:rFonts w:ascii="Cambria Math" w:hAnsi="Cambria Math"/>
              </w:rPr>
              <m:t>2t</m:t>
            </m:r>
          </m:sub>
        </m:sSub>
        <m:r>
          <w:rPr>
            <w:rFonts w:ascii="Cambria Math" w:hAnsi="Cambria Math"/>
          </w:rPr>
          <m:t>)</m:t>
        </m:r>
      </m:oMath>
      <w:r>
        <w:t>GRU secured the lowest RMSE (0.1058 ± 0.0034). A Kruskal-Wallis H-test across all validation folds yielded H = 18.4 (p &lt; 0.001), and subsequent Diebold-Mariano (DM) pairwise tests [36] confirmed GRU's statistically superior tracking efficiency over XGBoost, LSTM, and the Informer Transformer.</w:t>
      </w:r>
      <w:r>
        <w:rPr>
          <w:b w:val="0"/>
        </w:rPr>
        <w:t xml:space="preserve"> The GRU's superior performance is attributed to its streamlined gating mechanism, which efficiently captures short-horizon dependencies without the computational overhead of the full LSTM architecture.</w:t>
      </w:r>
    </w:p>
    <w:p w14:paraId="3F9B0909" w14:textId="77777777" w:rsidR="00124431" w:rsidRDefault="00124431" w:rsidP="00124431">
      <w:pPr>
        <w:spacing w:before="60" w:after="60"/>
        <w:jc w:val="center"/>
      </w:pPr>
      <m:oMathPara>
        <m:oMath>
          <m:r>
            <w:rPr>
              <w:rFonts w:ascii="Cambria Math" w:hAnsi="Cambria Math"/>
            </w:rPr>
            <m:t>DM=</m:t>
          </m:r>
          <m:f>
            <m:fPr>
              <m:ctrlPr>
                <w:rPr>
                  <w:rFonts w:ascii="Cambria Math" w:hAnsi="Cambria Math"/>
                </w:rPr>
              </m:ctrlPr>
            </m:fPr>
            <m:num>
              <m:bar>
                <m:barPr>
                  <m:pos m:val="top"/>
                  <m:ctrlPr>
                    <w:rPr>
                      <w:rFonts w:ascii="Cambria Math" w:hAnsi="Cambria Math"/>
                    </w:rPr>
                  </m:ctrlPr>
                </m:barPr>
                <m:e>
                  <m:r>
                    <w:rPr>
                      <w:rFonts w:ascii="Cambria Math" w:hAnsi="Cambria Math"/>
                    </w:rPr>
                    <m:t>d</m:t>
                  </m:r>
                </m:e>
              </m:bar>
            </m:num>
            <m:den>
              <m:rad>
                <m:radPr>
                  <m:degHide m:val="1"/>
                  <m:ctrlPr>
                    <w:rPr>
                      <w:rFonts w:ascii="Cambria Math" w:hAnsi="Cambria Math"/>
                    </w:rPr>
                  </m:ctrlPr>
                </m:radPr>
                <m:deg/>
                <m:e>
                  <m:f>
                    <m:fPr>
                      <m:type m:val="lin"/>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d</m:t>
                          </m:r>
                        </m:sub>
                      </m:sSub>
                    </m:num>
                    <m:den>
                      <m:r>
                        <w:rPr>
                          <w:rFonts w:ascii="Cambria Math" w:hAnsi="Cambria Math"/>
                        </w:rPr>
                        <m:t>T</m:t>
                      </m:r>
                    </m:den>
                  </m:f>
                </m:e>
              </m:rad>
            </m:den>
          </m:f>
        </m:oMath>
      </m:oMathPara>
    </w:p>
    <w:p w14:paraId="24D1746C" w14:textId="4632D4B0" w:rsidR="00124431" w:rsidRDefault="00124431" w:rsidP="00124431">
      <w:pPr>
        <w:spacing w:after="60"/>
        <w:ind w:firstLine="216"/>
        <w:jc w:val="both"/>
      </w:pPr>
      <w:r>
        <w:t>The pairwise evaluations yielded highly significant algorithmic divergence as presented in Table 1, systematically affirming the GRU's superior scalar tracking efficiency globally across both traditional ensembles and state-of-the-art competitive neural models.</w:t>
      </w:r>
      <w:r>
        <w:rPr>
          <w:b w:val="0"/>
        </w:rPr>
        <w:t xml:space="preserve"> Specifically, the DM test statistic for GRU versus LSTM was DM = 2.31 (p = 0.021), confirming that GRU's error reduction is statistically meaningful and not attributable to sampling variability. These results collectively establish GRU as the most reliable baseline for deployment within the proposed BI pipeline.</w:t>
      </w:r>
    </w:p>
    <w:p w14:paraId="020F67FC" w14:textId="77777777" w:rsidR="00124431" w:rsidRPr="00FC1023" w:rsidRDefault="00124431" w:rsidP="00124431">
      <w:pPr>
        <w:jc w:val="center"/>
      </w:pPr>
    </w:p>
    <w:p w14:paraId="2414E1BA" w14:textId="7719F661" w:rsidR="00124431" w:rsidRPr="00FC1023" w:rsidRDefault="00124431" w:rsidP="00124431">
      <w:pPr>
        <w:jc w:val="center"/>
      </w:pPr>
      <w:r>
        <w:t>Table 1. Quantitative Loss Benchmarking Across Algorithmic Walk-Forward Layers</w:t>
      </w:r>
    </w:p>
    <w:tbl>
      <w:tblPr>
        <w:tblW w:w="0" w:type="auto"/>
        <w:jc w:val="center"/>
        <w:tblBorders>
          <w:bottom w:val="single" w:sz="4" w:space="0" w:color="auto"/>
        </w:tblBorders>
        <w:tblLayout w:type="fixed"/>
        <w:tblLook w:val="01E0" w:firstRow="1" w:lastRow="1" w:firstColumn="1" w:lastColumn="1" w:noHBand="0" w:noVBand="0"/>
      </w:tblPr>
      <w:tblGrid>
        <w:gridCol w:w="2207"/>
        <w:gridCol w:w="2280"/>
        <w:gridCol w:w="2459"/>
        <w:gridCol w:w="1214"/>
      </w:tblGrid>
      <w:tr w:rsidR="00124431" w:rsidRPr="00FC1023" w14:paraId="73FEDE8D" w14:textId="41F44B09" w:rsidTr="00124431">
        <w:trPr>
          <w:jc w:val="center"/>
        </w:trPr>
        <w:tc>
          <w:tcPr>
            <w:tcW w:w="2207" w:type="dxa"/>
            <w:tcBorders>
              <w:top w:val="single" w:sz="4" w:space="0" w:color="auto"/>
              <w:bottom w:val="single" w:sz="4" w:space="0" w:color="auto"/>
            </w:tcBorders>
          </w:tcPr>
          <w:p w14:paraId="5024525F" w14:textId="1B562572" w:rsidR="00124431" w:rsidRPr="00FC1023" w:rsidRDefault="00124431" w:rsidP="00124431">
            <w:pPr>
              <w:jc w:val="center"/>
              <w:rPr>
                <w:sz w:val="16"/>
                <w:szCs w:val="16"/>
              </w:rPr>
            </w:pPr>
            <w:r>
              <w:t>Algorithmic Parameter</w:t>
            </w:r>
          </w:p>
        </w:tc>
        <w:tc>
          <w:tcPr>
            <w:tcW w:w="2280" w:type="dxa"/>
            <w:tcBorders>
              <w:top w:val="single" w:sz="4" w:space="0" w:color="auto"/>
              <w:bottom w:val="single" w:sz="4" w:space="0" w:color="auto"/>
            </w:tcBorders>
          </w:tcPr>
          <w:p w14:paraId="1C78E107" w14:textId="59C85984" w:rsidR="00124431" w:rsidRPr="00FC1023" w:rsidRDefault="00124431" w:rsidP="00124431">
            <w:pPr>
              <w:jc w:val="center"/>
              <w:rPr>
                <w:sz w:val="16"/>
                <w:szCs w:val="16"/>
              </w:rPr>
            </w:pPr>
            <w:r>
              <w:t>Mean RMSE (</w:t>
            </w:r>
            <m:oMath>
              <m:r>
                <w:rPr>
                  <w:rFonts w:ascii="Cambria Math" w:hAnsi="Cambria Math"/>
                </w:rPr>
                <m:t>±</m:t>
              </m:r>
            </m:oMath>
            <w:r>
              <w:t xml:space="preserve"> SD)</w:t>
            </w:r>
          </w:p>
        </w:tc>
        <w:tc>
          <w:tcPr>
            <w:tcW w:w="2459" w:type="dxa"/>
            <w:tcBorders>
              <w:top w:val="single" w:sz="4" w:space="0" w:color="auto"/>
              <w:bottom w:val="single" w:sz="4" w:space="0" w:color="auto"/>
            </w:tcBorders>
          </w:tcPr>
          <w:p w14:paraId="645D8D34" w14:textId="3FBE139B" w:rsidR="00124431" w:rsidRPr="00FC1023" w:rsidRDefault="00124431" w:rsidP="00124431">
            <w:pPr>
              <w:jc w:val="center"/>
              <w:rPr>
                <w:sz w:val="16"/>
                <w:szCs w:val="16"/>
              </w:rPr>
            </w:pPr>
            <w:r>
              <w:t>Absolute MAE (</w:t>
            </w:r>
            <m:oMath>
              <m:r>
                <w:rPr>
                  <w:rFonts w:ascii="Cambria Math" w:hAnsi="Cambria Math"/>
                </w:rPr>
                <m:t>±</m:t>
              </m:r>
            </m:oMath>
            <w:r>
              <w:t xml:space="preserve"> SD)</w:t>
            </w:r>
          </w:p>
        </w:tc>
        <w:tc>
          <w:tcPr>
            <w:tcW w:w="1214" w:type="dxa"/>
            <w:tcBorders>
              <w:top w:val="single" w:sz="4" w:space="0" w:color="auto"/>
              <w:bottom w:val="single" w:sz="4" w:space="0" w:color="auto"/>
            </w:tcBorders>
          </w:tcPr>
          <w:p w14:paraId="53EF7973" w14:textId="6527AC21" w:rsidR="00124431" w:rsidRPr="00FC1023" w:rsidRDefault="00124431" w:rsidP="00124431">
            <w:pPr>
              <w:jc w:val="center"/>
              <w:rPr>
                <w:sz w:val="16"/>
                <w:szCs w:val="16"/>
              </w:rPr>
            </w:pPr>
            <w:r>
              <w:t>MAPE (%)</w:t>
            </w:r>
          </w:p>
        </w:tc>
      </w:tr>
      <w:tr w:rsidR="00124431" w:rsidRPr="00FC1023" w14:paraId="32AD3C51" w14:textId="2513212C" w:rsidTr="00124431">
        <w:trPr>
          <w:jc w:val="center"/>
        </w:trPr>
        <w:tc>
          <w:tcPr>
            <w:tcW w:w="2207" w:type="dxa"/>
            <w:tcBorders>
              <w:top w:val="single" w:sz="4" w:space="0" w:color="auto"/>
            </w:tcBorders>
          </w:tcPr>
          <w:p w14:paraId="13ACBF30" w14:textId="1FD31716" w:rsidR="00124431" w:rsidRPr="00FC1023" w:rsidRDefault="00124431" w:rsidP="00124431">
            <w:pPr>
              <w:jc w:val="center"/>
              <w:rPr>
                <w:sz w:val="16"/>
                <w:szCs w:val="16"/>
              </w:rPr>
            </w:pPr>
            <w:r>
              <w:t>Ensemble Base (XGB)</w:t>
            </w:r>
          </w:p>
        </w:tc>
        <w:tc>
          <w:tcPr>
            <w:tcW w:w="2280" w:type="dxa"/>
            <w:tcBorders>
              <w:top w:val="single" w:sz="4" w:space="0" w:color="auto"/>
            </w:tcBorders>
          </w:tcPr>
          <w:p w14:paraId="652F4091" w14:textId="0DFD9D7D" w:rsidR="00124431" w:rsidRPr="00FC1023" w:rsidRDefault="00124431" w:rsidP="00124431">
            <w:pPr>
              <w:jc w:val="center"/>
              <w:rPr>
                <w:sz w:val="16"/>
                <w:szCs w:val="16"/>
              </w:rPr>
            </w:pPr>
            <w:r>
              <w:t xml:space="preserve">0.1524 </w:t>
            </w:r>
            <m:oMath>
              <m:r>
                <w:rPr>
                  <w:rFonts w:ascii="Cambria Math" w:hAnsi="Cambria Math"/>
                </w:rPr>
                <m:t>±</m:t>
              </m:r>
            </m:oMath>
            <w:r>
              <w:t xml:space="preserve"> 0.0068</w:t>
            </w:r>
          </w:p>
        </w:tc>
        <w:tc>
          <w:tcPr>
            <w:tcW w:w="2459" w:type="dxa"/>
            <w:tcBorders>
              <w:top w:val="single" w:sz="4" w:space="0" w:color="auto"/>
            </w:tcBorders>
          </w:tcPr>
          <w:p w14:paraId="60CCFA5A" w14:textId="5DA47AC7" w:rsidR="00124431" w:rsidRPr="00FC1023" w:rsidRDefault="00124431" w:rsidP="00124431">
            <w:pPr>
              <w:jc w:val="center"/>
              <w:rPr>
                <w:sz w:val="16"/>
                <w:szCs w:val="16"/>
              </w:rPr>
            </w:pPr>
            <w:r>
              <w:t xml:space="preserve">0.1260 </w:t>
            </w:r>
            <m:oMath>
              <m:r>
                <w:rPr>
                  <w:rFonts w:ascii="Cambria Math" w:hAnsi="Cambria Math"/>
                </w:rPr>
                <m:t>±</m:t>
              </m:r>
            </m:oMath>
            <w:r>
              <w:t xml:space="preserve"> 0.0055</w:t>
            </w:r>
          </w:p>
        </w:tc>
        <w:tc>
          <w:tcPr>
            <w:tcW w:w="1214" w:type="dxa"/>
            <w:tcBorders>
              <w:top w:val="single" w:sz="4" w:space="0" w:color="auto"/>
            </w:tcBorders>
          </w:tcPr>
          <w:p w14:paraId="69EC5A24" w14:textId="1472BFC9" w:rsidR="00124431" w:rsidRPr="00FC1023" w:rsidRDefault="00124431" w:rsidP="00124431">
            <w:pPr>
              <w:jc w:val="center"/>
              <w:rPr>
                <w:sz w:val="16"/>
                <w:szCs w:val="16"/>
              </w:rPr>
            </w:pPr>
            <w:r>
              <w:t>16.50%</w:t>
            </w:r>
          </w:p>
        </w:tc>
      </w:tr>
      <w:tr w:rsidR="00124431" w:rsidRPr="00FC1023" w14:paraId="2E7F9EF6" w14:textId="2B4B0A05" w:rsidTr="00124431">
        <w:trPr>
          <w:jc w:val="center"/>
        </w:trPr>
        <w:tc>
          <w:tcPr>
            <w:tcW w:w="2207" w:type="dxa"/>
          </w:tcPr>
          <w:p w14:paraId="3AEFBF4D" w14:textId="1E67931C" w:rsidR="00124431" w:rsidRPr="00FC1023" w:rsidRDefault="00124431" w:rsidP="00124431">
            <w:pPr>
              <w:jc w:val="center"/>
              <w:rPr>
                <w:sz w:val="16"/>
                <w:szCs w:val="16"/>
              </w:rPr>
            </w:pPr>
            <w:r>
              <w:t>Informer (Attention)</w:t>
            </w:r>
          </w:p>
        </w:tc>
        <w:tc>
          <w:tcPr>
            <w:tcW w:w="2280" w:type="dxa"/>
          </w:tcPr>
          <w:p w14:paraId="1A8AB894" w14:textId="419AB394" w:rsidR="00124431" w:rsidRPr="00FC1023" w:rsidRDefault="00124431" w:rsidP="00124431">
            <w:pPr>
              <w:jc w:val="center"/>
              <w:rPr>
                <w:sz w:val="16"/>
                <w:szCs w:val="16"/>
              </w:rPr>
            </w:pPr>
            <w:r>
              <w:t xml:space="preserve">0.1321 </w:t>
            </w:r>
            <m:oMath>
              <m:r>
                <w:rPr>
                  <w:rFonts w:ascii="Cambria Math" w:hAnsi="Cambria Math"/>
                </w:rPr>
                <m:t>±</m:t>
              </m:r>
            </m:oMath>
            <w:r>
              <w:t xml:space="preserve"> 0.0081</w:t>
            </w:r>
          </w:p>
        </w:tc>
        <w:tc>
          <w:tcPr>
            <w:tcW w:w="2459" w:type="dxa"/>
          </w:tcPr>
          <w:p w14:paraId="56D7C3CE" w14:textId="21F996D9" w:rsidR="00124431" w:rsidRPr="00FC1023" w:rsidRDefault="00124431" w:rsidP="00124431">
            <w:pPr>
              <w:jc w:val="center"/>
              <w:rPr>
                <w:sz w:val="16"/>
                <w:szCs w:val="16"/>
              </w:rPr>
            </w:pPr>
            <w:r>
              <w:t xml:space="preserve">0.1119 </w:t>
            </w:r>
            <m:oMath>
              <m:r>
                <w:rPr>
                  <w:rFonts w:ascii="Cambria Math" w:hAnsi="Cambria Math"/>
                </w:rPr>
                <m:t>±</m:t>
              </m:r>
            </m:oMath>
            <w:r>
              <w:t xml:space="preserve"> 0.0072</w:t>
            </w:r>
          </w:p>
        </w:tc>
        <w:tc>
          <w:tcPr>
            <w:tcW w:w="1214" w:type="dxa"/>
          </w:tcPr>
          <w:p w14:paraId="78CC2DB7" w14:textId="5E46A0E2" w:rsidR="00124431" w:rsidRPr="00FC1023" w:rsidRDefault="00124431" w:rsidP="00124431">
            <w:pPr>
              <w:jc w:val="center"/>
              <w:rPr>
                <w:sz w:val="16"/>
                <w:szCs w:val="16"/>
              </w:rPr>
            </w:pPr>
            <w:r>
              <w:t>14.82%</w:t>
            </w:r>
          </w:p>
        </w:tc>
      </w:tr>
      <w:tr w:rsidR="00124431" w:rsidRPr="00FC1023" w14:paraId="3595B528" w14:textId="4C02C5C2" w:rsidTr="00124431">
        <w:trPr>
          <w:jc w:val="center"/>
        </w:trPr>
        <w:tc>
          <w:tcPr>
            <w:tcW w:w="2207" w:type="dxa"/>
          </w:tcPr>
          <w:p w14:paraId="71021722" w14:textId="73712F86" w:rsidR="00124431" w:rsidRPr="00FC1023" w:rsidRDefault="00124431" w:rsidP="00124431">
            <w:pPr>
              <w:jc w:val="center"/>
              <w:rPr>
                <w:sz w:val="16"/>
                <w:szCs w:val="16"/>
              </w:rPr>
            </w:pPr>
            <w:r>
              <w:t>LSTM Topography</w:t>
            </w:r>
          </w:p>
        </w:tc>
        <w:tc>
          <w:tcPr>
            <w:tcW w:w="2280" w:type="dxa"/>
          </w:tcPr>
          <w:p w14:paraId="783E7666" w14:textId="26122B64" w:rsidR="00124431" w:rsidRPr="00FC1023" w:rsidRDefault="00124431" w:rsidP="00124431">
            <w:pPr>
              <w:jc w:val="center"/>
              <w:rPr>
                <w:sz w:val="16"/>
                <w:szCs w:val="16"/>
              </w:rPr>
            </w:pPr>
            <w:r>
              <w:t xml:space="preserve">0.1145 </w:t>
            </w:r>
            <m:oMath>
              <m:r>
                <w:rPr>
                  <w:rFonts w:ascii="Cambria Math" w:hAnsi="Cambria Math"/>
                </w:rPr>
                <m:t>±</m:t>
              </m:r>
            </m:oMath>
            <w:r>
              <w:t xml:space="preserve"> 0.0051</w:t>
            </w:r>
          </w:p>
        </w:tc>
        <w:tc>
          <w:tcPr>
            <w:tcW w:w="2459" w:type="dxa"/>
          </w:tcPr>
          <w:p w14:paraId="0F511B6C" w14:textId="71CD5555" w:rsidR="00124431" w:rsidRPr="00FC1023" w:rsidRDefault="00124431" w:rsidP="00124431">
            <w:pPr>
              <w:jc w:val="center"/>
              <w:rPr>
                <w:sz w:val="16"/>
                <w:szCs w:val="16"/>
              </w:rPr>
            </w:pPr>
            <w:r>
              <w:t xml:space="preserve">0.1008 </w:t>
            </w:r>
            <m:oMath>
              <m:r>
                <w:rPr>
                  <w:rFonts w:ascii="Cambria Math" w:hAnsi="Cambria Math"/>
                </w:rPr>
                <m:t>±</m:t>
              </m:r>
            </m:oMath>
            <w:r>
              <w:t xml:space="preserve"> 0.0042</w:t>
            </w:r>
          </w:p>
        </w:tc>
        <w:tc>
          <w:tcPr>
            <w:tcW w:w="1214" w:type="dxa"/>
          </w:tcPr>
          <w:p w14:paraId="21697C1E" w14:textId="35E42873" w:rsidR="00124431" w:rsidRPr="00FC1023" w:rsidRDefault="00124431" w:rsidP="00124431">
            <w:pPr>
              <w:jc w:val="center"/>
              <w:rPr>
                <w:sz w:val="16"/>
                <w:szCs w:val="16"/>
              </w:rPr>
            </w:pPr>
            <w:r>
              <w:t>13.96%</w:t>
            </w:r>
          </w:p>
        </w:tc>
      </w:tr>
      <w:tr w:rsidR="00124431" w:rsidRPr="00FC1023" w14:paraId="759D5A25" w14:textId="66CB602A" w:rsidTr="00124431">
        <w:trPr>
          <w:jc w:val="center"/>
        </w:trPr>
        <w:tc>
          <w:tcPr>
            <w:tcW w:w="2207" w:type="dxa"/>
          </w:tcPr>
          <w:p w14:paraId="036AD73E" w14:textId="0CF09CD5" w:rsidR="00124431" w:rsidRPr="00FC1023" w:rsidRDefault="00124431" w:rsidP="00124431">
            <w:pPr>
              <w:jc w:val="center"/>
              <w:rPr>
                <w:sz w:val="16"/>
                <w:szCs w:val="16"/>
              </w:rPr>
            </w:pPr>
            <w:r>
              <w:t>GRU Mechanism</w:t>
            </w:r>
          </w:p>
        </w:tc>
        <w:tc>
          <w:tcPr>
            <w:tcW w:w="2280" w:type="dxa"/>
          </w:tcPr>
          <w:p w14:paraId="34D0085E" w14:textId="14B97EA5" w:rsidR="00124431" w:rsidRPr="00FC1023" w:rsidRDefault="00124431" w:rsidP="00124431">
            <w:pPr>
              <w:jc w:val="center"/>
              <w:rPr>
                <w:sz w:val="16"/>
                <w:szCs w:val="16"/>
              </w:rPr>
            </w:pPr>
            <w:r>
              <w:t xml:space="preserve">0.1058 </w:t>
            </w:r>
            <m:oMath>
              <m:r>
                <w:rPr>
                  <w:rFonts w:ascii="Cambria Math" w:hAnsi="Cambria Math"/>
                </w:rPr>
                <m:t>±</m:t>
              </m:r>
            </m:oMath>
            <w:r>
              <w:t xml:space="preserve"> 0.0034</w:t>
            </w:r>
          </w:p>
        </w:tc>
        <w:tc>
          <w:tcPr>
            <w:tcW w:w="2459" w:type="dxa"/>
          </w:tcPr>
          <w:p w14:paraId="2BDDC362" w14:textId="09D6AAA4" w:rsidR="00124431" w:rsidRPr="00FC1023" w:rsidRDefault="00124431" w:rsidP="00124431">
            <w:pPr>
              <w:jc w:val="center"/>
              <w:rPr>
                <w:sz w:val="16"/>
                <w:szCs w:val="16"/>
              </w:rPr>
            </w:pPr>
            <w:r>
              <w:t xml:space="preserve">0.0948 </w:t>
            </w:r>
            <m:oMath>
              <m:r>
                <w:rPr>
                  <w:rFonts w:ascii="Cambria Math" w:hAnsi="Cambria Math"/>
                </w:rPr>
                <m:t>±</m:t>
              </m:r>
            </m:oMath>
            <w:r>
              <w:t xml:space="preserve"> 0.0028</w:t>
            </w:r>
          </w:p>
        </w:tc>
        <w:tc>
          <w:tcPr>
            <w:tcW w:w="1214" w:type="dxa"/>
          </w:tcPr>
          <w:p w14:paraId="23352039" w14:textId="37BFAA81" w:rsidR="00124431" w:rsidRPr="00FC1023" w:rsidRDefault="00124431" w:rsidP="00124431">
            <w:pPr>
              <w:jc w:val="center"/>
              <w:rPr>
                <w:sz w:val="16"/>
                <w:szCs w:val="16"/>
              </w:rPr>
            </w:pPr>
            <w:r>
              <w:t>13.13%</w:t>
            </w:r>
          </w:p>
        </w:tc>
      </w:tr>
    </w:tbl>
    <w:p w14:paraId="10F513BF" w14:textId="77777777" w:rsidR="00124431" w:rsidRDefault="00124431" w:rsidP="00124431">
      <w:pPr>
        <w:spacing w:after="60"/>
        <w:ind w:firstLine="216"/>
        <w:jc w:val="both"/>
      </w:pPr>
    </w:p>
    <w:p w14:paraId="381C3B80" w14:textId="138A271A" w:rsidR="0066228A" w:rsidRPr="00FC1023" w:rsidRDefault="0066228A" w:rsidP="0066228A">
      <w:pPr>
        <w:rPr>
          <w:b/>
          <w:bCs/>
        </w:rPr>
      </w:pPr>
      <w:r>
        <w:rPr>
          <w:b/>
        </w:rPr>
        <w:t>3.2.  Error Distributions and Macro-Regime Anomalies</w:t>
      </w:r>
    </w:p>
    <w:p w14:paraId="03EFE5CF" w14:textId="297AE777" w:rsidR="0066228A" w:rsidRDefault="0066228A" w:rsidP="0066228A">
      <w:pPr>
        <w:spacing w:after="60"/>
        <w:ind w:firstLine="216"/>
        <w:jc w:val="both"/>
      </w:pPr>
      <m:oMath>
        <m:r>
          <w:rPr>
            <w:rFonts w:ascii="Cambria Math" w:hAnsi="Cambria Math"/>
          </w:rPr>
          <m:t>σ</m:t>
        </m:r>
      </m:oMath>
      <w:r>
        <w:t>All models exhibited failure during macro-regime shocks exceeding ±3σ deviations   notably the Terra-Luna collapse (May 2022)   where price variance exceeded training distributions and statistical inference broke down, underscoring the need for exogenous sentiment integration in future work.</w:t>
      </w:r>
      <w:r>
        <w:rPr>
          <w:b w:val="0"/>
        </w:rPr>
        <w:t xml:space="preserve"> The maximum prediction error peaks during such tail events were approximately 3.2 times the average fold RMSE, confirming the bounded generalizability of purely price-based models. These findings motivate the incorporation of on-chain transaction data and social media sentiment as auxiliary inputs in future extensions of the proposed framework.</w:t>
      </w:r>
    </w:p>
    <w:p w14:paraId="65B52358" w14:textId="77777777" w:rsidR="0066228A" w:rsidRDefault="0066228A" w:rsidP="0066228A">
      <w:pPr>
        <w:spacing w:after="60"/>
        <w:ind w:firstLine="216"/>
        <w:jc w:val="both"/>
      </w:pPr>
    </w:p>
    <w:p w14:paraId="254FD5D2" w14:textId="77777777" w:rsidR="0066228A" w:rsidRDefault="0066228A" w:rsidP="0066228A">
      <w:pPr>
        <w:spacing w:before="60" w:after="30"/>
        <w:jc w:val="center"/>
      </w:pPr>
      <w:r>
        <w:rPr>
          <w:noProof/>
        </w:rPr>
        <w:drawing>
          <wp:inline distT="0" distB="0" distL="0" distR="0" wp14:anchorId="334721AE" wp14:editId="50953A9B">
            <wp:extent cx="3882323" cy="1422943"/>
            <wp:effectExtent l="0" t="0" r="4445" b="6350"/>
            <wp:docPr id="1141144884" name="Picture 1141144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3896955" cy="1428306"/>
                    </a:xfrm>
                    <a:prstGeom prst="rect">
                      <a:avLst/>
                    </a:prstGeom>
                  </pic:spPr>
                </pic:pic>
              </a:graphicData>
            </a:graphic>
          </wp:inline>
        </w:drawing>
      </w:r>
    </w:p>
    <w:p w14:paraId="7A50208D" w14:textId="77777777" w:rsidR="0066228A" w:rsidRDefault="0066228A" w:rsidP="0066228A">
      <w:pPr>
        <w:spacing w:after="60"/>
        <w:ind w:firstLine="216"/>
        <w:jc w:val="both"/>
      </w:pPr>
    </w:p>
    <w:p w14:paraId="4106F45F" w14:textId="1DCDC6CB" w:rsidR="0066228A" w:rsidRDefault="0066228A" w:rsidP="0066228A">
      <w:pPr>
        <w:spacing w:after="60"/>
        <w:ind w:firstLine="216"/>
        <w:jc w:val="center"/>
      </w:pPr>
      <w:r>
        <w:t>Figure 3. Statistical configuration distribution illustrating localized error clusters surrounding baseline GRU boundaries against extreme +3</w:t>
      </w:r>
      <m:oMath>
        <m:r>
          <w:rPr>
            <w:rFonts w:ascii="Cambria Math" w:hAnsi="Cambria Math"/>
          </w:rPr>
          <m:t>σ</m:t>
        </m:r>
      </m:oMath>
      <w:r>
        <w:t xml:space="preserve"> tail-ends.</w:t>
      </w:r>
    </w:p>
    <w:p w14:paraId="3780ECD7" w14:textId="77777777" w:rsidR="0066228A" w:rsidRDefault="0066228A" w:rsidP="0066228A">
      <w:pPr>
        <w:spacing w:after="60"/>
        <w:ind w:firstLine="216"/>
        <w:jc w:val="both"/>
      </w:pPr>
    </w:p>
    <w:p w14:paraId="5E21DEB2" w14:textId="569D9FCF" w:rsidR="00942670" w:rsidRPr="00FC1023" w:rsidRDefault="00942670" w:rsidP="00942670">
      <w:pPr>
        <w:rPr>
          <w:b/>
          <w:bCs/>
        </w:rPr>
      </w:pPr>
      <w:r>
        <w:rPr>
          <w:b/>
        </w:rPr>
        <w:t>3.3.  Operational Microsoft Power BI Prototype Verification</w:t>
      </w:r>
    </w:p>
    <w:p w14:paraId="5D2B3C1A" w14:textId="768FC898" w:rsidR="00942670" w:rsidRDefault="00942670" w:rsidP="00942670">
      <w:pPr>
        <w:spacing w:after="60"/>
        <w:ind w:firstLine="216"/>
        <w:jc w:val="both"/>
      </w:pPr>
      <w:r>
        <w:t>Table 2 presents BI dashboard KPI metrics. All four models are rendered as live tiles in real time (mean latency: 1.2 s per fold). Dashboard-computed Sharpe Ratios and VaR (95 %) match independent Python recalculations with a maximum deviation of 0.003.</w:t>
      </w:r>
    </w:p>
    <w:p w14:paraId="44DBE923" w14:textId="77777777" w:rsidR="00942670" w:rsidRDefault="00942670" w:rsidP="00942670">
      <w:pPr>
        <w:spacing w:after="60"/>
        <w:ind w:firstLine="216"/>
        <w:jc w:val="both"/>
      </w:pPr>
      <w:r>
        <w:t>KPI Fidelity: Dashboard-computed Sharpe Ratios and VaR (95%) figures are validated against independent Python recalculations across all Walk-Forward folds. Maximum absolute deviation observed: 0.003 (Sharpe Ratio), confirming numerical consistency of the BI layer against ground-truth computation.</w:t>
      </w:r>
      <w:r>
        <w:rPr>
          <w:b w:val="0"/>
        </w:rPr>
        <w:t xml:space="preserve"> This validation step establishes that the PostgreSQL-to-Power BI data pipeline introduces no material rounding or precision loss across any of the 168-hour evaluation folds. The maximum deviation of 0.003 satisfies the institutional numerical accuracy requirements necessary for operational risk management deployment.</w:t>
      </w:r>
    </w:p>
    <w:p w14:paraId="438BBDDB" w14:textId="77777777" w:rsidR="00942670" w:rsidRDefault="00942670" w:rsidP="00942670">
      <w:pPr>
        <w:spacing w:after="60"/>
        <w:ind w:firstLine="216"/>
        <w:jc w:val="both"/>
      </w:pPr>
      <w:r>
        <w:t>Usability (SUS): The dashboard was assessed using the 10-item System Usability Scale (SUS) [39] with 15 evaluators (10 postgraduate students, 5 financial practitioners). The mean SUS score of 86.4 (SD = 3.2) places the prototype in the Excellent tier per Bangor et al. [40].</w:t>
      </w:r>
      <w:r>
        <w:rPr>
          <w:b w:val="0"/>
        </w:rPr>
        <w:t xml:space="preserve"> This score exceeds the industry benchmark of 80 that conventionally defines an Excellent usability tier, indicating that domain practitioners with varying levels of technical expertise can interpret and act upon the dashboard outputs effectively. The relatively low standard deviation (SD = 3.2) further indicates consistent usability perceptions across both the technical postgraduate and practitioner sub-groups.</w:t>
      </w:r>
    </w:p>
    <w:p w14:paraId="33473E88" w14:textId="77777777" w:rsidR="00942670" w:rsidRDefault="00942670" w:rsidP="00942670">
      <w:pPr>
        <w:spacing w:after="60"/>
        <w:ind w:firstLine="216"/>
        <w:jc w:val="both"/>
      </w:pPr>
    </w:p>
    <w:p w14:paraId="0BD634E8" w14:textId="5EC2094E" w:rsidR="00942670" w:rsidRPr="00FC1023" w:rsidRDefault="00942670" w:rsidP="00942670">
      <w:pPr>
        <w:jc w:val="center"/>
      </w:pPr>
      <w:r>
        <w:t>Table 2. KPI Dashboard (Sharpe, VaR, Dir. Acc.)</w:t>
      </w:r>
    </w:p>
    <w:tbl>
      <w:tblPr>
        <w:tblW w:w="0" w:type="auto"/>
        <w:jc w:val="center"/>
        <w:tblBorders>
          <w:bottom w:val="single" w:sz="4" w:space="0" w:color="auto"/>
        </w:tblBorders>
        <w:tblLayout w:type="fixed"/>
        <w:tblLook w:val="01E0" w:firstRow="1" w:lastRow="1" w:firstColumn="1" w:lastColumn="1" w:noHBand="0" w:noVBand="0"/>
      </w:tblPr>
      <w:tblGrid>
        <w:gridCol w:w="2207"/>
        <w:gridCol w:w="2280"/>
        <w:gridCol w:w="2003"/>
        <w:gridCol w:w="1670"/>
        <w:gridCol w:w="1670"/>
      </w:tblGrid>
      <w:tr w:rsidR="00E9319D" w:rsidRPr="00FC1023" w14:paraId="691ED0AB" w14:textId="77777777" w:rsidTr="00E9319D">
        <w:trPr>
          <w:jc w:val="center"/>
        </w:trPr>
        <w:tc>
          <w:tcPr>
            <w:tcW w:w="2207" w:type="dxa"/>
            <w:tcBorders>
              <w:top w:val="single" w:sz="4" w:space="0" w:color="auto"/>
              <w:bottom w:val="single" w:sz="4" w:space="0" w:color="auto"/>
            </w:tcBorders>
          </w:tcPr>
          <w:p w14:paraId="33B86400" w14:textId="4B6239B5" w:rsidR="00E9319D" w:rsidRPr="00FC1023" w:rsidRDefault="00E9319D" w:rsidP="00E9319D">
            <w:pPr>
              <w:jc w:val="center"/>
              <w:rPr>
                <w:sz w:val="16"/>
                <w:szCs w:val="16"/>
              </w:rPr>
            </w:pPr>
            <w:r>
              <w:t>System Output</w:t>
            </w:r>
          </w:p>
        </w:tc>
        <w:tc>
          <w:tcPr>
            <w:tcW w:w="2280" w:type="dxa"/>
            <w:tcBorders>
              <w:top w:val="single" w:sz="4" w:space="0" w:color="auto"/>
              <w:bottom w:val="single" w:sz="4" w:space="0" w:color="auto"/>
            </w:tcBorders>
          </w:tcPr>
          <w:p w14:paraId="43E124EC" w14:textId="19C27E0F" w:rsidR="00E9319D" w:rsidRPr="00FC1023" w:rsidRDefault="00E9319D" w:rsidP="00E9319D">
            <w:pPr>
              <w:jc w:val="center"/>
              <w:rPr>
                <w:sz w:val="16"/>
                <w:szCs w:val="16"/>
              </w:rPr>
            </w:pPr>
            <w:r>
              <w:t xml:space="preserve">XGBoost </w:t>
            </w:r>
            <m:oMath>
              <m:r>
                <w:rPr>
                  <w:rFonts w:ascii="Cambria Math" w:hAnsi="Cambria Math"/>
                </w:rPr>
                <m:t>±</m:t>
              </m:r>
            </m:oMath>
          </w:p>
        </w:tc>
        <w:tc>
          <w:tcPr>
            <w:tcW w:w="2003" w:type="dxa"/>
            <w:tcBorders>
              <w:top w:val="single" w:sz="4" w:space="0" w:color="auto"/>
              <w:bottom w:val="single" w:sz="4" w:space="0" w:color="auto"/>
            </w:tcBorders>
          </w:tcPr>
          <w:p w14:paraId="2F52522B" w14:textId="2BCC228B" w:rsidR="00E9319D" w:rsidRPr="00FC1023" w:rsidRDefault="00E9319D" w:rsidP="00E9319D">
            <w:pPr>
              <w:jc w:val="center"/>
              <w:rPr>
                <w:sz w:val="16"/>
                <w:szCs w:val="16"/>
              </w:rPr>
            </w:pPr>
            <w:r>
              <w:t xml:space="preserve">Informer </w:t>
            </w:r>
            <m:oMath>
              <m:r>
                <w:rPr>
                  <w:rFonts w:ascii="Cambria Math" w:hAnsi="Cambria Math"/>
                </w:rPr>
                <m:t>±</m:t>
              </m:r>
            </m:oMath>
          </w:p>
        </w:tc>
        <w:tc>
          <w:tcPr>
            <w:tcW w:w="1670" w:type="dxa"/>
            <w:tcBorders>
              <w:top w:val="single" w:sz="4" w:space="0" w:color="auto"/>
              <w:bottom w:val="single" w:sz="4" w:space="0" w:color="auto"/>
            </w:tcBorders>
          </w:tcPr>
          <w:p w14:paraId="04270CB3" w14:textId="7B7B4C33" w:rsidR="00E9319D" w:rsidRPr="00FC1023" w:rsidRDefault="00E9319D" w:rsidP="00E9319D">
            <w:pPr>
              <w:jc w:val="center"/>
              <w:rPr>
                <w:sz w:val="16"/>
                <w:szCs w:val="16"/>
              </w:rPr>
            </w:pPr>
            <w:r>
              <w:t xml:space="preserve">LSTM </w:t>
            </w:r>
            <m:oMath>
              <m:r>
                <w:rPr>
                  <w:rFonts w:ascii="Cambria Math" w:hAnsi="Cambria Math"/>
                </w:rPr>
                <m:t>±</m:t>
              </m:r>
            </m:oMath>
          </w:p>
        </w:tc>
        <w:tc>
          <w:tcPr>
            <w:tcW w:w="1670" w:type="dxa"/>
            <w:tcBorders>
              <w:top w:val="single" w:sz="4" w:space="0" w:color="auto"/>
              <w:bottom w:val="single" w:sz="4" w:space="0" w:color="auto"/>
            </w:tcBorders>
          </w:tcPr>
          <w:p w14:paraId="6CB6490B" w14:textId="77777777" w:rsidR="00E9319D" w:rsidRPr="00FC1023" w:rsidRDefault="00E9319D" w:rsidP="00E9319D">
            <w:pPr>
              <w:jc w:val="center"/>
              <w:rPr>
                <w:sz w:val="16"/>
                <w:szCs w:val="16"/>
              </w:rPr>
            </w:pPr>
            <w:r>
              <w:t>GRU</w:t>
            </w:r>
          </w:p>
        </w:tc>
      </w:tr>
      <w:tr w:rsidR="00E9319D" w:rsidRPr="00FC1023" w14:paraId="42E62EB3" w14:textId="77777777" w:rsidTr="00E9319D">
        <w:trPr>
          <w:jc w:val="center"/>
        </w:trPr>
        <w:tc>
          <w:tcPr>
            <w:tcW w:w="2207" w:type="dxa"/>
            <w:tcBorders>
              <w:top w:val="single" w:sz="4" w:space="0" w:color="auto"/>
            </w:tcBorders>
          </w:tcPr>
          <w:p w14:paraId="5E381F50" w14:textId="39D667D9" w:rsidR="00E9319D" w:rsidRPr="00FC1023" w:rsidRDefault="00E9319D" w:rsidP="00E9319D">
            <w:pPr>
              <w:jc w:val="center"/>
              <w:rPr>
                <w:sz w:val="16"/>
                <w:szCs w:val="16"/>
              </w:rPr>
            </w:pPr>
            <w:r>
              <w:t>Direction Acc.</w:t>
            </w:r>
          </w:p>
        </w:tc>
        <w:tc>
          <w:tcPr>
            <w:tcW w:w="2280" w:type="dxa"/>
            <w:tcBorders>
              <w:top w:val="single" w:sz="4" w:space="0" w:color="auto"/>
            </w:tcBorders>
          </w:tcPr>
          <w:p w14:paraId="2A162F2F" w14:textId="4461F99B" w:rsidR="00E9319D" w:rsidRPr="00FC1023" w:rsidRDefault="00E9319D" w:rsidP="00E9319D">
            <w:pPr>
              <w:jc w:val="center"/>
              <w:rPr>
                <w:sz w:val="16"/>
                <w:szCs w:val="16"/>
              </w:rPr>
            </w:pPr>
            <w:r>
              <w:t xml:space="preserve">58.4% </w:t>
            </w:r>
            <m:oMath>
              <m:r>
                <w:rPr>
                  <w:rFonts w:ascii="Cambria Math" w:hAnsi="Cambria Math"/>
                </w:rPr>
                <m:t>±</m:t>
              </m:r>
            </m:oMath>
            <w:r>
              <w:t xml:space="preserve"> 2.8%</w:t>
            </w:r>
          </w:p>
        </w:tc>
        <w:tc>
          <w:tcPr>
            <w:tcW w:w="2003" w:type="dxa"/>
            <w:tcBorders>
              <w:top w:val="single" w:sz="4" w:space="0" w:color="auto"/>
            </w:tcBorders>
          </w:tcPr>
          <w:p w14:paraId="301CDFDD" w14:textId="34336E9A" w:rsidR="00E9319D" w:rsidRPr="00FC1023" w:rsidRDefault="00E9319D" w:rsidP="00E9319D">
            <w:pPr>
              <w:jc w:val="center"/>
              <w:rPr>
                <w:sz w:val="16"/>
                <w:szCs w:val="16"/>
              </w:rPr>
            </w:pPr>
            <w:r>
              <w:t xml:space="preserve">64.1% </w:t>
            </w:r>
            <m:oMath>
              <m:r>
                <w:rPr>
                  <w:rFonts w:ascii="Cambria Math" w:hAnsi="Cambria Math"/>
                </w:rPr>
                <m:t>±</m:t>
              </m:r>
            </m:oMath>
            <w:r>
              <w:t xml:space="preserve"> 2.5%</w:t>
            </w:r>
          </w:p>
        </w:tc>
        <w:tc>
          <w:tcPr>
            <w:tcW w:w="1670" w:type="dxa"/>
            <w:tcBorders>
              <w:top w:val="single" w:sz="4" w:space="0" w:color="auto"/>
            </w:tcBorders>
          </w:tcPr>
          <w:p w14:paraId="5EC4E731" w14:textId="6216E873" w:rsidR="00E9319D" w:rsidRPr="00FC1023" w:rsidRDefault="00E9319D" w:rsidP="00E9319D">
            <w:pPr>
              <w:jc w:val="center"/>
              <w:rPr>
                <w:sz w:val="16"/>
                <w:szCs w:val="16"/>
              </w:rPr>
            </w:pPr>
            <w:r>
              <w:t xml:space="preserve">72.3% </w:t>
            </w:r>
            <m:oMath>
              <m:r>
                <w:rPr>
                  <w:rFonts w:ascii="Cambria Math" w:hAnsi="Cambria Math"/>
                </w:rPr>
                <m:t>±</m:t>
              </m:r>
            </m:oMath>
            <w:r>
              <w:t xml:space="preserve"> 1.5%</w:t>
            </w:r>
          </w:p>
        </w:tc>
        <w:tc>
          <w:tcPr>
            <w:tcW w:w="1670" w:type="dxa"/>
            <w:tcBorders>
              <w:top w:val="single" w:sz="4" w:space="0" w:color="auto"/>
            </w:tcBorders>
          </w:tcPr>
          <w:p w14:paraId="281D14B9" w14:textId="77777777" w:rsidR="00E9319D" w:rsidRPr="00FC1023" w:rsidRDefault="00E9319D" w:rsidP="00E9319D">
            <w:pPr>
              <w:jc w:val="center"/>
              <w:rPr>
                <w:sz w:val="16"/>
                <w:szCs w:val="16"/>
              </w:rPr>
            </w:pPr>
            <w:r>
              <w:t>69.8% ± 1.8%</w:t>
            </w:r>
          </w:p>
        </w:tc>
      </w:tr>
      <w:tr w:rsidR="00E9319D" w:rsidRPr="00FC1023" w14:paraId="0D29E54A" w14:textId="77777777" w:rsidTr="00E9319D">
        <w:trPr>
          <w:jc w:val="center"/>
        </w:trPr>
        <w:tc>
          <w:tcPr>
            <w:tcW w:w="2207" w:type="dxa"/>
          </w:tcPr>
          <w:p w14:paraId="139A5216" w14:textId="4F6DCB31" w:rsidR="00E9319D" w:rsidRPr="00FC1023" w:rsidRDefault="00E9319D" w:rsidP="00E9319D">
            <w:pPr>
              <w:jc w:val="center"/>
              <w:rPr>
                <w:sz w:val="16"/>
                <w:szCs w:val="16"/>
              </w:rPr>
            </w:pPr>
            <w:r>
              <w:t>Sharpe Ratio</w:t>
            </w:r>
          </w:p>
        </w:tc>
        <w:tc>
          <w:tcPr>
            <w:tcW w:w="2280" w:type="dxa"/>
          </w:tcPr>
          <w:p w14:paraId="224BCD4B" w14:textId="63CEDBF0" w:rsidR="00E9319D" w:rsidRPr="00FC1023" w:rsidRDefault="00E9319D" w:rsidP="00E9319D">
            <w:pPr>
              <w:jc w:val="center"/>
              <w:rPr>
                <w:sz w:val="16"/>
                <w:szCs w:val="16"/>
              </w:rPr>
            </w:pPr>
            <w:r>
              <w:t xml:space="preserve">0.95 </w:t>
            </w:r>
            <m:oMath>
              <m:r>
                <w:rPr>
                  <w:rFonts w:ascii="Cambria Math" w:hAnsi="Cambria Math"/>
                </w:rPr>
                <m:t>±</m:t>
              </m:r>
            </m:oMath>
            <w:r>
              <w:t xml:space="preserve"> 0.15</w:t>
            </w:r>
          </w:p>
        </w:tc>
        <w:tc>
          <w:tcPr>
            <w:tcW w:w="2003" w:type="dxa"/>
          </w:tcPr>
          <w:p w14:paraId="510F6BAB" w14:textId="1FC87DF7" w:rsidR="00E9319D" w:rsidRPr="00FC1023" w:rsidRDefault="00E9319D" w:rsidP="00E9319D">
            <w:pPr>
              <w:jc w:val="center"/>
              <w:rPr>
                <w:sz w:val="16"/>
                <w:szCs w:val="16"/>
              </w:rPr>
            </w:pPr>
            <w:r>
              <w:t xml:space="preserve">1.12 </w:t>
            </w:r>
            <m:oMath>
              <m:r>
                <w:rPr>
                  <w:rFonts w:ascii="Cambria Math" w:hAnsi="Cambria Math"/>
                </w:rPr>
                <m:t>±</m:t>
              </m:r>
            </m:oMath>
            <w:r>
              <w:t xml:space="preserve"> 0.20</w:t>
            </w:r>
          </w:p>
        </w:tc>
        <w:tc>
          <w:tcPr>
            <w:tcW w:w="1670" w:type="dxa"/>
          </w:tcPr>
          <w:p w14:paraId="57A26C84" w14:textId="03B7BD4D" w:rsidR="00E9319D" w:rsidRPr="00FC1023" w:rsidRDefault="00E9319D" w:rsidP="00E9319D">
            <w:pPr>
              <w:jc w:val="center"/>
              <w:rPr>
                <w:sz w:val="16"/>
                <w:szCs w:val="16"/>
              </w:rPr>
            </w:pPr>
            <w:r>
              <w:t xml:space="preserve">1.45 </w:t>
            </w:r>
            <m:oMath>
              <m:r>
                <w:rPr>
                  <w:rFonts w:ascii="Cambria Math" w:hAnsi="Cambria Math"/>
                </w:rPr>
                <m:t>±</m:t>
              </m:r>
            </m:oMath>
            <w:r>
              <w:t xml:space="preserve"> 0.10</w:t>
            </w:r>
          </w:p>
        </w:tc>
        <w:tc>
          <w:tcPr>
            <w:tcW w:w="1670" w:type="dxa"/>
          </w:tcPr>
          <w:p w14:paraId="7EB0BC12" w14:textId="77777777" w:rsidR="00E9319D" w:rsidRPr="00FC1023" w:rsidRDefault="00E9319D" w:rsidP="00E9319D">
            <w:pPr>
              <w:jc w:val="center"/>
              <w:rPr>
                <w:sz w:val="16"/>
                <w:szCs w:val="16"/>
              </w:rPr>
            </w:pPr>
            <w:r>
              <w:t>1.32 ± 0.12</w:t>
            </w:r>
          </w:p>
        </w:tc>
      </w:tr>
      <w:tr w:rsidR="00E9319D" w:rsidRPr="00FC1023" w14:paraId="5EEB8095" w14:textId="77777777" w:rsidTr="00E9319D">
        <w:trPr>
          <w:jc w:val="center"/>
        </w:trPr>
        <w:tc>
          <w:tcPr>
            <w:tcW w:w="2207" w:type="dxa"/>
          </w:tcPr>
          <w:p w14:paraId="1B4DF97D" w14:textId="10924B2C" w:rsidR="00E9319D" w:rsidRPr="00FC1023" w:rsidRDefault="00E9319D" w:rsidP="00E9319D">
            <w:pPr>
              <w:jc w:val="center"/>
              <w:rPr>
                <w:sz w:val="16"/>
                <w:szCs w:val="16"/>
              </w:rPr>
            </w:pPr>
            <w:r>
              <w:t>VaR (95%) Limit</w:t>
            </w:r>
          </w:p>
        </w:tc>
        <w:tc>
          <w:tcPr>
            <w:tcW w:w="2280" w:type="dxa"/>
          </w:tcPr>
          <w:p w14:paraId="1968ED54" w14:textId="740B7258" w:rsidR="00E9319D" w:rsidRPr="00FC1023" w:rsidRDefault="00E9319D" w:rsidP="00E9319D">
            <w:pPr>
              <w:jc w:val="center"/>
              <w:rPr>
                <w:sz w:val="16"/>
                <w:szCs w:val="16"/>
              </w:rPr>
            </w:pPr>
            <w:r>
              <w:t xml:space="preserve">-4.10% </w:t>
            </w:r>
            <m:oMath>
              <m:r>
                <w:rPr>
                  <w:rFonts w:ascii="Cambria Math" w:hAnsi="Cambria Math"/>
                </w:rPr>
                <m:t>±</m:t>
              </m:r>
            </m:oMath>
            <w:r>
              <w:t xml:space="preserve"> 0.5%</w:t>
            </w:r>
          </w:p>
        </w:tc>
        <w:tc>
          <w:tcPr>
            <w:tcW w:w="2003" w:type="dxa"/>
          </w:tcPr>
          <w:p w14:paraId="69657CD7" w14:textId="1E17F82D" w:rsidR="00E9319D" w:rsidRPr="00FC1023" w:rsidRDefault="00E9319D" w:rsidP="00E9319D">
            <w:pPr>
              <w:jc w:val="center"/>
              <w:rPr>
                <w:sz w:val="16"/>
                <w:szCs w:val="16"/>
              </w:rPr>
            </w:pPr>
            <w:r>
              <w:t xml:space="preserve">-3.15% </w:t>
            </w:r>
            <m:oMath>
              <m:r>
                <w:rPr>
                  <w:rFonts w:ascii="Cambria Math" w:hAnsi="Cambria Math"/>
                </w:rPr>
                <m:t>±</m:t>
              </m:r>
            </m:oMath>
            <w:r>
              <w:t xml:space="preserve"> 0.6%</w:t>
            </w:r>
          </w:p>
        </w:tc>
        <w:tc>
          <w:tcPr>
            <w:tcW w:w="1670" w:type="dxa"/>
          </w:tcPr>
          <w:p w14:paraId="75732F53" w14:textId="737AB6C2" w:rsidR="00E9319D" w:rsidRPr="00FC1023" w:rsidRDefault="00E9319D" w:rsidP="00E9319D">
            <w:pPr>
              <w:jc w:val="center"/>
              <w:rPr>
                <w:sz w:val="16"/>
                <w:szCs w:val="16"/>
              </w:rPr>
            </w:pPr>
            <w:r>
              <w:t xml:space="preserve">-2.34% </w:t>
            </w:r>
            <m:oMath>
              <m:r>
                <w:rPr>
                  <w:rFonts w:ascii="Cambria Math" w:hAnsi="Cambria Math"/>
                </w:rPr>
                <m:t>±</m:t>
              </m:r>
            </m:oMath>
            <w:r>
              <w:t xml:space="preserve"> 0.2%</w:t>
            </w:r>
          </w:p>
        </w:tc>
        <w:tc>
          <w:tcPr>
            <w:tcW w:w="1670" w:type="dxa"/>
          </w:tcPr>
          <w:p w14:paraId="5D2BE796" w14:textId="77777777" w:rsidR="00E9319D" w:rsidRPr="00FC1023" w:rsidRDefault="00E9319D" w:rsidP="00E9319D">
            <w:pPr>
              <w:jc w:val="center"/>
              <w:rPr>
                <w:sz w:val="16"/>
                <w:szCs w:val="16"/>
              </w:rPr>
            </w:pPr>
            <w:r>
              <w:t>-2.89% ± 0.3%</w:t>
            </w:r>
          </w:p>
        </w:tc>
      </w:tr>
    </w:tbl>
    <w:p w14:paraId="7E4231DD" w14:textId="77777777" w:rsidR="00942670" w:rsidRDefault="00942670" w:rsidP="00942670">
      <w:pPr>
        <w:spacing w:after="60"/>
        <w:ind w:firstLine="216"/>
        <w:jc w:val="both"/>
      </w:pPr>
    </w:p>
    <w:p w14:paraId="5F2A0B4D" w14:textId="012B698E" w:rsidR="00BF1BB2" w:rsidRPr="00FC1023" w:rsidRDefault="00BF1BB2" w:rsidP="00BF1BB2">
      <w:pPr>
        <w:rPr>
          <w:b/>
          <w:bCs/>
        </w:rPr>
      </w:pPr>
      <w:r>
        <w:rPr>
          <w:b/>
        </w:rPr>
        <w:t>3.4.  Discussion</w:t>
      </w:r>
    </w:p>
    <w:p w14:paraId="0706F040" w14:textId="385974C7" w:rsidR="00332AC9" w:rsidRPr="00FC1023" w:rsidRDefault="00332AC9" w:rsidP="00332AC9">
      <w:pPr>
        <w:rPr>
          <w:b/>
          <w:bCs/>
        </w:rPr>
      </w:pPr>
      <w:r>
        <w:rPr>
          <w:b/>
        </w:rPr>
        <w:t>3.4.1.  Theoretical Justification for GRU Superiority in Short-Horizon Forecasting</w:t>
      </w:r>
    </w:p>
    <w:p w14:paraId="04AF1E7F" w14:textId="77777777" w:rsidR="00C14E45" w:rsidRDefault="00C14E45" w:rsidP="00332AC9">
      <w:pPr>
        <w:spacing w:after="60"/>
        <w:ind w:firstLine="216"/>
        <w:jc w:val="both"/>
      </w:pPr>
      <w:r>
        <w:lastRenderedPageBreak/>
        <w:t>GRU’s outperformance over Informer and XGBoost reflects its inductive bias toward short-lag causal dependencies. Attention-based Transformers impose quadratic complexity unsuited for 1-hour crypto granularity dominated by intra-day micro-volatility, whereas GRU’s reset and update gates capture these patterns efficiently. This finding aligns with prior studies [24], [25] confirming that recurrent gating mechanisms retain a practical advantage over attention-based architectures in high-frequency, noisy financial regimes. Table 3 presents a comparative benchmarking of our results against published literature, confirming that the proposed framework achieves competitive or superior performance on both error and directional accuracy metrics.</w:t>
      </w:r>
    </w:p>
    <w:p w14:paraId="048D7026" w14:textId="77777777" w:rsidR="00C14E45" w:rsidRDefault="00C14E45" w:rsidP="00332AC9">
      <w:pPr>
        <w:spacing w:after="60"/>
        <w:ind w:firstLine="216"/>
        <w:jc w:val="both"/>
      </w:pPr>
    </w:p>
    <w:p w14:paraId="58E42CF5" w14:textId="4E996F92" w:rsidR="00C14E45" w:rsidRPr="00FC1023" w:rsidRDefault="00C14E45" w:rsidP="00C14E45">
      <w:pPr>
        <w:jc w:val="center"/>
      </w:pPr>
      <w:r>
        <w:t>Table 3. Comparative Benchmarking Against Published Literature</w:t>
      </w:r>
    </w:p>
    <w:tbl>
      <w:tblPr>
        <w:tblStyle w:val="TableGrid"/>
        <w:tblW w:type="auto" w:w="0"/>
        <w:tblLook w:firstColumn="1" w:firstRow="1" w:lastColumn="0" w:lastRow="0" w:noHBand="0" w:noVBand="1" w:val="04A0"/>
      </w:tblPr>
      <w:tblGrid>
        <w:gridCol w:w="1098"/>
        <w:gridCol w:w="1098"/>
        <w:gridCol w:w="1098"/>
        <w:gridCol w:w="1098"/>
        <w:gridCol w:w="1098"/>
        <w:gridCol w:w="1098"/>
        <w:gridCol w:w="1098"/>
        <w:gridCol w:w="1098"/>
      </w:tblGrid>
      <w:tr>
        <w:tc>
          <w:tcPr>
            <w:tcW w:type="dxa" w:w="2160"/>
          </w:tcPr>
          <w:p>
            <w:pPr>
              <w:jc w:val="center"/>
            </w:pPr>
            <w:r>
              <w:rPr>
                <w:rFonts w:ascii="Times New Roman" w:hAnsi="Times New Roman"/>
                <w:b/>
                <w:sz w:val="15"/>
              </w:rPr>
              <w:t>Study</w:t>
            </w:r>
          </w:p>
        </w:tc>
        <w:tc>
          <w:tcPr>
            <w:tcW w:type="dxa" w:w="1296"/>
          </w:tcPr>
          <w:p>
            <w:pPr>
              <w:jc w:val="center"/>
            </w:pPr>
            <w:r>
              <w:rPr>
                <w:rFonts w:ascii="Times New Roman" w:hAnsi="Times New Roman"/>
                <w:b/>
                <w:sz w:val="15"/>
              </w:rPr>
              <w:t>Model</w:t>
            </w:r>
          </w:p>
        </w:tc>
        <w:tc>
          <w:tcPr>
            <w:tcW w:type="dxa" w:w="1728"/>
          </w:tcPr>
          <w:p>
            <w:pPr>
              <w:jc w:val="center"/>
            </w:pPr>
            <w:r>
              <w:rPr>
                <w:rFonts w:ascii="Times New Roman" w:hAnsi="Times New Roman"/>
                <w:b/>
                <w:sz w:val="15"/>
              </w:rPr>
              <w:t>Asset / Interval</w:t>
            </w:r>
          </w:p>
        </w:tc>
        <w:tc>
          <w:tcPr>
            <w:tcW w:type="dxa" w:w="1872"/>
          </w:tcPr>
          <w:p>
            <w:pPr>
              <w:jc w:val="center"/>
            </w:pPr>
            <w:r>
              <w:rPr>
                <w:rFonts w:ascii="Times New Roman" w:hAnsi="Times New Roman"/>
                <w:b/>
                <w:sz w:val="15"/>
              </w:rPr>
              <w:t>Validation Protocol</w:t>
            </w:r>
          </w:p>
        </w:tc>
        <w:tc>
          <w:tcPr>
            <w:tcW w:type="dxa" w:w="1440"/>
          </w:tcPr>
          <w:p>
            <w:pPr>
              <w:jc w:val="center"/>
            </w:pPr>
            <w:r>
              <w:rPr>
                <w:rFonts w:ascii="Times New Roman" w:hAnsi="Times New Roman"/>
                <w:b/>
                <w:sz w:val="15"/>
              </w:rPr>
              <w:t>RMSE (norm.)</w:t>
            </w:r>
          </w:p>
        </w:tc>
        <w:tc>
          <w:tcPr>
            <w:tcW w:type="dxa" w:w="1008"/>
          </w:tcPr>
          <w:p>
            <w:pPr>
              <w:jc w:val="center"/>
            </w:pPr>
            <w:r>
              <w:rPr>
                <w:rFonts w:ascii="Times New Roman" w:hAnsi="Times New Roman"/>
                <w:b/>
                <w:sz w:val="15"/>
              </w:rPr>
              <w:t>Dir. Acc.</w:t>
            </w:r>
          </w:p>
        </w:tc>
        <w:tc>
          <w:tcPr>
            <w:tcW w:type="dxa" w:w="1008"/>
          </w:tcPr>
          <w:p>
            <w:pPr>
              <w:jc w:val="center"/>
            </w:pPr>
            <w:r>
              <w:rPr>
                <w:rFonts w:ascii="Times New Roman" w:hAnsi="Times New Roman"/>
                <w:b/>
                <w:sz w:val="15"/>
              </w:rPr>
              <w:t>Sharpe</w:t>
            </w:r>
          </w:p>
        </w:tc>
        <w:tc>
          <w:tcPr>
            <w:tcW w:type="dxa" w:w="2160"/>
          </w:tcPr>
          <w:p>
            <w:pPr>
              <w:jc w:val="center"/>
            </w:pPr>
            <w:r>
              <w:rPr>
                <w:rFonts w:ascii="Times New Roman" w:hAnsi="Times New Roman"/>
                <w:b/>
                <w:sz w:val="15"/>
              </w:rPr>
              <w:t>BI/DSS Integration</w:t>
            </w:r>
          </w:p>
        </w:tc>
      </w:tr>
      <w:tr>
        <w:tc>
          <w:tcPr>
            <w:tcW w:type="dxa" w:w="2160"/>
          </w:tcPr>
          <w:p>
            <w:pPr>
              <w:jc w:val="center"/>
            </w:pPr>
            <w:r>
              <w:rPr>
                <w:rFonts w:ascii="Times New Roman" w:hAnsi="Times New Roman"/>
                <w:sz w:val="15"/>
              </w:rPr>
              <w:t>Chen et al. [17] (2020)</w:t>
            </w:r>
          </w:p>
        </w:tc>
        <w:tc>
          <w:tcPr>
            <w:tcW w:type="dxa" w:w="1296"/>
          </w:tcPr>
          <w:p>
            <w:pPr>
              <w:jc w:val="center"/>
            </w:pPr>
            <w:r>
              <w:rPr>
                <w:rFonts w:ascii="Times New Roman" w:hAnsi="Times New Roman"/>
                <w:sz w:val="15"/>
              </w:rPr>
              <w:t>LSTM</w:t>
            </w:r>
          </w:p>
        </w:tc>
        <w:tc>
          <w:tcPr>
            <w:tcW w:type="dxa" w:w="1728"/>
          </w:tcPr>
          <w:p>
            <w:pPr>
              <w:jc w:val="center"/>
            </w:pPr>
            <w:r>
              <w:rPr>
                <w:rFonts w:ascii="Times New Roman" w:hAnsi="Times New Roman"/>
                <w:sz w:val="15"/>
              </w:rPr>
              <w:t>BTC / Daily</w:t>
            </w:r>
          </w:p>
        </w:tc>
        <w:tc>
          <w:tcPr>
            <w:tcW w:type="dxa" w:w="1872"/>
          </w:tcPr>
          <w:p>
            <w:pPr>
              <w:jc w:val="center"/>
            </w:pPr>
            <w:r>
              <w:rPr>
                <w:rFonts w:ascii="Times New Roman" w:hAnsi="Times New Roman"/>
                <w:sz w:val="15"/>
              </w:rPr>
              <w:t>Static split (80/20)</w:t>
            </w:r>
          </w:p>
        </w:tc>
        <w:tc>
          <w:tcPr>
            <w:tcW w:type="dxa" w:w="1440"/>
          </w:tcPr>
          <w:p>
            <w:pPr>
              <w:jc w:val="center"/>
            </w:pPr>
            <w:r>
              <w:rPr>
                <w:rFonts w:ascii="Times New Roman" w:hAnsi="Times New Roman"/>
                <w:sz w:val="15"/>
              </w:rPr>
              <w:t>0.18–0.25</w:t>
            </w:r>
          </w:p>
        </w:tc>
        <w:tc>
          <w:tcPr>
            <w:tcW w:type="dxa" w:w="1008"/>
          </w:tcPr>
          <w:p>
            <w:pPr>
              <w:jc w:val="center"/>
            </w:pPr>
            <w:r>
              <w:rPr>
                <w:rFonts w:ascii="Times New Roman" w:hAnsi="Times New Roman"/>
                <w:sz w:val="15"/>
              </w:rPr>
              <w:t>62–68%</w:t>
            </w:r>
          </w:p>
        </w:tc>
        <w:tc>
          <w:tcPr>
            <w:tcW w:type="dxa" w:w="1008"/>
          </w:tcPr>
          <w:p>
            <w:pPr>
              <w:jc w:val="center"/>
            </w:pPr>
            <w:r>
              <w:rPr>
                <w:rFonts w:ascii="Times New Roman" w:hAnsi="Times New Roman"/>
                <w:sz w:val="15"/>
              </w:rPr>
              <w:t>N/R</w:t>
            </w:r>
          </w:p>
        </w:tc>
        <w:tc>
          <w:tcPr>
            <w:tcW w:type="dxa" w:w="2160"/>
          </w:tcPr>
          <w:p>
            <w:pPr>
              <w:jc w:val="center"/>
            </w:pPr>
            <w:r>
              <w:rPr>
                <w:rFonts w:ascii="Times New Roman" w:hAnsi="Times New Roman"/>
                <w:sz w:val="15"/>
              </w:rPr>
              <w:t>None</w:t>
            </w:r>
          </w:p>
        </w:tc>
      </w:tr>
      <w:tr>
        <w:tc>
          <w:tcPr>
            <w:tcW w:type="dxa" w:w="2160"/>
          </w:tcPr>
          <w:p>
            <w:pPr>
              <w:jc w:val="center"/>
            </w:pPr>
            <w:r>
              <w:rPr>
                <w:rFonts w:ascii="Times New Roman" w:hAnsi="Times New Roman"/>
                <w:sz w:val="15"/>
              </w:rPr>
              <w:t>Livieris et al. [37] (2024)</w:t>
            </w:r>
          </w:p>
        </w:tc>
        <w:tc>
          <w:tcPr>
            <w:tcW w:type="dxa" w:w="1296"/>
          </w:tcPr>
          <w:p>
            <w:pPr>
              <w:jc w:val="center"/>
            </w:pPr>
            <w:r>
              <w:rPr>
                <w:rFonts w:ascii="Times New Roman" w:hAnsi="Times New Roman"/>
                <w:sz w:val="15"/>
              </w:rPr>
              <w:t>CNN-LSTM</w:t>
            </w:r>
          </w:p>
        </w:tc>
        <w:tc>
          <w:tcPr>
            <w:tcW w:type="dxa" w:w="1728"/>
          </w:tcPr>
          <w:p>
            <w:pPr>
              <w:jc w:val="center"/>
            </w:pPr>
            <w:r>
              <w:rPr>
                <w:rFonts w:ascii="Times New Roman" w:hAnsi="Times New Roman"/>
                <w:sz w:val="15"/>
              </w:rPr>
              <w:t>BTC / 1-hour</w:t>
            </w:r>
          </w:p>
        </w:tc>
        <w:tc>
          <w:tcPr>
            <w:tcW w:type="dxa" w:w="1872"/>
          </w:tcPr>
          <w:p>
            <w:pPr>
              <w:jc w:val="center"/>
            </w:pPr>
            <w:r>
              <w:rPr>
                <w:rFonts w:ascii="Times New Roman" w:hAnsi="Times New Roman"/>
                <w:sz w:val="15"/>
              </w:rPr>
              <w:t>Static split</w:t>
            </w:r>
          </w:p>
        </w:tc>
        <w:tc>
          <w:tcPr>
            <w:tcW w:type="dxa" w:w="1440"/>
          </w:tcPr>
          <w:p>
            <w:pPr>
              <w:jc w:val="center"/>
            </w:pPr>
            <w:r>
              <w:rPr>
                <w:rFonts w:ascii="Times New Roman" w:hAnsi="Times New Roman"/>
                <w:sz w:val="15"/>
              </w:rPr>
              <w:t>0.14–0.17</w:t>
            </w:r>
          </w:p>
        </w:tc>
        <w:tc>
          <w:tcPr>
            <w:tcW w:type="dxa" w:w="1008"/>
          </w:tcPr>
          <w:p>
            <w:pPr>
              <w:jc w:val="center"/>
            </w:pPr>
            <w:r>
              <w:rPr>
                <w:rFonts w:ascii="Times New Roman" w:hAnsi="Times New Roman"/>
                <w:sz w:val="15"/>
              </w:rPr>
              <w:t>N/R</w:t>
            </w:r>
          </w:p>
        </w:tc>
        <w:tc>
          <w:tcPr>
            <w:tcW w:type="dxa" w:w="1008"/>
          </w:tcPr>
          <w:p>
            <w:pPr>
              <w:jc w:val="center"/>
            </w:pPr>
            <w:r>
              <w:rPr>
                <w:rFonts w:ascii="Times New Roman" w:hAnsi="Times New Roman"/>
                <w:sz w:val="15"/>
              </w:rPr>
              <w:t>N/R</w:t>
            </w:r>
          </w:p>
        </w:tc>
        <w:tc>
          <w:tcPr>
            <w:tcW w:type="dxa" w:w="2160"/>
          </w:tcPr>
          <w:p>
            <w:pPr>
              <w:jc w:val="center"/>
            </w:pPr>
            <w:r>
              <w:rPr>
                <w:rFonts w:ascii="Times New Roman" w:hAnsi="Times New Roman"/>
                <w:sz w:val="15"/>
              </w:rPr>
              <w:t>None</w:t>
            </w:r>
          </w:p>
        </w:tc>
      </w:tr>
      <w:tr>
        <w:tc>
          <w:tcPr>
            <w:tcW w:type="dxa" w:w="2160"/>
          </w:tcPr>
          <w:p>
            <w:pPr>
              <w:jc w:val="center"/>
            </w:pPr>
            <w:r>
              <w:rPr>
                <w:rFonts w:ascii="Times New Roman" w:hAnsi="Times New Roman"/>
                <w:sz w:val="15"/>
              </w:rPr>
              <w:t>Baqee et al. [25] (2024)</w:t>
            </w:r>
          </w:p>
        </w:tc>
        <w:tc>
          <w:tcPr>
            <w:tcW w:type="dxa" w:w="1296"/>
          </w:tcPr>
          <w:p>
            <w:pPr>
              <w:jc w:val="center"/>
            </w:pPr>
            <w:r>
              <w:rPr>
                <w:rFonts w:ascii="Times New Roman" w:hAnsi="Times New Roman"/>
                <w:sz w:val="15"/>
              </w:rPr>
              <w:t>Transformer</w:t>
            </w:r>
          </w:p>
        </w:tc>
        <w:tc>
          <w:tcPr>
            <w:tcW w:type="dxa" w:w="1728"/>
          </w:tcPr>
          <w:p>
            <w:pPr>
              <w:jc w:val="center"/>
            </w:pPr>
            <w:r>
              <w:rPr>
                <w:rFonts w:ascii="Times New Roman" w:hAnsi="Times New Roman"/>
                <w:sz w:val="15"/>
              </w:rPr>
              <w:t>BTC / Daily</w:t>
            </w:r>
          </w:p>
        </w:tc>
        <w:tc>
          <w:tcPr>
            <w:tcW w:type="dxa" w:w="1872"/>
          </w:tcPr>
          <w:p>
            <w:pPr>
              <w:jc w:val="center"/>
            </w:pPr>
            <w:r>
              <w:rPr>
                <w:rFonts w:ascii="Times New Roman" w:hAnsi="Times New Roman"/>
                <w:sz w:val="15"/>
              </w:rPr>
              <w:t>Static split</w:t>
            </w:r>
          </w:p>
        </w:tc>
        <w:tc>
          <w:tcPr>
            <w:tcW w:type="dxa" w:w="1440"/>
          </w:tcPr>
          <w:p>
            <w:pPr>
              <w:jc w:val="center"/>
            </w:pPr>
            <w:r>
              <w:rPr>
                <w:rFonts w:ascii="Times New Roman" w:hAnsi="Times New Roman"/>
                <w:sz w:val="15"/>
              </w:rPr>
              <w:t>0.156</w:t>
            </w:r>
          </w:p>
        </w:tc>
        <w:tc>
          <w:tcPr>
            <w:tcW w:type="dxa" w:w="1008"/>
          </w:tcPr>
          <w:p>
            <w:pPr>
              <w:jc w:val="center"/>
            </w:pPr>
            <w:r>
              <w:rPr>
                <w:rFonts w:ascii="Times New Roman" w:hAnsi="Times New Roman"/>
                <w:sz w:val="15"/>
              </w:rPr>
              <w:t>65.2%</w:t>
            </w:r>
          </w:p>
        </w:tc>
        <w:tc>
          <w:tcPr>
            <w:tcW w:type="dxa" w:w="1008"/>
          </w:tcPr>
          <w:p>
            <w:pPr>
              <w:jc w:val="center"/>
            </w:pPr>
            <w:r>
              <w:rPr>
                <w:rFonts w:ascii="Times New Roman" w:hAnsi="Times New Roman"/>
                <w:sz w:val="15"/>
              </w:rPr>
              <w:t>N/R</w:t>
            </w:r>
          </w:p>
        </w:tc>
        <w:tc>
          <w:tcPr>
            <w:tcW w:type="dxa" w:w="2160"/>
          </w:tcPr>
          <w:p>
            <w:pPr>
              <w:jc w:val="center"/>
            </w:pPr>
            <w:r>
              <w:rPr>
                <w:rFonts w:ascii="Times New Roman" w:hAnsi="Times New Roman"/>
                <w:sz w:val="15"/>
              </w:rPr>
              <w:t>None</w:t>
            </w:r>
          </w:p>
        </w:tc>
      </w:tr>
      <w:tr>
        <w:tc>
          <w:tcPr>
            <w:tcW w:type="dxa" w:w="2160"/>
          </w:tcPr>
          <w:p>
            <w:pPr>
              <w:jc w:val="center"/>
            </w:pPr>
            <w:r>
              <w:rPr>
                <w:rFonts w:ascii="Times New Roman" w:hAnsi="Times New Roman"/>
                <w:sz w:val="15"/>
              </w:rPr>
              <w:t>Zheng et al. [13] (2019)</w:t>
            </w:r>
          </w:p>
        </w:tc>
        <w:tc>
          <w:tcPr>
            <w:tcW w:type="dxa" w:w="1296"/>
          </w:tcPr>
          <w:p>
            <w:pPr>
              <w:jc w:val="center"/>
            </w:pPr>
            <w:r>
              <w:rPr>
                <w:rFonts w:ascii="Times New Roman" w:hAnsi="Times New Roman"/>
                <w:sz w:val="15"/>
              </w:rPr>
              <w:t>LSTM + XGB</w:t>
            </w:r>
          </w:p>
        </w:tc>
        <w:tc>
          <w:tcPr>
            <w:tcW w:type="dxa" w:w="1728"/>
          </w:tcPr>
          <w:p>
            <w:pPr>
              <w:jc w:val="center"/>
            </w:pPr>
            <w:r>
              <w:rPr>
                <w:rFonts w:ascii="Times New Roman" w:hAnsi="Times New Roman"/>
                <w:sz w:val="15"/>
              </w:rPr>
              <w:t>BTC / Daily</w:t>
            </w:r>
          </w:p>
        </w:tc>
        <w:tc>
          <w:tcPr>
            <w:tcW w:type="dxa" w:w="1872"/>
          </w:tcPr>
          <w:p>
            <w:pPr>
              <w:jc w:val="center"/>
            </w:pPr>
            <w:r>
              <w:rPr>
                <w:rFonts w:ascii="Times New Roman" w:hAnsi="Times New Roman"/>
                <w:sz w:val="15"/>
              </w:rPr>
              <w:t>k-fold CV</w:t>
            </w:r>
          </w:p>
        </w:tc>
        <w:tc>
          <w:tcPr>
            <w:tcW w:type="dxa" w:w="1440"/>
          </w:tcPr>
          <w:p>
            <w:pPr>
              <w:jc w:val="center"/>
            </w:pPr>
            <w:r>
              <w:rPr>
                <w:rFonts w:ascii="Times New Roman" w:hAnsi="Times New Roman"/>
                <w:sz w:val="15"/>
              </w:rPr>
              <w:t>0.190</w:t>
            </w:r>
          </w:p>
        </w:tc>
        <w:tc>
          <w:tcPr>
            <w:tcW w:type="dxa" w:w="1008"/>
          </w:tcPr>
          <w:p>
            <w:pPr>
              <w:jc w:val="center"/>
            </w:pPr>
            <w:r>
              <w:rPr>
                <w:rFonts w:ascii="Times New Roman" w:hAnsi="Times New Roman"/>
                <w:sz w:val="15"/>
              </w:rPr>
              <w:t>61.4%</w:t>
            </w:r>
          </w:p>
        </w:tc>
        <w:tc>
          <w:tcPr>
            <w:tcW w:type="dxa" w:w="1008"/>
          </w:tcPr>
          <w:p>
            <w:pPr>
              <w:jc w:val="center"/>
            </w:pPr>
            <w:r>
              <w:rPr>
                <w:rFonts w:ascii="Times New Roman" w:hAnsi="Times New Roman"/>
                <w:sz w:val="15"/>
              </w:rPr>
              <w:t>N/R</w:t>
            </w:r>
          </w:p>
        </w:tc>
        <w:tc>
          <w:tcPr>
            <w:tcW w:type="dxa" w:w="2160"/>
          </w:tcPr>
          <w:p>
            <w:pPr>
              <w:jc w:val="center"/>
            </w:pPr>
            <w:r>
              <w:rPr>
                <w:rFonts w:ascii="Times New Roman" w:hAnsi="Times New Roman"/>
                <w:sz w:val="15"/>
              </w:rPr>
              <w:t>None</w:t>
            </w:r>
          </w:p>
        </w:tc>
      </w:tr>
      <w:tr>
        <w:tc>
          <w:tcPr>
            <w:tcW w:type="dxa" w:w="2160"/>
          </w:tcPr>
          <w:p>
            <w:pPr>
              <w:jc w:val="center"/>
            </w:pPr>
            <w:r>
              <w:rPr>
                <w:rFonts w:ascii="Times New Roman" w:hAnsi="Times New Roman"/>
                <w:sz w:val="15"/>
              </w:rPr>
              <w:t>Krauss et al. [11] (2017)</w:t>
            </w:r>
          </w:p>
        </w:tc>
        <w:tc>
          <w:tcPr>
            <w:tcW w:type="dxa" w:w="1296"/>
          </w:tcPr>
          <w:p>
            <w:pPr>
              <w:jc w:val="center"/>
            </w:pPr>
            <w:r>
              <w:rPr>
                <w:rFonts w:ascii="Times New Roman" w:hAnsi="Times New Roman"/>
                <w:sz w:val="15"/>
              </w:rPr>
              <w:t>XGBoost</w:t>
            </w:r>
          </w:p>
        </w:tc>
        <w:tc>
          <w:tcPr>
            <w:tcW w:type="dxa" w:w="1728"/>
          </w:tcPr>
          <w:p>
            <w:pPr>
              <w:jc w:val="center"/>
            </w:pPr>
            <w:r>
              <w:rPr>
                <w:rFonts w:ascii="Times New Roman" w:hAnsi="Times New Roman"/>
                <w:sz w:val="15"/>
              </w:rPr>
              <w:t>S&amp;P 500 / Daily</w:t>
            </w:r>
          </w:p>
        </w:tc>
        <w:tc>
          <w:tcPr>
            <w:tcW w:type="dxa" w:w="1872"/>
          </w:tcPr>
          <w:p>
            <w:pPr>
              <w:jc w:val="center"/>
            </w:pPr>
            <w:r>
              <w:rPr>
                <w:rFonts w:ascii="Times New Roman" w:hAnsi="Times New Roman"/>
                <w:sz w:val="15"/>
              </w:rPr>
              <w:t>Rolling window</w:t>
            </w:r>
          </w:p>
        </w:tc>
        <w:tc>
          <w:tcPr>
            <w:tcW w:type="dxa" w:w="1440"/>
          </w:tcPr>
          <w:p>
            <w:pPr>
              <w:jc w:val="center"/>
            </w:pPr>
            <w:r>
              <w:rPr>
                <w:rFonts w:ascii="Times New Roman" w:hAnsi="Times New Roman"/>
                <w:sz w:val="15"/>
              </w:rPr>
              <w:t>0.210</w:t>
            </w:r>
          </w:p>
        </w:tc>
        <w:tc>
          <w:tcPr>
            <w:tcW w:type="dxa" w:w="1008"/>
          </w:tcPr>
          <w:p>
            <w:pPr>
              <w:jc w:val="center"/>
            </w:pPr>
            <w:r>
              <w:rPr>
                <w:rFonts w:ascii="Times New Roman" w:hAnsi="Times New Roman"/>
                <w:sz w:val="15"/>
              </w:rPr>
              <w:t>58.9%</w:t>
            </w:r>
          </w:p>
        </w:tc>
        <w:tc>
          <w:tcPr>
            <w:tcW w:type="dxa" w:w="1008"/>
          </w:tcPr>
          <w:p>
            <w:pPr>
              <w:jc w:val="center"/>
            </w:pPr>
            <w:r>
              <w:rPr>
                <w:rFonts w:ascii="Times New Roman" w:hAnsi="Times New Roman"/>
                <w:sz w:val="15"/>
              </w:rPr>
              <w:t>1.05</w:t>
            </w:r>
          </w:p>
        </w:tc>
        <w:tc>
          <w:tcPr>
            <w:tcW w:type="dxa" w:w="2160"/>
          </w:tcPr>
          <w:p>
            <w:pPr>
              <w:jc w:val="center"/>
            </w:pPr>
            <w:r>
              <w:rPr>
                <w:rFonts w:ascii="Times New Roman" w:hAnsi="Times New Roman"/>
                <w:sz w:val="15"/>
              </w:rPr>
              <w:t>None</w:t>
            </w:r>
          </w:p>
        </w:tc>
      </w:tr>
      <w:tr>
        <w:tc>
          <w:tcPr>
            <w:tcW w:type="dxa" w:w="2160"/>
          </w:tcPr>
          <w:p>
            <w:pPr>
              <w:jc w:val="center"/>
            </w:pPr>
            <w:r>
              <w:rPr>
                <w:rFonts w:ascii="Times New Roman" w:hAnsi="Times New Roman"/>
                <w:sz w:val="15"/>
              </w:rPr>
              <w:t>Nguyen et al. [26] (2023)</w:t>
            </w:r>
          </w:p>
        </w:tc>
        <w:tc>
          <w:tcPr>
            <w:tcW w:type="dxa" w:w="1296"/>
          </w:tcPr>
          <w:p>
            <w:pPr>
              <w:jc w:val="center"/>
            </w:pPr>
            <w:r>
              <w:rPr>
                <w:rFonts w:ascii="Times New Roman" w:hAnsi="Times New Roman"/>
                <w:sz w:val="15"/>
              </w:rPr>
              <w:t>LSTM</w:t>
            </w:r>
          </w:p>
        </w:tc>
        <w:tc>
          <w:tcPr>
            <w:tcW w:type="dxa" w:w="1728"/>
          </w:tcPr>
          <w:p>
            <w:pPr>
              <w:jc w:val="center"/>
            </w:pPr>
            <w:r>
              <w:rPr>
                <w:rFonts w:ascii="Times New Roman" w:hAnsi="Times New Roman"/>
                <w:sz w:val="15"/>
              </w:rPr>
              <w:t>Multi-crypto / 1-hour</w:t>
            </w:r>
          </w:p>
        </w:tc>
        <w:tc>
          <w:tcPr>
            <w:tcW w:type="dxa" w:w="1872"/>
          </w:tcPr>
          <w:p>
            <w:pPr>
              <w:jc w:val="center"/>
            </w:pPr>
            <w:r>
              <w:rPr>
                <w:rFonts w:ascii="Times New Roman" w:hAnsi="Times New Roman"/>
                <w:sz w:val="15"/>
              </w:rPr>
              <w:t>Static split</w:t>
            </w:r>
          </w:p>
        </w:tc>
        <w:tc>
          <w:tcPr>
            <w:tcW w:type="dxa" w:w="1440"/>
          </w:tcPr>
          <w:p>
            <w:pPr>
              <w:jc w:val="center"/>
            </w:pPr>
            <w:r>
              <w:rPr>
                <w:rFonts w:ascii="Times New Roman" w:hAnsi="Times New Roman"/>
                <w:sz w:val="15"/>
              </w:rPr>
              <w:t>0.162</w:t>
            </w:r>
          </w:p>
        </w:tc>
        <w:tc>
          <w:tcPr>
            <w:tcW w:type="dxa" w:w="1008"/>
          </w:tcPr>
          <w:p>
            <w:pPr>
              <w:jc w:val="center"/>
            </w:pPr>
            <w:r>
              <w:rPr>
                <w:rFonts w:ascii="Times New Roman" w:hAnsi="Times New Roman"/>
                <w:sz w:val="15"/>
              </w:rPr>
              <w:t>63.8%</w:t>
            </w:r>
          </w:p>
        </w:tc>
        <w:tc>
          <w:tcPr>
            <w:tcW w:type="dxa" w:w="1008"/>
          </w:tcPr>
          <w:p>
            <w:pPr>
              <w:jc w:val="center"/>
            </w:pPr>
            <w:r>
              <w:rPr>
                <w:rFonts w:ascii="Times New Roman" w:hAnsi="Times New Roman"/>
                <w:sz w:val="15"/>
              </w:rPr>
              <w:t>N/R</w:t>
            </w:r>
          </w:p>
        </w:tc>
        <w:tc>
          <w:tcPr>
            <w:tcW w:type="dxa" w:w="2160"/>
          </w:tcPr>
          <w:p>
            <w:pPr>
              <w:jc w:val="center"/>
            </w:pPr>
            <w:r>
              <w:rPr>
                <w:rFonts w:ascii="Times New Roman" w:hAnsi="Times New Roman"/>
                <w:sz w:val="15"/>
              </w:rPr>
              <w:t>None</w:t>
            </w:r>
          </w:p>
        </w:tc>
      </w:tr>
      <w:tr>
        <w:tc>
          <w:tcPr>
            <w:tcW w:type="dxa" w:w="2160"/>
          </w:tcPr>
          <w:p>
            <w:pPr>
              <w:jc w:val="center"/>
            </w:pPr>
            <w:r>
              <w:rPr>
                <w:rFonts w:ascii="Times New Roman" w:hAnsi="Times New Roman"/>
                <w:b/>
                <w:sz w:val="15"/>
              </w:rPr>
              <w:t>This study (GRU, best RMSE)</w:t>
            </w:r>
          </w:p>
        </w:tc>
        <w:tc>
          <w:tcPr>
            <w:tcW w:type="dxa" w:w="1296"/>
          </w:tcPr>
          <w:p>
            <w:pPr>
              <w:jc w:val="center"/>
            </w:pPr>
            <w:r>
              <w:rPr>
                <w:rFonts w:ascii="Times New Roman" w:hAnsi="Times New Roman"/>
                <w:b/>
                <w:sz w:val="15"/>
              </w:rPr>
              <w:t>GRU</w:t>
            </w:r>
          </w:p>
        </w:tc>
        <w:tc>
          <w:tcPr>
            <w:tcW w:type="dxa" w:w="1728"/>
          </w:tcPr>
          <w:p>
            <w:pPr>
              <w:jc w:val="center"/>
            </w:pPr>
            <w:r>
              <w:rPr>
                <w:rFonts w:ascii="Times New Roman" w:hAnsi="Times New Roman"/>
                <w:b/>
                <w:sz w:val="15"/>
              </w:rPr>
              <w:t>BTC/USDT / 1-hour</w:t>
            </w:r>
          </w:p>
        </w:tc>
        <w:tc>
          <w:tcPr>
            <w:tcW w:type="dxa" w:w="1872"/>
          </w:tcPr>
          <w:p>
            <w:pPr>
              <w:jc w:val="center"/>
            </w:pPr>
            <w:r>
              <w:rPr>
                <w:rFonts w:ascii="Times New Roman" w:hAnsi="Times New Roman"/>
                <w:b/>
                <w:sz w:val="15"/>
              </w:rPr>
              <w:t>Walk-Forward Val. ✓</w:t>
            </w:r>
          </w:p>
        </w:tc>
        <w:tc>
          <w:tcPr>
            <w:tcW w:type="dxa" w:w="1440"/>
          </w:tcPr>
          <w:p>
            <w:pPr>
              <w:jc w:val="center"/>
            </w:pPr>
            <w:r>
              <w:rPr>
                <w:rFonts w:ascii="Times New Roman" w:hAnsi="Times New Roman"/>
                <w:b/>
                <w:sz w:val="15"/>
              </w:rPr>
              <w:t>0.1058 ± 0.0034</w:t>
            </w:r>
          </w:p>
        </w:tc>
        <w:tc>
          <w:tcPr>
            <w:tcW w:type="dxa" w:w="1008"/>
          </w:tcPr>
          <w:p>
            <w:pPr>
              <w:jc w:val="center"/>
            </w:pPr>
            <w:r>
              <w:rPr>
                <w:rFonts w:ascii="Times New Roman" w:hAnsi="Times New Roman"/>
                <w:b/>
                <w:sz w:val="15"/>
              </w:rPr>
              <w:t>69.8%</w:t>
            </w:r>
          </w:p>
        </w:tc>
        <w:tc>
          <w:tcPr>
            <w:tcW w:type="dxa" w:w="1008"/>
          </w:tcPr>
          <w:p>
            <w:pPr>
              <w:jc w:val="center"/>
            </w:pPr>
            <w:r>
              <w:rPr>
                <w:rFonts w:ascii="Times New Roman" w:hAnsi="Times New Roman"/>
                <w:b/>
                <w:sz w:val="15"/>
              </w:rPr>
              <w:t>1.32 ± 0.12</w:t>
            </w:r>
          </w:p>
        </w:tc>
        <w:tc>
          <w:tcPr>
            <w:tcW w:type="dxa" w:w="2160"/>
          </w:tcPr>
          <w:p>
            <w:pPr>
              <w:jc w:val="center"/>
            </w:pPr>
            <w:r>
              <w:rPr>
                <w:rFonts w:ascii="Times New Roman" w:hAnsi="Times New Roman"/>
                <w:b/>
                <w:sz w:val="15"/>
              </w:rPr>
              <w:t>Power BI DSS (SUS 86.4) ✓</w:t>
            </w:r>
          </w:p>
        </w:tc>
      </w:tr>
      <w:tr>
        <w:tc>
          <w:tcPr>
            <w:tcW w:type="dxa" w:w="2160"/>
          </w:tcPr>
          <w:p>
            <w:pPr>
              <w:jc w:val="center"/>
            </w:pPr>
            <w:r>
              <w:rPr>
                <w:rFonts w:ascii="Times New Roman" w:hAnsi="Times New Roman"/>
                <w:b/>
                <w:sz w:val="15"/>
              </w:rPr>
              <w:t>This study (LSTM, best DA)</w:t>
            </w:r>
          </w:p>
        </w:tc>
        <w:tc>
          <w:tcPr>
            <w:tcW w:type="dxa" w:w="1296"/>
          </w:tcPr>
          <w:p>
            <w:pPr>
              <w:jc w:val="center"/>
            </w:pPr>
            <w:r>
              <w:rPr>
                <w:rFonts w:ascii="Times New Roman" w:hAnsi="Times New Roman"/>
                <w:b/>
                <w:sz w:val="15"/>
              </w:rPr>
              <w:t>LSTM</w:t>
            </w:r>
          </w:p>
        </w:tc>
        <w:tc>
          <w:tcPr>
            <w:tcW w:type="dxa" w:w="1728"/>
          </w:tcPr>
          <w:p>
            <w:pPr>
              <w:jc w:val="center"/>
            </w:pPr>
            <w:r>
              <w:rPr>
                <w:rFonts w:ascii="Times New Roman" w:hAnsi="Times New Roman"/>
                <w:b/>
                <w:sz w:val="15"/>
              </w:rPr>
              <w:t>BTC/USDT / 1-hour</w:t>
            </w:r>
          </w:p>
        </w:tc>
        <w:tc>
          <w:tcPr>
            <w:tcW w:type="dxa" w:w="1872"/>
          </w:tcPr>
          <w:p>
            <w:pPr>
              <w:jc w:val="center"/>
            </w:pPr>
            <w:r>
              <w:rPr>
                <w:rFonts w:ascii="Times New Roman" w:hAnsi="Times New Roman"/>
                <w:b/>
                <w:sz w:val="15"/>
              </w:rPr>
              <w:t>Walk-Forward Val. ✓</w:t>
            </w:r>
          </w:p>
        </w:tc>
        <w:tc>
          <w:tcPr>
            <w:tcW w:type="dxa" w:w="1440"/>
          </w:tcPr>
          <w:p>
            <w:pPr>
              <w:jc w:val="center"/>
            </w:pPr>
            <w:r>
              <w:rPr>
                <w:rFonts w:ascii="Times New Roman" w:hAnsi="Times New Roman"/>
                <w:b/>
                <w:sz w:val="15"/>
              </w:rPr>
              <w:t>0.1145 ± 0.0051</w:t>
            </w:r>
          </w:p>
        </w:tc>
        <w:tc>
          <w:tcPr>
            <w:tcW w:type="dxa" w:w="1008"/>
          </w:tcPr>
          <w:p>
            <w:pPr>
              <w:jc w:val="center"/>
            </w:pPr>
            <w:r>
              <w:rPr>
                <w:rFonts w:ascii="Times New Roman" w:hAnsi="Times New Roman"/>
                <w:b/>
                <w:sz w:val="15"/>
              </w:rPr>
              <w:t>72.3%</w:t>
            </w:r>
          </w:p>
        </w:tc>
        <w:tc>
          <w:tcPr>
            <w:tcW w:type="dxa" w:w="1008"/>
          </w:tcPr>
          <w:p>
            <w:pPr>
              <w:jc w:val="center"/>
            </w:pPr>
            <w:r>
              <w:rPr>
                <w:rFonts w:ascii="Times New Roman" w:hAnsi="Times New Roman"/>
                <w:b/>
                <w:sz w:val="15"/>
              </w:rPr>
              <w:t>1.45 ± 0.10</w:t>
            </w:r>
          </w:p>
        </w:tc>
        <w:tc>
          <w:tcPr>
            <w:tcW w:type="dxa" w:w="2160"/>
          </w:tcPr>
          <w:p>
            <w:pPr>
              <w:jc w:val="center"/>
            </w:pPr>
            <w:r>
              <w:rPr>
                <w:rFonts w:ascii="Times New Roman" w:hAnsi="Times New Roman"/>
                <w:b/>
                <w:sz w:val="15"/>
              </w:rPr>
              <w:t>Power BI DSS (SUS 86.4) ✓</w:t>
            </w:r>
          </w:p>
        </w:tc>
      </w:tr>
    </w:tbl>
    <w:p w14:paraId="3CA08463" w14:textId="77777777" w:rsidR="00C14E45" w:rsidRDefault="00C14E45" w:rsidP="00332AC9">
      <w:pPr>
        <w:spacing w:after="60"/>
        <w:ind w:firstLine="216"/>
        <w:jc w:val="both"/>
      </w:pPr>
    </w:p>
    <w:p w14:paraId="25E11C55" w14:textId="0C98AF75" w:rsidR="00C14E45" w:rsidRDefault="000454C7" w:rsidP="00332AC9">
      <w:pPr>
        <w:spacing w:after="60"/>
        <w:ind w:firstLine="216"/>
        <w:jc w:val="both"/>
      </w:pPr>
      <w:r>
        <w:rPr>
          <w:b w:val="0"/>
          <w:i w:val="0"/>
        </w:rPr>
        <w:t>Three insights emerge from Table 3. First, this study is the only work in the comparison that applies Walk-Forward Validation — all six benchmarks use static splits or k-fold CV, protocols known to permit temporal leakage in financial time series. The GRU's RMSE of 0.1058 is therefore achieved under strictly more demanding evaluation conditions, making the improvement over Livieris et al.'s best of 0.14–0.17 particularly significant. Second, no prior study in this comparison reports both a Sharpe Ratio and a deployed BI dashboard. The LSTM's Sharpe Ratio of 1.45 — under Walk-Forward conditions — exceeds the only comparable figure (Krauss et al., 1.05), which was computed on equities, not volatile crypto assets. Third, the systematic absence of BI/DSS integration across all six reference studies highlights the structural contribution of this framework: the translation from ML inference to live enterprise risk tooling remains an open engineering challenge that this work directly and operationally addresses.</w:t>
      </w:r>
    </w:p>
    <w:p w14:paraId="32770E3E" w14:textId="77777777" w:rsidR="000454C7" w:rsidRDefault="000454C7" w:rsidP="00332AC9">
      <w:pPr>
        <w:spacing w:after="60"/>
        <w:ind w:firstLine="216"/>
        <w:jc w:val="both"/>
      </w:pPr>
    </w:p>
    <w:p>
      <w:r>
        <w:t>Notably, Table 3 reveals that prior hourly BTC studies (Livieris et al. [37]; Nguyen et al. [26]) report RMSE values of 0.14–0.17 under static split evaluation — protocols that allow future price information to contaminate the test set. The present GRU achieves RMSE = 0.1058 under Walk-Forward Validation, which actively prevents such leakage by design. This methodological rigor means the 7.5–36% RMSE improvement is a conservative lower bound: under equivalent leaky evaluation conditions, the gap would likely be smaller. The implication for the field is significant — published RMSE figures from static-split protocols cannot be directly compared to Walk-Forward results without acknowledging this structural difference in evaluation stringency.</w:t>
      </w:r>
    </w:p>
    <w:p w14:paraId="73E67122" w14:textId="7BDDF2AE" w:rsidR="000454C7" w:rsidRPr="00FC1023" w:rsidRDefault="000454C7" w:rsidP="000454C7">
      <w:pPr>
        <w:rPr>
          <w:b/>
          <w:bCs/>
        </w:rPr>
      </w:pPr>
      <w:r>
        <w:rPr>
          <w:b/>
        </w:rPr>
        <w:t>3.4.2.  Operational Power BI Prototype and Practical Implications</w:t>
      </w:r>
    </w:p>
    <w:p w14:paraId="4C3C30A9" w14:textId="46EBE811" w:rsidR="000454C7" w:rsidRDefault="000454C7" w:rsidP="000454C7">
      <w:pPr>
        <w:spacing w:after="60"/>
        <w:ind w:firstLine="216"/>
        <w:jc w:val="both"/>
      </w:pPr>
      <w:r>
        <w:t>From a practical standpoint, the GRU's tighter RMSE bounds provide the most reliable stop-loss thresholds, while LSTM's superior directional accuracy (72.3 %) makes it preferable for signal-generation in algorithmic trading applications.</w:t>
      </w:r>
      <w:r>
        <w:rPr>
          <w:b w:val="0"/>
        </w:rPr>
        <w:t xml:space="preserve"> Institutions prioritizing risk-averse stop-loss strategies should therefore deploy GRU-derived thresholds, while trading desks focused on directional signal generation would benefit more from LSTM's superior 72.3% directional accuracy. This architectural trade-off represents a key operational insight of the proposed framework, providing practitioners with model-specific deployment guidance rather than a single universal recommendation.</w:t>
      </w:r>
    </w:p>
    <w:p w14:paraId="2DCB7974" w14:textId="29FA390F" w:rsidR="00196F0F" w:rsidRDefault="00196F0F" w:rsidP="000454C7">
      <w:pPr>
        <w:spacing w:after="60"/>
        <w:ind w:firstLine="216"/>
        <w:jc w:val="both"/>
      </w:pPr>
      <w:r>
        <w:t>A key limitation is all tested models’ susceptibility to exogenous volatility events exceeding ±3σ deviations from training distributions events such as the Terra-Luna collapse   where pure statistical inference fails without macroeconomic contextual signals. Future work should incorporate NLP-based sentiment layers to address this gap. Figure 4 presents the web-based Power BI prototype dashboard, demonstrating the operational integration of LSTM and GRU inference outputs into a real-time institutional Decision Support System interface.</w:t>
      </w:r>
    </w:p>
    <w:p w14:paraId="64C20D78" w14:textId="77777777" w:rsidR="00196F0F" w:rsidRDefault="00196F0F" w:rsidP="000454C7">
      <w:pPr>
        <w:spacing w:after="60"/>
        <w:ind w:firstLine="216"/>
        <w:jc w:val="both"/>
      </w:pPr>
    </w:p>
    <w:p w14:paraId="1CA1C177" w14:textId="7CCDBECE" w:rsidR="00196F0F" w:rsidRDefault="00C020C2" w:rsidP="00C020C2">
      <w:pPr>
        <w:spacing w:after="60"/>
        <w:ind w:firstLine="216"/>
        <w:jc w:val="center"/>
      </w:pPr>
      <w:r>
        <w:rPr>
          <w:noProof/>
        </w:rPr>
        <w:drawing>
          <wp:inline distT="0" distB="0" distL="0" distR="0" wp14:anchorId="7C1DF24D" wp14:editId="5294614C">
            <wp:extent cx="3941308" cy="1696775"/>
            <wp:effectExtent l="0" t="0" r="2540" b="0"/>
            <wp:docPr id="1150953621" name="Picture 115095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048742" cy="1743026"/>
                    </a:xfrm>
                    <a:prstGeom prst="rect">
                      <a:avLst/>
                    </a:prstGeom>
                  </pic:spPr>
                </pic:pic>
              </a:graphicData>
            </a:graphic>
          </wp:inline>
        </w:drawing>
      </w:r>
    </w:p>
    <w:p w14:paraId="4E1EFBE2" w14:textId="2B569335" w:rsidR="00C020C2" w:rsidRDefault="00C020C2" w:rsidP="00C020C2">
      <w:pPr>
        <w:spacing w:after="60"/>
        <w:ind w:firstLine="216"/>
        <w:jc w:val="center"/>
      </w:pPr>
      <w:r>
        <w:t>Figure 4. Web-based prototype implementation of the Business Intelligence monitoring dashboard. The interface renders LSTM and GRU inference outputs as real-time directional probability scores, Sharpe Ratio analytics, MACD momentum signals, and residual distributions for algorithmic Decision Support System (DSS) evaluation.</w:t>
      </w:r>
    </w:p>
    <w:p w14:paraId="6531DA81" w14:textId="77777777" w:rsidR="00C020C2" w:rsidRDefault="00C020C2" w:rsidP="000454C7">
      <w:pPr>
        <w:spacing w:after="60"/>
        <w:ind w:firstLine="216"/>
        <w:jc w:val="both"/>
      </w:pPr>
    </w:p>
    <w:bookmarkEnd w:id="2"/>
    <w:p w14:paraId="7A07F5E5" w14:textId="76EBB886" w:rsidR="00E619D6" w:rsidRPr="00FC1023" w:rsidRDefault="00E619D6" w:rsidP="00E619D6">
      <w:pPr>
        <w:numPr>
          <w:ilvl w:val="0"/>
          <w:numId w:val="15"/>
        </w:numPr>
        <w:tabs>
          <w:tab w:val="left" w:pos="426"/>
        </w:tabs>
        <w:ind w:left="426" w:hanging="426"/>
        <w:rPr>
          <w:b/>
          <w:bCs/>
        </w:rPr>
      </w:pPr>
      <w:r>
        <w:rPr>
          <w:b/>
          <w:bCs/>
        </w:rPr>
        <w:t>CONCLUSION</w:t>
      </w:r>
    </w:p>
    <w:p>
      <w:r>
        <w:rPr>
          <w:b w:val="0"/>
          <w:i w:val="0"/>
        </w:rPr>
        <w:t>The two primary contributions of this study are: (i) the introduction of Walk-Forward Validation as an anti-leakage evaluation standard for cryptocurrency deep learning, demonstrating that static split protocols overestimate out-of-sample accuracy; and (ii) the construction of a four-layer BI pipeline that automatically translates model residuals into live enterprise risk metrics — Sharpe Ratio, Value-at-Risk, and Directional Accuracy — via a production-grade Microsoft Power BI Decision Support System, achieving an Excellent SUS score of 86.4.</w:t>
      </w:r>
    </w:p>
    <w:p w14:paraId="472DBDC5" w14:textId="77777777" w:rsidR="00BC4D40" w:rsidRDefault="00BC4D40" w:rsidP="00BC4D40">
      <w:pPr>
        <w:ind w:firstLine="709"/>
        <w:jc w:val="both"/>
      </w:pPr>
      <w:r>
        <w:t>This study bridges deep neural forecasting with enterprise BI by constructing a 4-layer pipeline processing 43,786 hourly BTC/USDT records via Walk-Forward Validation, Grid Search optimization, and SHAP analysis, producing a unified DSS prototype validated in a controlled out-of-sample trading simulation.</w:t>
      </w:r>
      <w:r>
        <w:rPr>
          <w:b w:val="0"/>
        </w:rPr>
        <w:t xml:space="preserve"> The framework represents a principled departure from isolated model benchmarking, embedding predictive outputs directly within an enterprise Business Intelligence environment. This end-to-end integration provides institutional practitioners with interpretable, risk-adjusted decision metrics — Sharpe Ratio, Value-at-Risk, and directional accuracy — rather than raw numerical prediction error statistics.</w:t>
      </w:r>
    </w:p>
    <w:p w14:paraId="40D614D8" w14:textId="77777777" w:rsidR="00BC4D40" w:rsidRDefault="00BC4D40" w:rsidP="00BC4D40">
      <w:pPr>
        <w:ind w:firstLine="709"/>
        <w:jc w:val="both"/>
      </w:pPr>
      <w:r>
        <w:t>A global Kruskal-Wallis test (p &lt; 0.001) and pairwise Diebold-Mariano tests (p = 0.014) confirmed GRU as the top RMSE model (0.1058 ± 0.0034), while LSTM achieved the highest Directional Accuracy (72.3 %) and Sharpe Ratio (1.45), with the Power BI dashboard achieving an Excellent SUS score of 86.4, validating the framework's institutional utility.</w:t>
      </w:r>
      <w:r>
        <w:rPr>
          <w:b w:val="0"/>
        </w:rPr>
        <w:t xml:space="preserve"> These results demonstrate that minimizing prediction error and maximizing trading profitability are not equivalent objectives in high-frequency financial forecasting. The Excellent SUS rating of 86.4 further confirms that the proposed BI interface is sufficiently intuitive for adoption by non-technical financial practitioners.</w:t>
      </w:r>
    </w:p>
    <w:p w14:paraId="4220A75E" w14:textId="50F6EB1B" w:rsidR="00BC4D40" w:rsidRDefault="00BC4D40" w:rsidP="00BC4D40">
      <w:pPr>
        <w:ind w:firstLine="709"/>
        <w:jc w:val="both"/>
      </w:pPr>
      <w:r>
        <w:lastRenderedPageBreak/>
        <w:t>Future research should pursue two directions: (1) integrating NLP sentiment signals from social media and on-chain data [38] to improve model resilience during macroeconomic shocks; and (2) extending the BI pipeline to multi-asset portfolios incorporating altcoins and cross-market correlation matrices.</w:t>
      </w:r>
      <w:r>
        <w:rPr>
          <w:b w:val="0"/>
        </w:rPr>
        <w:t xml:space="preserve"> A third direction involves implementing real-time retraining pipelines that continuously update model weights as new market data arrives, reducing the distributional shift between training and live deployment environments. These extensions would collectively advance the operational readiness and institutional scalability of the proposed framework.</w:t>
      </w:r>
    </w:p>
    <w:p w14:paraId="10F3E9A6" w14:textId="77777777" w:rsidR="00BC4D40" w:rsidRDefault="00BC4D40" w:rsidP="00BC4D40">
      <w:pPr>
        <w:ind w:firstLine="709"/>
        <w:jc w:val="both"/>
      </w:pPr>
    </w:p>
    <w:p w14:paraId="48918705" w14:textId="77777777" w:rsidR="00875A0C" w:rsidRPr="00FC1023" w:rsidRDefault="00875A0C" w:rsidP="00354A58">
      <w:pPr>
        <w:ind w:firstLine="709"/>
        <w:jc w:val="both"/>
        <w:rPr>
          <w:b/>
          <w:bCs/>
        </w:rPr>
      </w:pPr>
    </w:p>
    <w:p w14:paraId="46D4CEA5" w14:textId="0B19B1F9" w:rsidR="00140260" w:rsidRPr="00A83597" w:rsidRDefault="00140260" w:rsidP="00140260">
      <w:pPr>
        <w:jc w:val="both"/>
        <w:rPr>
          <w:b/>
          <w:bCs/>
        </w:rPr>
      </w:pPr>
      <w:r>
        <w:rPr>
          <w:b/>
          <w:bCs/>
        </w:rPr>
        <w:t>AUTHOR CONTRIBUTIONS STATEMENT</w:t>
      </w:r>
    </w:p>
    <w:p w14:paraId="6D085CD1" w14:textId="6B1EBEDF" w:rsidR="00140260" w:rsidRPr="003420B5" w:rsidRDefault="001A0F0D" w:rsidP="001A0F0D">
      <w:pPr>
        <w:tabs>
          <w:tab w:val="left" w:pos="284"/>
          <w:tab w:val="left" w:pos="426"/>
        </w:tabs>
        <w:ind w:firstLine="709"/>
        <w:jc w:val="both"/>
        <w:rPr>
          <w:b/>
          <w:bCs/>
        </w:rPr>
      </w:pPr>
      <w:r>
        <w:t>This journal uses the Contributor Roles Taxonomy (CRediT) to recognize individual author contributions, reduce authorship disputes, and facilitate collaboration.</w:t>
      </w:r>
    </w:p>
    <w:p w14:paraId="74DDA5B3" w14:textId="77777777" w:rsidR="00140260" w:rsidRDefault="00140260" w:rsidP="00140260">
      <w:pPr>
        <w:tabs>
          <w:tab w:val="left" w:pos="284"/>
          <w:tab w:val="left" w:pos="426"/>
        </w:tabs>
        <w:jc w:val="both"/>
      </w:pPr>
    </w:p>
    <w:tbl>
      <w:tblPr>
        <w:tblStyle w:val="TableGrid"/>
        <w:tblW w:w="0" w:type="auto"/>
        <w:jc w:val="center"/>
        <w:tblLook w:val="04A0" w:firstRow="1" w:lastRow="0" w:firstColumn="1" w:lastColumn="0" w:noHBand="0" w:noVBand="1"/>
      </w:tblPr>
      <w:tblGrid>
        <w:gridCol w:w="2107"/>
        <w:gridCol w:w="471"/>
        <w:gridCol w:w="476"/>
        <w:gridCol w:w="481"/>
        <w:gridCol w:w="489"/>
        <w:gridCol w:w="484"/>
        <w:gridCol w:w="470"/>
        <w:gridCol w:w="470"/>
        <w:gridCol w:w="470"/>
        <w:gridCol w:w="470"/>
        <w:gridCol w:w="470"/>
        <w:gridCol w:w="479"/>
        <w:gridCol w:w="484"/>
        <w:gridCol w:w="470"/>
        <w:gridCol w:w="487"/>
      </w:tblGrid>
      <w:tr w:rsidR="00140260" w:rsidRPr="00A83597" w14:paraId="6E54AC34" w14:textId="77777777" w:rsidTr="009B6A87">
        <w:trPr>
          <w:jc w:val="center"/>
        </w:trPr>
        <w:tc>
          <w:tcPr>
            <w:tcW w:w="2107" w:type="dxa"/>
          </w:tcPr>
          <w:p w14:paraId="762AB3E4" w14:textId="77777777" w:rsidR="00140260" w:rsidRPr="00A83597" w:rsidRDefault="00140260" w:rsidP="009B6A87">
            <w:pPr>
              <w:jc w:val="both"/>
              <w:rPr>
                <w:b/>
                <w:bCs/>
              </w:rPr>
            </w:pPr>
            <w:r>
              <w:rPr>
                <w:b/>
                <w:bCs/>
              </w:rPr>
              <w:t>Name of Author</w:t>
            </w:r>
          </w:p>
        </w:tc>
        <w:tc>
          <w:tcPr>
            <w:tcW w:w="471" w:type="dxa"/>
            <w:shd w:val="clear" w:color="auto" w:fill="DAEEF3" w:themeFill="accent5" w:themeFillTint="33"/>
          </w:tcPr>
          <w:p w14:paraId="5F44395F" w14:textId="77777777" w:rsidR="00140260" w:rsidRPr="00A83597" w:rsidRDefault="00140260" w:rsidP="009B6A87">
            <w:pPr>
              <w:jc w:val="both"/>
              <w:rPr>
                <w:b/>
                <w:bCs/>
              </w:rPr>
            </w:pPr>
            <w:r>
              <w:rPr>
                <w:b/>
                <w:bCs/>
              </w:rPr>
              <w:t>C</w:t>
            </w:r>
          </w:p>
        </w:tc>
        <w:tc>
          <w:tcPr>
            <w:tcW w:w="476" w:type="dxa"/>
            <w:shd w:val="clear" w:color="auto" w:fill="DAEEF3" w:themeFill="accent5" w:themeFillTint="33"/>
          </w:tcPr>
          <w:p w14:paraId="5759E1FA" w14:textId="77777777" w:rsidR="00140260" w:rsidRPr="00A83597" w:rsidRDefault="00140260" w:rsidP="009B6A87">
            <w:pPr>
              <w:jc w:val="both"/>
              <w:rPr>
                <w:b/>
                <w:bCs/>
              </w:rPr>
            </w:pPr>
            <w:r>
              <w:rPr>
                <w:b/>
                <w:bCs/>
              </w:rPr>
              <w:t>M</w:t>
            </w:r>
          </w:p>
        </w:tc>
        <w:tc>
          <w:tcPr>
            <w:tcW w:w="481" w:type="dxa"/>
          </w:tcPr>
          <w:p w14:paraId="2E3F2650" w14:textId="77777777" w:rsidR="00140260" w:rsidRPr="00A83597" w:rsidRDefault="00140260" w:rsidP="009B6A87">
            <w:pPr>
              <w:jc w:val="both"/>
              <w:rPr>
                <w:b/>
                <w:bCs/>
              </w:rPr>
            </w:pPr>
            <w:r>
              <w:rPr>
                <w:b/>
                <w:bCs/>
              </w:rPr>
              <w:t>So</w:t>
            </w:r>
          </w:p>
        </w:tc>
        <w:tc>
          <w:tcPr>
            <w:tcW w:w="489" w:type="dxa"/>
          </w:tcPr>
          <w:p w14:paraId="47AD9385" w14:textId="77777777" w:rsidR="00140260" w:rsidRPr="00A83597" w:rsidRDefault="00140260" w:rsidP="009B6A87">
            <w:pPr>
              <w:jc w:val="both"/>
              <w:rPr>
                <w:b/>
                <w:bCs/>
              </w:rPr>
            </w:pPr>
            <w:r>
              <w:rPr>
                <w:b/>
                <w:bCs/>
              </w:rPr>
              <w:t>Va</w:t>
            </w:r>
          </w:p>
        </w:tc>
        <w:tc>
          <w:tcPr>
            <w:tcW w:w="484" w:type="dxa"/>
            <w:shd w:val="clear" w:color="auto" w:fill="DAEEF3" w:themeFill="accent5" w:themeFillTint="33"/>
          </w:tcPr>
          <w:p w14:paraId="69012197" w14:textId="77777777" w:rsidR="00140260" w:rsidRPr="00A83597" w:rsidRDefault="00140260" w:rsidP="009B6A87">
            <w:pPr>
              <w:jc w:val="both"/>
              <w:rPr>
                <w:b/>
                <w:bCs/>
              </w:rPr>
            </w:pPr>
            <w:r>
              <w:rPr>
                <w:b/>
                <w:bCs/>
              </w:rPr>
              <w:t>Fo</w:t>
            </w:r>
          </w:p>
        </w:tc>
        <w:tc>
          <w:tcPr>
            <w:tcW w:w="470" w:type="dxa"/>
            <w:shd w:val="clear" w:color="auto" w:fill="DAEEF3" w:themeFill="accent5" w:themeFillTint="33"/>
          </w:tcPr>
          <w:p w14:paraId="6B729A9C" w14:textId="77777777" w:rsidR="00140260" w:rsidRPr="00A83597" w:rsidRDefault="00140260" w:rsidP="009B6A87">
            <w:pPr>
              <w:jc w:val="both"/>
              <w:rPr>
                <w:b/>
                <w:bCs/>
              </w:rPr>
            </w:pPr>
            <w:r>
              <w:rPr>
                <w:b/>
                <w:bCs/>
              </w:rPr>
              <w:t>I</w:t>
            </w:r>
          </w:p>
        </w:tc>
        <w:tc>
          <w:tcPr>
            <w:tcW w:w="470" w:type="dxa"/>
          </w:tcPr>
          <w:p w14:paraId="26A23D12" w14:textId="77777777" w:rsidR="00140260" w:rsidRPr="00A83597" w:rsidRDefault="00140260" w:rsidP="009B6A87">
            <w:pPr>
              <w:jc w:val="both"/>
              <w:rPr>
                <w:b/>
                <w:bCs/>
              </w:rPr>
            </w:pPr>
            <w:r>
              <w:rPr>
                <w:b/>
                <w:bCs/>
              </w:rPr>
              <w:t>R</w:t>
            </w:r>
          </w:p>
        </w:tc>
        <w:tc>
          <w:tcPr>
            <w:tcW w:w="470" w:type="dxa"/>
          </w:tcPr>
          <w:p w14:paraId="390DB2AE" w14:textId="77777777" w:rsidR="00140260" w:rsidRPr="00A83597" w:rsidRDefault="00140260" w:rsidP="009B6A87">
            <w:pPr>
              <w:jc w:val="both"/>
              <w:rPr>
                <w:b/>
                <w:bCs/>
              </w:rPr>
            </w:pPr>
            <w:r>
              <w:rPr>
                <w:b/>
                <w:bCs/>
              </w:rPr>
              <w:t>D</w:t>
            </w:r>
          </w:p>
        </w:tc>
        <w:tc>
          <w:tcPr>
            <w:tcW w:w="470" w:type="dxa"/>
            <w:shd w:val="clear" w:color="auto" w:fill="FDE9D9" w:themeFill="accent6" w:themeFillTint="33"/>
          </w:tcPr>
          <w:p w14:paraId="5D8CA090" w14:textId="77777777" w:rsidR="00140260" w:rsidRPr="00A83597" w:rsidRDefault="00140260" w:rsidP="009B6A87">
            <w:pPr>
              <w:jc w:val="both"/>
              <w:rPr>
                <w:b/>
                <w:bCs/>
              </w:rPr>
            </w:pPr>
            <w:r>
              <w:rPr>
                <w:b/>
                <w:bCs/>
              </w:rPr>
              <w:t>O</w:t>
            </w:r>
          </w:p>
        </w:tc>
        <w:tc>
          <w:tcPr>
            <w:tcW w:w="470" w:type="dxa"/>
            <w:shd w:val="clear" w:color="auto" w:fill="FDE9D9" w:themeFill="accent6" w:themeFillTint="33"/>
          </w:tcPr>
          <w:p w14:paraId="76F8AEF8" w14:textId="77777777" w:rsidR="00140260" w:rsidRPr="00A83597" w:rsidRDefault="00140260" w:rsidP="009B6A87">
            <w:pPr>
              <w:jc w:val="both"/>
              <w:rPr>
                <w:b/>
                <w:bCs/>
              </w:rPr>
            </w:pPr>
            <w:r>
              <w:rPr>
                <w:b/>
                <w:bCs/>
              </w:rPr>
              <w:t>E</w:t>
            </w:r>
          </w:p>
        </w:tc>
        <w:tc>
          <w:tcPr>
            <w:tcW w:w="479" w:type="dxa"/>
          </w:tcPr>
          <w:p w14:paraId="3D5D4732" w14:textId="77777777" w:rsidR="00140260" w:rsidRPr="00A83597" w:rsidRDefault="00140260" w:rsidP="009B6A87">
            <w:pPr>
              <w:jc w:val="both"/>
              <w:rPr>
                <w:b/>
                <w:bCs/>
              </w:rPr>
            </w:pPr>
            <w:r>
              <w:rPr>
                <w:b/>
                <w:bCs/>
              </w:rPr>
              <w:t>Vi</w:t>
            </w:r>
          </w:p>
        </w:tc>
        <w:tc>
          <w:tcPr>
            <w:tcW w:w="484" w:type="dxa"/>
          </w:tcPr>
          <w:p w14:paraId="3E81209B" w14:textId="77777777" w:rsidR="00140260" w:rsidRPr="00A83597" w:rsidRDefault="00140260" w:rsidP="009B6A87">
            <w:pPr>
              <w:jc w:val="both"/>
              <w:rPr>
                <w:b/>
                <w:bCs/>
              </w:rPr>
            </w:pPr>
            <w:r>
              <w:rPr>
                <w:b/>
                <w:bCs/>
              </w:rPr>
              <w:t>Su</w:t>
            </w:r>
          </w:p>
        </w:tc>
        <w:tc>
          <w:tcPr>
            <w:tcW w:w="470" w:type="dxa"/>
          </w:tcPr>
          <w:p w14:paraId="7ACCB32C" w14:textId="77777777" w:rsidR="00140260" w:rsidRPr="00A83597" w:rsidRDefault="00140260" w:rsidP="009B6A87">
            <w:pPr>
              <w:jc w:val="both"/>
              <w:rPr>
                <w:b/>
                <w:bCs/>
              </w:rPr>
            </w:pPr>
            <w:r>
              <w:rPr>
                <w:b/>
                <w:bCs/>
              </w:rPr>
              <w:t>P</w:t>
            </w:r>
          </w:p>
        </w:tc>
        <w:tc>
          <w:tcPr>
            <w:tcW w:w="487" w:type="dxa"/>
          </w:tcPr>
          <w:p w14:paraId="1A028929" w14:textId="77777777" w:rsidR="00140260" w:rsidRPr="00A83597" w:rsidRDefault="00140260" w:rsidP="009B6A87">
            <w:pPr>
              <w:jc w:val="both"/>
              <w:rPr>
                <w:b/>
                <w:bCs/>
              </w:rPr>
            </w:pPr>
            <w:r>
              <w:rPr>
                <w:b/>
                <w:bCs/>
              </w:rPr>
              <w:t>Fu</w:t>
            </w:r>
          </w:p>
        </w:tc>
      </w:tr>
      <w:tr w:rsidR="00140260" w:rsidRPr="00A83597" w14:paraId="6187F229" w14:textId="77777777" w:rsidTr="009B6A87">
        <w:trPr>
          <w:jc w:val="center"/>
        </w:trPr>
        <w:tc>
          <w:tcPr>
            <w:tcW w:w="2107" w:type="dxa"/>
          </w:tcPr>
          <w:p w14:paraId="415F3D94" w14:textId="74E49A20" w:rsidR="00140260" w:rsidRPr="00A83597" w:rsidRDefault="001A0F0D" w:rsidP="009B6A87">
            <w:pPr>
              <w:jc w:val="both"/>
            </w:pPr>
            <w:r>
              <w:t>Asep Surahman Sulaeman</w:t>
            </w:r>
          </w:p>
        </w:tc>
        <w:tc>
          <w:tcPr>
            <w:tcW w:w="471" w:type="dxa"/>
            <w:shd w:val="clear" w:color="auto" w:fill="DAEEF3" w:themeFill="accent5" w:themeFillTint="33"/>
          </w:tcPr>
          <w:p w14:paraId="7DCA25D0" w14:textId="77777777" w:rsidR="00140260" w:rsidRPr="00A83597" w:rsidRDefault="00140260" w:rsidP="009B6A87">
            <w:pPr>
              <w:jc w:val="both"/>
            </w:pPr>
            <w:r>
              <w:sym w:font="Wingdings" w:char="F0FC"/>
            </w:r>
          </w:p>
        </w:tc>
        <w:tc>
          <w:tcPr>
            <w:tcW w:w="476" w:type="dxa"/>
            <w:shd w:val="clear" w:color="auto" w:fill="DAEEF3" w:themeFill="accent5" w:themeFillTint="33"/>
          </w:tcPr>
          <w:p w14:paraId="4F198E9A" w14:textId="77777777" w:rsidR="00140260" w:rsidRPr="00A83597" w:rsidRDefault="00140260" w:rsidP="009B6A87">
            <w:pPr>
              <w:jc w:val="both"/>
            </w:pPr>
            <w:r>
              <w:sym w:font="Wingdings" w:char="F0FC"/>
            </w:r>
          </w:p>
        </w:tc>
        <w:tc>
          <w:tcPr>
            <w:tcW w:w="481" w:type="dxa"/>
          </w:tcPr>
          <w:p w14:paraId="22809578" w14:textId="77777777" w:rsidR="00140260" w:rsidRPr="00A83597" w:rsidRDefault="00140260" w:rsidP="009B6A87">
            <w:pPr>
              <w:jc w:val="both"/>
            </w:pPr>
            <w:r>
              <w:sym w:font="Wingdings" w:char="F0FC"/>
            </w:r>
          </w:p>
        </w:tc>
        <w:tc>
          <w:tcPr>
            <w:tcW w:w="489" w:type="dxa"/>
          </w:tcPr>
          <w:p w14:paraId="39F2E92C" w14:textId="77777777" w:rsidR="00140260" w:rsidRPr="00A83597" w:rsidRDefault="00140260" w:rsidP="009B6A87">
            <w:pPr>
              <w:jc w:val="both"/>
            </w:pPr>
            <w:r>
              <w:sym w:font="Wingdings" w:char="F0FC"/>
            </w:r>
          </w:p>
        </w:tc>
        <w:tc>
          <w:tcPr>
            <w:tcW w:w="484" w:type="dxa"/>
            <w:shd w:val="clear" w:color="auto" w:fill="DAEEF3" w:themeFill="accent5" w:themeFillTint="33"/>
          </w:tcPr>
          <w:p w14:paraId="36E808E3" w14:textId="77777777" w:rsidR="00140260" w:rsidRPr="00A83597" w:rsidRDefault="00140260" w:rsidP="009B6A87">
            <w:pPr>
              <w:jc w:val="both"/>
            </w:pPr>
            <w:r>
              <w:sym w:font="Wingdings" w:char="F0FC"/>
            </w:r>
          </w:p>
        </w:tc>
        <w:tc>
          <w:tcPr>
            <w:tcW w:w="470" w:type="dxa"/>
            <w:shd w:val="clear" w:color="auto" w:fill="DAEEF3" w:themeFill="accent5" w:themeFillTint="33"/>
          </w:tcPr>
          <w:p w14:paraId="7EA9C660" w14:textId="77777777" w:rsidR="00140260" w:rsidRPr="00A83597" w:rsidRDefault="00140260" w:rsidP="009B6A87">
            <w:pPr>
              <w:jc w:val="both"/>
            </w:pPr>
            <w:r>
              <w:sym w:font="Wingdings" w:char="F0FC"/>
            </w:r>
          </w:p>
        </w:tc>
        <w:tc>
          <w:tcPr>
            <w:tcW w:w="470" w:type="dxa"/>
          </w:tcPr>
          <w:p w14:paraId="522C4FE1" w14:textId="77C5D9A2" w:rsidR="00140260" w:rsidRPr="00A83597" w:rsidRDefault="00B453AF" w:rsidP="009B6A87">
            <w:pPr>
              <w:jc w:val="both"/>
            </w:pPr>
            <w:r>
              <w:sym w:font="Wingdings" w:char="F0FC"/>
            </w:r>
          </w:p>
        </w:tc>
        <w:tc>
          <w:tcPr>
            <w:tcW w:w="470" w:type="dxa"/>
          </w:tcPr>
          <w:p w14:paraId="09014016" w14:textId="77777777" w:rsidR="00140260" w:rsidRPr="00A83597" w:rsidRDefault="00140260" w:rsidP="009B6A87">
            <w:pPr>
              <w:jc w:val="both"/>
            </w:pPr>
            <w:r>
              <w:sym w:font="Wingdings" w:char="F0FC"/>
            </w:r>
          </w:p>
        </w:tc>
        <w:tc>
          <w:tcPr>
            <w:tcW w:w="470" w:type="dxa"/>
            <w:shd w:val="clear" w:color="auto" w:fill="FDE9D9" w:themeFill="accent6" w:themeFillTint="33"/>
          </w:tcPr>
          <w:p w14:paraId="10043B33" w14:textId="77777777" w:rsidR="00140260" w:rsidRPr="00A83597" w:rsidRDefault="00140260" w:rsidP="009B6A87">
            <w:pPr>
              <w:jc w:val="both"/>
            </w:pPr>
            <w:r>
              <w:sym w:font="Wingdings" w:char="F0FC"/>
            </w:r>
          </w:p>
        </w:tc>
        <w:tc>
          <w:tcPr>
            <w:tcW w:w="470" w:type="dxa"/>
            <w:shd w:val="clear" w:color="auto" w:fill="FDE9D9" w:themeFill="accent6" w:themeFillTint="33"/>
          </w:tcPr>
          <w:p w14:paraId="0D5FD7A4" w14:textId="77777777" w:rsidR="00140260" w:rsidRPr="00A83597" w:rsidRDefault="00140260" w:rsidP="009B6A87">
            <w:pPr>
              <w:jc w:val="both"/>
            </w:pPr>
            <w:r>
              <w:sym w:font="Wingdings" w:char="F0FC"/>
            </w:r>
          </w:p>
        </w:tc>
        <w:tc>
          <w:tcPr>
            <w:tcW w:w="479" w:type="dxa"/>
          </w:tcPr>
          <w:p w14:paraId="30E06653" w14:textId="7C3B245E" w:rsidR="00140260" w:rsidRPr="00A83597" w:rsidRDefault="00B453AF" w:rsidP="009B6A87">
            <w:pPr>
              <w:jc w:val="both"/>
            </w:pPr>
            <w:r>
              <w:sym w:font="Wingdings" w:char="F0FC"/>
            </w:r>
          </w:p>
        </w:tc>
        <w:tc>
          <w:tcPr>
            <w:tcW w:w="484" w:type="dxa"/>
          </w:tcPr>
          <w:p w14:paraId="2BC25D63" w14:textId="77777777" w:rsidR="00140260" w:rsidRPr="00A83597" w:rsidRDefault="00140260" w:rsidP="009B6A87">
            <w:pPr>
              <w:jc w:val="both"/>
            </w:pPr>
          </w:p>
        </w:tc>
        <w:tc>
          <w:tcPr>
            <w:tcW w:w="470" w:type="dxa"/>
          </w:tcPr>
          <w:p w14:paraId="5A8573A2" w14:textId="77777777" w:rsidR="00140260" w:rsidRPr="00A83597" w:rsidRDefault="00140260" w:rsidP="009B6A87">
            <w:pPr>
              <w:jc w:val="both"/>
            </w:pPr>
            <w:r>
              <w:sym w:font="Wingdings" w:char="F0FC"/>
            </w:r>
          </w:p>
        </w:tc>
        <w:tc>
          <w:tcPr>
            <w:tcW w:w="487" w:type="dxa"/>
          </w:tcPr>
          <w:p w14:paraId="4CB1F16E" w14:textId="03EF288E" w:rsidR="00140260" w:rsidRPr="00A83597" w:rsidRDefault="00B453AF" w:rsidP="009B6A87">
            <w:pPr>
              <w:jc w:val="both"/>
            </w:pPr>
            <w:r>
              <w:sym w:font="Wingdings" w:char="F0FC"/>
            </w:r>
          </w:p>
        </w:tc>
      </w:tr>
      <w:tr w:rsidR="00140260" w:rsidRPr="00A83597" w14:paraId="6594F2BF" w14:textId="77777777" w:rsidTr="009B6A87">
        <w:trPr>
          <w:jc w:val="center"/>
        </w:trPr>
        <w:tc>
          <w:tcPr>
            <w:tcW w:w="2107" w:type="dxa"/>
          </w:tcPr>
          <w:p w14:paraId="3761E9A2" w14:textId="40CE0B7C" w:rsidR="00140260" w:rsidRPr="00A83597" w:rsidRDefault="00B477CA" w:rsidP="009B6A87">
            <w:pPr>
              <w:jc w:val="both"/>
            </w:pPr>
            <w:r>
              <w:t>Deden Witarsyah</w:t>
            </w:r>
          </w:p>
        </w:tc>
        <w:tc>
          <w:tcPr>
            <w:tcW w:w="471" w:type="dxa"/>
            <w:shd w:val="clear" w:color="auto" w:fill="DAEEF3" w:themeFill="accent5" w:themeFillTint="33"/>
          </w:tcPr>
          <w:p w14:paraId="424CC46B" w14:textId="77777777" w:rsidR="00140260" w:rsidRPr="00A83597" w:rsidRDefault="00140260" w:rsidP="009B6A87">
            <w:pPr>
              <w:jc w:val="both"/>
            </w:pPr>
          </w:p>
        </w:tc>
        <w:tc>
          <w:tcPr>
            <w:tcW w:w="476" w:type="dxa"/>
            <w:shd w:val="clear" w:color="auto" w:fill="DAEEF3" w:themeFill="accent5" w:themeFillTint="33"/>
          </w:tcPr>
          <w:p w14:paraId="16180B2D" w14:textId="4C4E1911" w:rsidR="00140260" w:rsidRPr="00A83597" w:rsidRDefault="00140260" w:rsidP="009B6A87">
            <w:pPr>
              <w:jc w:val="both"/>
            </w:pPr>
          </w:p>
        </w:tc>
        <w:tc>
          <w:tcPr>
            <w:tcW w:w="481" w:type="dxa"/>
          </w:tcPr>
          <w:p w14:paraId="337169B5" w14:textId="77777777" w:rsidR="00140260" w:rsidRPr="00A83597" w:rsidRDefault="00140260" w:rsidP="009B6A87">
            <w:pPr>
              <w:jc w:val="both"/>
            </w:pPr>
          </w:p>
        </w:tc>
        <w:tc>
          <w:tcPr>
            <w:tcW w:w="489" w:type="dxa"/>
          </w:tcPr>
          <w:p w14:paraId="20F10C9D" w14:textId="77777777" w:rsidR="00140260" w:rsidRPr="00A83597" w:rsidRDefault="00140260" w:rsidP="009B6A87">
            <w:pPr>
              <w:jc w:val="both"/>
            </w:pPr>
          </w:p>
        </w:tc>
        <w:tc>
          <w:tcPr>
            <w:tcW w:w="484" w:type="dxa"/>
            <w:shd w:val="clear" w:color="auto" w:fill="DAEEF3" w:themeFill="accent5" w:themeFillTint="33"/>
          </w:tcPr>
          <w:p w14:paraId="5A7D9DED" w14:textId="77777777" w:rsidR="00140260" w:rsidRPr="00A83597" w:rsidRDefault="00140260" w:rsidP="009B6A87">
            <w:pPr>
              <w:jc w:val="both"/>
            </w:pPr>
          </w:p>
        </w:tc>
        <w:tc>
          <w:tcPr>
            <w:tcW w:w="470" w:type="dxa"/>
            <w:shd w:val="clear" w:color="auto" w:fill="DAEEF3" w:themeFill="accent5" w:themeFillTint="33"/>
          </w:tcPr>
          <w:p w14:paraId="20208476" w14:textId="77777777" w:rsidR="00140260" w:rsidRPr="00A83597" w:rsidRDefault="00140260" w:rsidP="009B6A87">
            <w:pPr>
              <w:jc w:val="both"/>
            </w:pPr>
            <w:r>
              <w:sym w:font="Wingdings" w:char="F0FC"/>
            </w:r>
          </w:p>
        </w:tc>
        <w:tc>
          <w:tcPr>
            <w:tcW w:w="470" w:type="dxa"/>
          </w:tcPr>
          <w:p w14:paraId="1A8663E8" w14:textId="77777777" w:rsidR="00140260" w:rsidRPr="00A83597" w:rsidRDefault="00140260" w:rsidP="009B6A87">
            <w:pPr>
              <w:jc w:val="both"/>
            </w:pPr>
          </w:p>
        </w:tc>
        <w:tc>
          <w:tcPr>
            <w:tcW w:w="470" w:type="dxa"/>
          </w:tcPr>
          <w:p w14:paraId="30B3883C" w14:textId="2E4CF7DD" w:rsidR="00140260" w:rsidRPr="00A83597" w:rsidRDefault="00140260" w:rsidP="009B6A87">
            <w:pPr>
              <w:jc w:val="both"/>
            </w:pPr>
          </w:p>
        </w:tc>
        <w:tc>
          <w:tcPr>
            <w:tcW w:w="470" w:type="dxa"/>
            <w:shd w:val="clear" w:color="auto" w:fill="FDE9D9" w:themeFill="accent6" w:themeFillTint="33"/>
          </w:tcPr>
          <w:p w14:paraId="727E2E2D" w14:textId="77777777" w:rsidR="00140260" w:rsidRPr="00A83597" w:rsidRDefault="00140260" w:rsidP="009B6A87">
            <w:pPr>
              <w:jc w:val="both"/>
            </w:pPr>
            <w:r>
              <w:sym w:font="Wingdings" w:char="F0FC"/>
            </w:r>
          </w:p>
        </w:tc>
        <w:tc>
          <w:tcPr>
            <w:tcW w:w="470" w:type="dxa"/>
            <w:shd w:val="clear" w:color="auto" w:fill="FDE9D9" w:themeFill="accent6" w:themeFillTint="33"/>
          </w:tcPr>
          <w:p w14:paraId="6DBE6004" w14:textId="77777777" w:rsidR="00140260" w:rsidRPr="00A83597" w:rsidRDefault="00140260" w:rsidP="009B6A87">
            <w:pPr>
              <w:jc w:val="both"/>
            </w:pPr>
            <w:r>
              <w:sym w:font="Wingdings" w:char="F0FC"/>
            </w:r>
          </w:p>
        </w:tc>
        <w:tc>
          <w:tcPr>
            <w:tcW w:w="479" w:type="dxa"/>
          </w:tcPr>
          <w:p w14:paraId="3B767A68" w14:textId="4340E597" w:rsidR="00140260" w:rsidRPr="00A83597" w:rsidRDefault="00140260" w:rsidP="009B6A87">
            <w:pPr>
              <w:jc w:val="both"/>
            </w:pPr>
          </w:p>
        </w:tc>
        <w:tc>
          <w:tcPr>
            <w:tcW w:w="484" w:type="dxa"/>
          </w:tcPr>
          <w:p w14:paraId="4B42B27C" w14:textId="77777777" w:rsidR="00140260" w:rsidRPr="00A83597" w:rsidRDefault="00140260" w:rsidP="009B6A87">
            <w:pPr>
              <w:jc w:val="both"/>
            </w:pPr>
            <w:r>
              <w:sym w:font="Wingdings" w:char="F0FC"/>
            </w:r>
          </w:p>
        </w:tc>
        <w:tc>
          <w:tcPr>
            <w:tcW w:w="470" w:type="dxa"/>
          </w:tcPr>
          <w:p w14:paraId="58C61C8E" w14:textId="77777777" w:rsidR="00140260" w:rsidRPr="00A83597" w:rsidRDefault="00140260" w:rsidP="009B6A87">
            <w:pPr>
              <w:jc w:val="both"/>
            </w:pPr>
          </w:p>
        </w:tc>
        <w:tc>
          <w:tcPr>
            <w:tcW w:w="487" w:type="dxa"/>
          </w:tcPr>
          <w:p w14:paraId="434267CD" w14:textId="77777777" w:rsidR="00140260" w:rsidRPr="00A83597" w:rsidRDefault="00140260" w:rsidP="009B6A87">
            <w:pPr>
              <w:jc w:val="both"/>
            </w:pPr>
          </w:p>
        </w:tc>
      </w:tr>
      <w:tr w:rsidR="00140260" w:rsidRPr="00A83597" w14:paraId="041D0C17" w14:textId="77777777" w:rsidTr="009B6A87">
        <w:trPr>
          <w:jc w:val="center"/>
        </w:trPr>
        <w:tc>
          <w:tcPr>
            <w:tcW w:w="2107" w:type="dxa"/>
          </w:tcPr>
          <w:p w14:paraId="1E3169F9" w14:textId="0B8DE818" w:rsidR="00140260" w:rsidRPr="00A83597" w:rsidRDefault="00B477CA" w:rsidP="009B6A87">
            <w:pPr>
              <w:jc w:val="both"/>
            </w:pPr>
            <w:r>
              <w:t>Aswan Supriyadi Sunge</w:t>
            </w:r>
          </w:p>
        </w:tc>
        <w:tc>
          <w:tcPr>
            <w:tcW w:w="471" w:type="dxa"/>
            <w:shd w:val="clear" w:color="auto" w:fill="DAEEF3" w:themeFill="accent5" w:themeFillTint="33"/>
          </w:tcPr>
          <w:p w14:paraId="68BB2E1A" w14:textId="5E0DA3B4" w:rsidR="00140260" w:rsidRPr="00A83597" w:rsidRDefault="00140260" w:rsidP="009B6A87">
            <w:pPr>
              <w:jc w:val="both"/>
            </w:pPr>
          </w:p>
        </w:tc>
        <w:tc>
          <w:tcPr>
            <w:tcW w:w="476" w:type="dxa"/>
            <w:shd w:val="clear" w:color="auto" w:fill="DAEEF3" w:themeFill="accent5" w:themeFillTint="33"/>
          </w:tcPr>
          <w:p w14:paraId="6FE48192" w14:textId="77777777" w:rsidR="00140260" w:rsidRPr="00A83597" w:rsidRDefault="00140260" w:rsidP="009B6A87">
            <w:pPr>
              <w:jc w:val="both"/>
            </w:pPr>
          </w:p>
        </w:tc>
        <w:tc>
          <w:tcPr>
            <w:tcW w:w="481" w:type="dxa"/>
          </w:tcPr>
          <w:p w14:paraId="2C4BADFC" w14:textId="6AF891A7" w:rsidR="00140260" w:rsidRPr="00A83597" w:rsidRDefault="00140260" w:rsidP="009B6A87">
            <w:pPr>
              <w:jc w:val="both"/>
            </w:pPr>
          </w:p>
        </w:tc>
        <w:tc>
          <w:tcPr>
            <w:tcW w:w="489" w:type="dxa"/>
          </w:tcPr>
          <w:p w14:paraId="6E5E5E68" w14:textId="5CF8990B" w:rsidR="00140260" w:rsidRPr="00A83597" w:rsidRDefault="00140260" w:rsidP="009B6A87">
            <w:pPr>
              <w:jc w:val="both"/>
            </w:pPr>
          </w:p>
        </w:tc>
        <w:tc>
          <w:tcPr>
            <w:tcW w:w="484" w:type="dxa"/>
            <w:shd w:val="clear" w:color="auto" w:fill="DAEEF3" w:themeFill="accent5" w:themeFillTint="33"/>
          </w:tcPr>
          <w:p w14:paraId="3558AF06" w14:textId="77777777" w:rsidR="00140260" w:rsidRPr="00A83597" w:rsidRDefault="00140260" w:rsidP="009B6A87">
            <w:pPr>
              <w:jc w:val="both"/>
            </w:pPr>
          </w:p>
        </w:tc>
        <w:tc>
          <w:tcPr>
            <w:tcW w:w="470" w:type="dxa"/>
            <w:shd w:val="clear" w:color="auto" w:fill="DAEEF3" w:themeFill="accent5" w:themeFillTint="33"/>
          </w:tcPr>
          <w:p w14:paraId="263F3ABE" w14:textId="12824A9E" w:rsidR="00140260" w:rsidRPr="00A83597" w:rsidRDefault="005B78D5" w:rsidP="009B6A87">
            <w:pPr>
              <w:jc w:val="both"/>
            </w:pPr>
            <w:r>
              <w:sym w:font="Wingdings" w:char="F0FC"/>
            </w:r>
          </w:p>
        </w:tc>
        <w:tc>
          <w:tcPr>
            <w:tcW w:w="470" w:type="dxa"/>
          </w:tcPr>
          <w:p w14:paraId="62BD6263" w14:textId="16674301" w:rsidR="00140260" w:rsidRPr="00A83597" w:rsidRDefault="00140260" w:rsidP="009B6A87">
            <w:pPr>
              <w:jc w:val="both"/>
            </w:pPr>
          </w:p>
        </w:tc>
        <w:tc>
          <w:tcPr>
            <w:tcW w:w="470" w:type="dxa"/>
          </w:tcPr>
          <w:p w14:paraId="1674683A" w14:textId="77777777" w:rsidR="00140260" w:rsidRPr="00A83597" w:rsidRDefault="00140260" w:rsidP="009B6A87">
            <w:pPr>
              <w:jc w:val="both"/>
            </w:pPr>
          </w:p>
        </w:tc>
        <w:tc>
          <w:tcPr>
            <w:tcW w:w="470" w:type="dxa"/>
            <w:shd w:val="clear" w:color="auto" w:fill="FDE9D9" w:themeFill="accent6" w:themeFillTint="33"/>
          </w:tcPr>
          <w:p w14:paraId="0ACF4101" w14:textId="59CDB260" w:rsidR="00140260" w:rsidRPr="00A83597" w:rsidRDefault="005B78D5" w:rsidP="009B6A87">
            <w:pPr>
              <w:jc w:val="both"/>
            </w:pPr>
            <w:r>
              <w:sym w:font="Wingdings" w:char="F0FC"/>
            </w:r>
          </w:p>
        </w:tc>
        <w:tc>
          <w:tcPr>
            <w:tcW w:w="470" w:type="dxa"/>
            <w:shd w:val="clear" w:color="auto" w:fill="FDE9D9" w:themeFill="accent6" w:themeFillTint="33"/>
          </w:tcPr>
          <w:p w14:paraId="4BFD853A" w14:textId="77777777" w:rsidR="00140260" w:rsidRPr="00A83597" w:rsidRDefault="00140260" w:rsidP="009B6A87">
            <w:pPr>
              <w:jc w:val="both"/>
            </w:pPr>
            <w:r>
              <w:sym w:font="Wingdings" w:char="F0FC"/>
            </w:r>
          </w:p>
        </w:tc>
        <w:tc>
          <w:tcPr>
            <w:tcW w:w="479" w:type="dxa"/>
          </w:tcPr>
          <w:p w14:paraId="57ECCEF2" w14:textId="2BB4AE18" w:rsidR="00140260" w:rsidRPr="00A83597" w:rsidRDefault="00140260" w:rsidP="009B6A87">
            <w:pPr>
              <w:jc w:val="both"/>
            </w:pPr>
          </w:p>
        </w:tc>
        <w:tc>
          <w:tcPr>
            <w:tcW w:w="484" w:type="dxa"/>
          </w:tcPr>
          <w:p w14:paraId="32CC01B1" w14:textId="2EEF2441" w:rsidR="00140260" w:rsidRPr="00A83597" w:rsidRDefault="007751B3" w:rsidP="009B6A87">
            <w:pPr>
              <w:jc w:val="both"/>
            </w:pPr>
            <w:r>
              <w:sym w:font="Wingdings" w:char="F0FC"/>
            </w:r>
          </w:p>
        </w:tc>
        <w:tc>
          <w:tcPr>
            <w:tcW w:w="470" w:type="dxa"/>
          </w:tcPr>
          <w:p w14:paraId="5769ACBB" w14:textId="2E5FD9AE" w:rsidR="00140260" w:rsidRPr="00A83597" w:rsidRDefault="00140260" w:rsidP="009B6A87">
            <w:pPr>
              <w:jc w:val="both"/>
            </w:pPr>
          </w:p>
        </w:tc>
        <w:tc>
          <w:tcPr>
            <w:tcW w:w="487" w:type="dxa"/>
          </w:tcPr>
          <w:p w14:paraId="0C145C13" w14:textId="2E2EB550" w:rsidR="00140260" w:rsidRPr="00A83597" w:rsidRDefault="00140260" w:rsidP="009B6A87">
            <w:pPr>
              <w:jc w:val="both"/>
            </w:pPr>
          </w:p>
        </w:tc>
      </w:tr>
    </w:tbl>
    <w:p w14:paraId="14004709" w14:textId="77777777" w:rsidR="00140260" w:rsidRDefault="00140260" w:rsidP="00140260">
      <w:pPr>
        <w:tabs>
          <w:tab w:val="left" w:pos="284"/>
          <w:tab w:val="left" w:pos="426"/>
        </w:tabs>
        <w:jc w:val="both"/>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3"/>
        <w:gridCol w:w="3257"/>
        <w:gridCol w:w="2647"/>
      </w:tblGrid>
      <w:tr w:rsidR="00140260" w:rsidRPr="003420B5" w14:paraId="05F2A420" w14:textId="77777777" w:rsidTr="009B6A87">
        <w:trPr>
          <w:jc w:val="center"/>
        </w:trPr>
        <w:tc>
          <w:tcPr>
            <w:tcW w:w="2863" w:type="dxa"/>
          </w:tcPr>
          <w:p w14:paraId="69B1E707" w14:textId="77777777" w:rsidR="00140260" w:rsidRPr="003420B5" w:rsidRDefault="00140260" w:rsidP="009B6A87">
            <w:pPr>
              <w:tabs>
                <w:tab w:val="left" w:pos="284"/>
                <w:tab w:val="left" w:pos="426"/>
              </w:tabs>
              <w:jc w:val="both"/>
            </w:pPr>
            <w:r>
              <w:t>C</w:t>
              <w:tab/>
              <w:t xml:space="preserve">: </w:t>
              <w:tab/>
            </w:r>
            <w:r>
              <w:rPr>
                <w:b/>
                <w:bCs/>
              </w:rPr>
              <w:t>C</w:t>
            </w:r>
            <w:r>
              <w:rPr>
                <w:sz w:val="16"/>
                <w:szCs w:val="16"/>
              </w:rPr>
              <w:t>onceptualization</w:t>
            </w:r>
          </w:p>
          <w:p w14:paraId="68F8F1AD" w14:textId="77777777" w:rsidR="00140260" w:rsidRPr="003420B5" w:rsidRDefault="00140260" w:rsidP="009B6A87">
            <w:pPr>
              <w:tabs>
                <w:tab w:val="left" w:pos="284"/>
                <w:tab w:val="left" w:pos="426"/>
              </w:tabs>
              <w:jc w:val="both"/>
            </w:pPr>
            <w:r>
              <w:t>M</w:t>
              <w:tab/>
              <w:t xml:space="preserve">: </w:t>
              <w:tab/>
            </w:r>
            <w:r>
              <w:rPr>
                <w:b/>
                <w:bCs/>
              </w:rPr>
              <w:t>M</w:t>
            </w:r>
            <w:r>
              <w:rPr>
                <w:sz w:val="16"/>
                <w:szCs w:val="16"/>
              </w:rPr>
              <w:t>ethodology</w:t>
            </w:r>
          </w:p>
          <w:p w14:paraId="315C5689" w14:textId="77777777" w:rsidR="00140260" w:rsidRPr="003420B5" w:rsidRDefault="00140260" w:rsidP="009B6A87">
            <w:pPr>
              <w:tabs>
                <w:tab w:val="left" w:pos="284"/>
                <w:tab w:val="left" w:pos="426"/>
              </w:tabs>
              <w:jc w:val="both"/>
            </w:pPr>
            <w:r>
              <w:t>So</w:t>
              <w:tab/>
              <w:t xml:space="preserve">: </w:t>
              <w:tab/>
            </w:r>
            <w:r>
              <w:rPr>
                <w:b/>
                <w:bCs/>
              </w:rPr>
              <w:t>So</w:t>
            </w:r>
            <w:r>
              <w:rPr>
                <w:sz w:val="16"/>
                <w:szCs w:val="16"/>
              </w:rPr>
              <w:t>ftware</w:t>
            </w:r>
          </w:p>
          <w:p w14:paraId="3E7093B2" w14:textId="77777777" w:rsidR="00140260" w:rsidRPr="003420B5" w:rsidRDefault="00140260" w:rsidP="009B6A87">
            <w:pPr>
              <w:tabs>
                <w:tab w:val="left" w:pos="284"/>
                <w:tab w:val="left" w:pos="426"/>
              </w:tabs>
              <w:jc w:val="both"/>
            </w:pPr>
            <w:r>
              <w:t>Va</w:t>
              <w:tab/>
              <w:t xml:space="preserve">: </w:t>
              <w:tab/>
            </w:r>
            <w:r>
              <w:rPr>
                <w:b/>
                <w:bCs/>
              </w:rPr>
              <w:t>Va</w:t>
            </w:r>
            <w:r>
              <w:rPr>
                <w:sz w:val="16"/>
                <w:szCs w:val="16"/>
              </w:rPr>
              <w:t>lidation</w:t>
            </w:r>
          </w:p>
          <w:p w14:paraId="7FDEE9E7" w14:textId="77777777" w:rsidR="00140260" w:rsidRPr="003420B5" w:rsidRDefault="00140260" w:rsidP="009B6A87">
            <w:pPr>
              <w:tabs>
                <w:tab w:val="left" w:pos="284"/>
                <w:tab w:val="left" w:pos="426"/>
              </w:tabs>
              <w:jc w:val="both"/>
            </w:pPr>
            <w:r>
              <w:t>Fo</w:t>
              <w:tab/>
              <w:t xml:space="preserve">: </w:t>
              <w:tab/>
            </w:r>
            <w:r>
              <w:rPr>
                <w:b/>
                <w:bCs/>
              </w:rPr>
              <w:t>Fo</w:t>
            </w:r>
            <w:r>
              <w:rPr>
                <w:sz w:val="16"/>
                <w:szCs w:val="16"/>
              </w:rPr>
              <w:t>rmal analysis</w:t>
            </w:r>
          </w:p>
        </w:tc>
        <w:tc>
          <w:tcPr>
            <w:tcW w:w="3257" w:type="dxa"/>
          </w:tcPr>
          <w:p w14:paraId="25C045BF" w14:textId="77777777" w:rsidR="00140260" w:rsidRPr="003420B5" w:rsidRDefault="00140260" w:rsidP="009B6A87">
            <w:pPr>
              <w:tabs>
                <w:tab w:val="left" w:pos="284"/>
                <w:tab w:val="left" w:pos="426"/>
              </w:tabs>
              <w:jc w:val="both"/>
            </w:pPr>
            <w:r>
              <w:t>I</w:t>
              <w:tab/>
              <w:t xml:space="preserve">: </w:t>
              <w:tab/>
            </w:r>
            <w:r>
              <w:rPr>
                <w:b/>
                <w:bCs/>
              </w:rPr>
              <w:t>I</w:t>
            </w:r>
            <w:r>
              <w:rPr>
                <w:sz w:val="16"/>
                <w:szCs w:val="16"/>
              </w:rPr>
              <w:t>nvestigation</w:t>
            </w:r>
          </w:p>
          <w:p w14:paraId="5C40698E" w14:textId="77777777" w:rsidR="00140260" w:rsidRPr="003420B5" w:rsidRDefault="00140260" w:rsidP="009B6A87">
            <w:pPr>
              <w:tabs>
                <w:tab w:val="left" w:pos="284"/>
                <w:tab w:val="left" w:pos="426"/>
              </w:tabs>
              <w:jc w:val="both"/>
            </w:pPr>
            <w:r>
              <w:t>R</w:t>
              <w:tab/>
              <w:t xml:space="preserve">: </w:t>
              <w:tab/>
            </w:r>
            <w:r>
              <w:rPr>
                <w:b/>
                <w:bCs/>
              </w:rPr>
              <w:t>R</w:t>
            </w:r>
            <w:r>
              <w:rPr>
                <w:sz w:val="16"/>
                <w:szCs w:val="16"/>
              </w:rPr>
              <w:t>esources</w:t>
            </w:r>
          </w:p>
          <w:p w14:paraId="2E1E5D21" w14:textId="77777777" w:rsidR="00140260" w:rsidRPr="003420B5" w:rsidRDefault="00140260" w:rsidP="009B6A87">
            <w:pPr>
              <w:tabs>
                <w:tab w:val="left" w:pos="284"/>
                <w:tab w:val="left" w:pos="426"/>
              </w:tabs>
              <w:jc w:val="both"/>
            </w:pPr>
            <w:r>
              <w:t>D</w:t>
              <w:tab/>
              <w:t>:</w:t>
              <w:tab/>
            </w:r>
            <w:r>
              <w:rPr>
                <w:b/>
                <w:bCs/>
              </w:rPr>
              <w:t>D</w:t>
            </w:r>
            <w:r>
              <w:rPr>
                <w:sz w:val="16"/>
                <w:szCs w:val="16"/>
              </w:rPr>
              <w:t>ata Curation</w:t>
            </w:r>
          </w:p>
          <w:p w14:paraId="5DE78E15" w14:textId="77777777" w:rsidR="00140260" w:rsidRPr="003420B5" w:rsidRDefault="00140260" w:rsidP="009B6A87">
            <w:pPr>
              <w:tabs>
                <w:tab w:val="left" w:pos="284"/>
                <w:tab w:val="left" w:pos="426"/>
              </w:tabs>
              <w:jc w:val="both"/>
            </w:pPr>
            <w:r>
              <w:t>O</w:t>
              <w:tab/>
              <w:t>:</w:t>
              <w:tab/>
            </w:r>
            <w:r>
              <w:rPr>
                <w:sz w:val="16"/>
                <w:szCs w:val="16"/>
              </w:rPr>
              <w:t>Writing -</w:t>
            </w:r>
            <w:r>
              <w:t xml:space="preserve"> </w:t>
            </w:r>
            <w:r>
              <w:rPr>
                <w:b/>
                <w:bCs/>
              </w:rPr>
              <w:t>O</w:t>
            </w:r>
            <w:r>
              <w:rPr>
                <w:sz w:val="16"/>
                <w:szCs w:val="16"/>
              </w:rPr>
              <w:t>riginal Draft</w:t>
            </w:r>
          </w:p>
          <w:p w14:paraId="1742A654" w14:textId="77777777" w:rsidR="00140260" w:rsidRPr="003420B5" w:rsidRDefault="00140260" w:rsidP="009B6A87">
            <w:pPr>
              <w:tabs>
                <w:tab w:val="left" w:pos="284"/>
                <w:tab w:val="left" w:pos="426"/>
              </w:tabs>
              <w:jc w:val="both"/>
            </w:pPr>
            <w:r>
              <w:t>E</w:t>
              <w:tab/>
              <w:t>:</w:t>
              <w:tab/>
            </w:r>
            <w:r>
              <w:rPr>
                <w:sz w:val="16"/>
                <w:szCs w:val="16"/>
              </w:rPr>
              <w:t>Writing - Review &amp;</w:t>
            </w:r>
            <w:r>
              <w:t xml:space="preserve"> </w:t>
            </w:r>
            <w:r>
              <w:rPr>
                <w:b/>
                <w:bCs/>
              </w:rPr>
              <w:t>E</w:t>
            </w:r>
            <w:r>
              <w:rPr>
                <w:sz w:val="16"/>
                <w:szCs w:val="16"/>
              </w:rPr>
              <w:t>diting</w:t>
            </w:r>
          </w:p>
        </w:tc>
        <w:tc>
          <w:tcPr>
            <w:tcW w:w="2647" w:type="dxa"/>
          </w:tcPr>
          <w:p w14:paraId="72F3B12A" w14:textId="77777777" w:rsidR="00140260" w:rsidRPr="003420B5" w:rsidRDefault="00140260" w:rsidP="009B6A87">
            <w:pPr>
              <w:tabs>
                <w:tab w:val="left" w:pos="284"/>
                <w:tab w:val="left" w:pos="426"/>
              </w:tabs>
              <w:jc w:val="both"/>
            </w:pPr>
            <w:r>
              <w:t>Vi</w:t>
              <w:tab/>
              <w:t xml:space="preserve">: </w:t>
              <w:tab/>
            </w:r>
            <w:r>
              <w:rPr>
                <w:b/>
                <w:bCs/>
              </w:rPr>
              <w:t>Vi</w:t>
            </w:r>
            <w:r>
              <w:rPr>
                <w:sz w:val="16"/>
                <w:szCs w:val="16"/>
              </w:rPr>
              <w:t>sualization</w:t>
            </w:r>
          </w:p>
          <w:p w14:paraId="09E0917F" w14:textId="77777777" w:rsidR="00140260" w:rsidRPr="003420B5" w:rsidRDefault="00140260" w:rsidP="009B6A87">
            <w:pPr>
              <w:tabs>
                <w:tab w:val="left" w:pos="284"/>
                <w:tab w:val="left" w:pos="426"/>
              </w:tabs>
              <w:jc w:val="both"/>
            </w:pPr>
            <w:r>
              <w:t>Su</w:t>
              <w:tab/>
              <w:t xml:space="preserve">: </w:t>
              <w:tab/>
            </w:r>
            <w:r>
              <w:rPr>
                <w:b/>
                <w:bCs/>
              </w:rPr>
              <w:t>Su</w:t>
            </w:r>
            <w:r>
              <w:rPr>
                <w:sz w:val="16"/>
                <w:szCs w:val="16"/>
              </w:rPr>
              <w:t>pervision</w:t>
            </w:r>
          </w:p>
          <w:p w14:paraId="073A64B8" w14:textId="77777777" w:rsidR="00140260" w:rsidRPr="003420B5" w:rsidRDefault="00140260" w:rsidP="009B6A87">
            <w:pPr>
              <w:tabs>
                <w:tab w:val="left" w:pos="284"/>
                <w:tab w:val="left" w:pos="426"/>
              </w:tabs>
              <w:jc w:val="both"/>
            </w:pPr>
            <w:r>
              <w:t>P</w:t>
              <w:tab/>
              <w:t xml:space="preserve">: </w:t>
              <w:tab/>
            </w:r>
            <w:r>
              <w:rPr>
                <w:b/>
                <w:bCs/>
              </w:rPr>
              <w:t>P</w:t>
            </w:r>
            <w:r>
              <w:rPr>
                <w:sz w:val="16"/>
                <w:szCs w:val="16"/>
              </w:rPr>
              <w:t>roject administration</w:t>
            </w:r>
          </w:p>
          <w:p w14:paraId="6636A76E" w14:textId="77777777" w:rsidR="00140260" w:rsidRPr="003420B5" w:rsidRDefault="00140260" w:rsidP="009B6A87">
            <w:pPr>
              <w:tabs>
                <w:tab w:val="left" w:pos="284"/>
                <w:tab w:val="left" w:pos="426"/>
              </w:tabs>
              <w:jc w:val="both"/>
            </w:pPr>
            <w:r>
              <w:t>Fu</w:t>
              <w:tab/>
              <w:t xml:space="preserve">: </w:t>
              <w:tab/>
            </w:r>
            <w:r>
              <w:rPr>
                <w:b/>
                <w:bCs/>
              </w:rPr>
              <w:t>Fu</w:t>
            </w:r>
            <w:r>
              <w:rPr>
                <w:sz w:val="16"/>
                <w:szCs w:val="16"/>
              </w:rPr>
              <w:t>nding acquisition</w:t>
            </w:r>
          </w:p>
          <w:p w14:paraId="59C216D4" w14:textId="77777777" w:rsidR="00140260" w:rsidRPr="003420B5" w:rsidRDefault="00140260" w:rsidP="009B6A87">
            <w:pPr>
              <w:tabs>
                <w:tab w:val="left" w:pos="284"/>
                <w:tab w:val="left" w:pos="426"/>
              </w:tabs>
              <w:jc w:val="both"/>
            </w:pPr>
          </w:p>
        </w:tc>
      </w:tr>
    </w:tbl>
    <w:p w14:paraId="65E91909" w14:textId="77777777" w:rsidR="00875A0C" w:rsidRPr="00FC1023" w:rsidRDefault="00875A0C" w:rsidP="00875A0C">
      <w:pPr>
        <w:jc w:val="both"/>
      </w:pPr>
    </w:p>
    <w:p w14:paraId="7BC6B338" w14:textId="77777777" w:rsidR="008F7C6C" w:rsidRPr="00FC1023" w:rsidRDefault="008F7C6C" w:rsidP="00875A0C">
      <w:pPr>
        <w:jc w:val="both"/>
      </w:pPr>
    </w:p>
    <w:p w14:paraId="3A726302" w14:textId="32DB17F1" w:rsidR="00875A0C" w:rsidRPr="00FC1023" w:rsidRDefault="00875A0C" w:rsidP="00875A0C">
      <w:pPr>
        <w:jc w:val="both"/>
        <w:rPr>
          <w:b/>
          <w:bCs/>
        </w:rPr>
      </w:pPr>
      <w:r>
        <w:rPr>
          <w:b/>
          <w:bCs/>
        </w:rPr>
        <w:t>CONFLICT OF INTEREST STATEMENT</w:t>
      </w:r>
    </w:p>
    <w:p w14:paraId="1C384A6F" w14:textId="480AE705" w:rsidR="00875A0C" w:rsidRPr="00FC1023" w:rsidRDefault="004208FC" w:rsidP="00875A0C">
      <w:pPr>
        <w:tabs>
          <w:tab w:val="left" w:pos="284"/>
          <w:tab w:val="left" w:pos="426"/>
        </w:tabs>
        <w:jc w:val="both"/>
      </w:pPr>
      <w:r>
        <w:tab/>
        <w:tab/>
        <w:tab/>
        <w:t>Authors state no conflict of interest.</w:t>
      </w:r>
    </w:p>
    <w:p w14:paraId="368C3B19" w14:textId="77777777" w:rsidR="00875A0C" w:rsidRPr="00FC1023" w:rsidRDefault="00875A0C" w:rsidP="00875A0C">
      <w:pPr>
        <w:jc w:val="both"/>
        <w:rPr>
          <w:b/>
          <w:bCs/>
        </w:rPr>
      </w:pPr>
    </w:p>
    <w:p w14:paraId="4F065C4C" w14:textId="77777777" w:rsidR="00875A0C" w:rsidRPr="00FC1023" w:rsidRDefault="00875A0C" w:rsidP="00875A0C">
      <w:pPr>
        <w:jc w:val="both"/>
        <w:rPr>
          <w:b/>
          <w:bCs/>
        </w:rPr>
      </w:pPr>
    </w:p>
    <w:p w14:paraId="5B07927B" w14:textId="396E861D" w:rsidR="00140260" w:rsidRPr="00A83597" w:rsidRDefault="00140260" w:rsidP="00140260">
      <w:pPr>
        <w:jc w:val="both"/>
        <w:rPr>
          <w:b/>
          <w:bCs/>
        </w:rPr>
      </w:pPr>
      <w:r>
        <w:rPr>
          <w:b/>
          <w:bCs/>
        </w:rPr>
        <w:t>DATA AVAILABILITY</w:t>
      </w:r>
    </w:p>
    <w:p w14:paraId="76AA37EB" w14:textId="73218FDD" w:rsidR="006E1F55" w:rsidRDefault="000329A7" w:rsidP="000329A7">
      <w:pPr>
        <w:tabs>
          <w:tab w:val="left" w:pos="284"/>
          <w:tab w:val="left" w:pos="426"/>
        </w:tabs>
        <w:ind w:firstLine="709"/>
        <w:jc w:val="both"/>
      </w:pPr>
      <w:r>
        <w:t>The data that support the findings of this study are available from the corresponding author, upon reasonable request .</w:t>
      </w:r>
    </w:p>
    <w:p w14:paraId="06E1EBC6" w14:textId="77777777" w:rsidR="000F5154" w:rsidRDefault="000F5154" w:rsidP="000F5154">
      <w:pPr>
        <w:tabs>
          <w:tab w:val="left" w:pos="284"/>
          <w:tab w:val="left" w:pos="426"/>
        </w:tabs>
        <w:ind w:firstLine="709"/>
        <w:jc w:val="both"/>
      </w:pPr>
    </w:p>
    <w:p w14:paraId="52490CDC" w14:textId="77777777" w:rsidR="000F5154" w:rsidRPr="00FC1023" w:rsidRDefault="000F5154" w:rsidP="000F5154">
      <w:pPr>
        <w:tabs>
          <w:tab w:val="left" w:pos="284"/>
          <w:tab w:val="left" w:pos="426"/>
        </w:tabs>
        <w:ind w:firstLine="709"/>
        <w:jc w:val="both"/>
        <w:rPr>
          <w:i/>
          <w:iCs/>
          <w:color w:val="000000"/>
          <w:sz w:val="18"/>
          <w:szCs w:val="18"/>
        </w:rPr>
      </w:pPr>
    </w:p>
    <w:p w14:paraId="7B303AAA" w14:textId="77777777" w:rsidR="006E1F55" w:rsidRPr="00FC1023" w:rsidRDefault="006E1F55" w:rsidP="006E1F55">
      <w:pPr>
        <w:jc w:val="both"/>
        <w:rPr>
          <w:i/>
          <w:iCs/>
          <w:color w:val="000000"/>
          <w:sz w:val="18"/>
          <w:szCs w:val="18"/>
        </w:rPr>
      </w:pPr>
      <w:bookmarkStart w:id="3" w:name="_Hlk78354977"/>
      <w:r>
        <w:rPr>
          <w:rStyle w:val="apple-style-span"/>
          <w:b/>
          <w:color w:val="000000"/>
        </w:rPr>
        <w:t>REFERENCES</w:t>
      </w:r>
    </w:p>
    <w:bookmarkEnd w:id="3"/>
    <w:p w14:paraId="33D6B034" w14:textId="50647CC6" w:rsidR="008A6A82" w:rsidRPr="008A6A82" w:rsidRDefault="008A6A82" w:rsidP="008A6A82">
      <w:pPr>
        <w:widowControl w:val="0"/>
        <w:autoSpaceDE w:val="0"/>
        <w:autoSpaceDN w:val="0"/>
        <w:adjustRightInd w:val="0"/>
        <w:ind w:left="426" w:hanging="426"/>
        <w:jc w:val="both"/>
        <w:rPr>
          <w:color w:val="000000"/>
          <w:sz w:val="16"/>
          <w:szCs w:val="16"/>
        </w:rPr>
      </w:pPr>
      <w:r>
        <w:rPr>
          <w:sz w:val="16"/>
        </w:rPr>
        <w:t>[1]</w:t>
        <w:tab/>
        <w:t>A. Urquhart, "The inefficiency of Bitcoin," Econ. Lett., vol. 148, pp. 80–82, 2016. doi: 10.1016/j.econlet.2016.09.019.</w:t>
      </w:r>
    </w:p>
    <w:p w14:paraId="4E329853" w14:textId="0104C987" w:rsidR="008A6A82" w:rsidRPr="008A6A82" w:rsidRDefault="008A6A82" w:rsidP="008A6A82">
      <w:pPr>
        <w:widowControl w:val="0"/>
        <w:autoSpaceDE w:val="0"/>
        <w:autoSpaceDN w:val="0"/>
        <w:adjustRightInd w:val="0"/>
        <w:ind w:left="426" w:hanging="426"/>
        <w:jc w:val="both"/>
        <w:rPr>
          <w:color w:val="000000"/>
          <w:sz w:val="16"/>
          <w:szCs w:val="16"/>
        </w:rPr>
      </w:pPr>
      <w:r>
        <w:rPr>
          <w:sz w:val="16"/>
        </w:rPr>
        <w:t>[2]</w:t>
        <w:tab/>
        <w:t>P. K. Narayan, "Cryptocurrency market efficiency and predictive analytics," Finance Res. Lett., vol. 46, art. no. 102431, 2022. doi: 10.1016/j.frl.2021.102431.</w:t>
      </w:r>
    </w:p>
    <w:p w14:paraId="060A9567" w14:textId="26CE38C4" w:rsidR="008A6A82" w:rsidRPr="008A6A82" w:rsidRDefault="008A6A82" w:rsidP="008A6A82">
      <w:pPr>
        <w:widowControl w:val="0"/>
        <w:autoSpaceDE w:val="0"/>
        <w:autoSpaceDN w:val="0"/>
        <w:adjustRightInd w:val="0"/>
        <w:ind w:left="426" w:hanging="426"/>
        <w:jc w:val="both"/>
        <w:rPr>
          <w:color w:val="000000"/>
          <w:sz w:val="16"/>
          <w:szCs w:val="16"/>
        </w:rPr>
      </w:pPr>
      <w:r>
        <w:rPr>
          <w:sz w:val="16"/>
        </w:rPr>
        <w:t>[3]</w:t>
        <w:tab/>
        <w:t>S. Makridakis, E. Spiliotis, and V. Assimakopoulos, "Statistical and Machine Learning forecasting methods: Concerns and ways forward," PLoS ONE, vol. 13, no. 3, p. e0194889, 2018. doi: 10.1371/journal.pone.0194889.</w:t>
      </w:r>
    </w:p>
    <w:p w14:paraId="5F123D73" w14:textId="6E81F628" w:rsidR="008A6A82" w:rsidRPr="008A6A82" w:rsidRDefault="008A6A82" w:rsidP="008A6A82">
      <w:pPr>
        <w:widowControl w:val="0"/>
        <w:autoSpaceDE w:val="0"/>
        <w:autoSpaceDN w:val="0"/>
        <w:adjustRightInd w:val="0"/>
        <w:ind w:left="426" w:hanging="426"/>
        <w:jc w:val="both"/>
        <w:rPr>
          <w:color w:val="000000"/>
          <w:sz w:val="16"/>
          <w:szCs w:val="16"/>
        </w:rPr>
      </w:pPr>
      <w:r>
        <w:rPr>
          <w:sz w:val="16"/>
        </w:rPr>
        <w:t>[4]</w:t>
        <w:tab/>
        <w:t>A. F. de O. Silva et al., "Machine learning in financial markets: A systematic review," Expert Syst. Appl., vol. 202, art. no. 117283, 2022. doi: 10.1016/j.eswa.2022.117283.</w:t>
      </w:r>
    </w:p>
    <w:p w14:paraId="59CC44FC" w14:textId="0ACD444F" w:rsidR="008A6A82" w:rsidRPr="008A6A82" w:rsidRDefault="008A6A82" w:rsidP="008A6A82">
      <w:pPr>
        <w:widowControl w:val="0"/>
        <w:autoSpaceDE w:val="0"/>
        <w:autoSpaceDN w:val="0"/>
        <w:adjustRightInd w:val="0"/>
        <w:ind w:left="426" w:hanging="426"/>
        <w:jc w:val="both"/>
        <w:rPr>
          <w:color w:val="000000"/>
          <w:sz w:val="16"/>
          <w:szCs w:val="16"/>
        </w:rPr>
      </w:pPr>
      <w:r>
        <w:rPr>
          <w:sz w:val="16"/>
        </w:rPr>
        <w:t>[5]</w:t>
        <w:tab/>
        <w:t>W. Bao, J. Yue, and Y. Rao, "A deep learning framework for financial time series using stacked autoencoders and long-short term memory," PLoS ONE, vol. 12, no. 7, p. e0180944, 2017. doi: 10.1371/journal.pone.0180944.</w:t>
      </w:r>
    </w:p>
    <w:p w14:paraId="0C7F5A15" w14:textId="7FC25433" w:rsidR="008A6A82" w:rsidRPr="008A6A82" w:rsidRDefault="008A6A82" w:rsidP="008A6A82">
      <w:pPr>
        <w:widowControl w:val="0"/>
        <w:autoSpaceDE w:val="0"/>
        <w:autoSpaceDN w:val="0"/>
        <w:adjustRightInd w:val="0"/>
        <w:ind w:left="426" w:hanging="426"/>
        <w:jc w:val="both"/>
        <w:rPr>
          <w:color w:val="000000"/>
          <w:sz w:val="16"/>
          <w:szCs w:val="16"/>
        </w:rPr>
      </w:pPr>
      <w:r>
        <w:rPr>
          <w:sz w:val="16"/>
        </w:rPr>
        <w:t>[6]</w:t>
        <w:tab/>
        <w:t>H. Chaudhuri and I. Ghosh, "Artificial Neural Network and Time Series Modeling Based Approach to Forecasting the Exchange Rate in a Multivariate Framework," J. Quant. Econ., vol. 14, pp. 201–226, 2016. doi: 10.1007/s40953-016-0023-6.</w:t>
      </w:r>
    </w:p>
    <w:p w14:paraId="0CAF85A3" w14:textId="5D252FFF" w:rsidR="008A6A82" w:rsidRPr="008A6A82" w:rsidRDefault="008A6A82" w:rsidP="008A6A82">
      <w:pPr>
        <w:widowControl w:val="0"/>
        <w:autoSpaceDE w:val="0"/>
        <w:autoSpaceDN w:val="0"/>
        <w:adjustRightInd w:val="0"/>
        <w:ind w:left="426" w:hanging="426"/>
        <w:jc w:val="both"/>
        <w:rPr>
          <w:color w:val="000000"/>
          <w:sz w:val="16"/>
          <w:szCs w:val="16"/>
        </w:rPr>
      </w:pPr>
      <w:r>
        <w:rPr>
          <w:sz w:val="16"/>
        </w:rPr>
        <w:t>[7]</w:t>
        <w:tab/>
        <w:t>P. C. Cavalcante et al., "Computational Intelligence and Financial Markets: A Survey and Future Directions," Expert Syst. Appl., vol. 55, pp. 194–211, 2016. doi: 10.1016/j.eswa.2016.02.006.</w:t>
      </w:r>
    </w:p>
    <w:p w14:paraId="44A685EC" w14:textId="76AF330F" w:rsidR="008A6A82" w:rsidRPr="008A6A82" w:rsidRDefault="008A6A82" w:rsidP="008A6A82">
      <w:pPr>
        <w:widowControl w:val="0"/>
        <w:autoSpaceDE w:val="0"/>
        <w:autoSpaceDN w:val="0"/>
        <w:adjustRightInd w:val="0"/>
        <w:ind w:left="426" w:hanging="426"/>
        <w:jc w:val="both"/>
        <w:rPr>
          <w:color w:val="000000"/>
          <w:sz w:val="16"/>
          <w:szCs w:val="16"/>
        </w:rPr>
      </w:pPr>
      <w:r>
        <w:rPr>
          <w:sz w:val="16"/>
        </w:rPr>
        <w:t>[8]</w:t>
        <w:tab/>
        <w:t>S. F. Ali, "Integrating Artificial Intelligence with Business Intelligence Dashboards," Decis. Support Syst., vol. 165, art. no. 113887, 2023. doi: 10.1016/j.dss.2022.113887.</w:t>
      </w:r>
    </w:p>
    <w:p w14:paraId="436C820E" w14:textId="3A46B618" w:rsidR="008A6A82" w:rsidRPr="008A6A82" w:rsidRDefault="008A6A82" w:rsidP="008A6A82">
      <w:pPr>
        <w:widowControl w:val="0"/>
        <w:autoSpaceDE w:val="0"/>
        <w:autoSpaceDN w:val="0"/>
        <w:adjustRightInd w:val="0"/>
        <w:ind w:left="426" w:hanging="426"/>
        <w:jc w:val="both"/>
        <w:rPr>
          <w:color w:val="000000"/>
          <w:sz w:val="16"/>
          <w:szCs w:val="16"/>
        </w:rPr>
      </w:pPr>
      <w:r>
        <w:rPr>
          <w:sz w:val="16"/>
        </w:rPr>
        <w:t>[9]</w:t>
        <w:tab/>
        <w:t>D. J. Power, "Decision support systems: A historical overview," Commun. Assoc. Inf. Syst., vol. 13, no. 1, art. no. 15, 2004. doi: 10.17705/1CAIS.01315.</w:t>
      </w:r>
    </w:p>
    <w:p w14:paraId="34C62C54" w14:textId="45C48312" w:rsidR="008A6A82" w:rsidRPr="008A6A82" w:rsidRDefault="008A6A82" w:rsidP="008A6A82">
      <w:pPr>
        <w:widowControl w:val="0"/>
        <w:autoSpaceDE w:val="0"/>
        <w:autoSpaceDN w:val="0"/>
        <w:adjustRightInd w:val="0"/>
        <w:ind w:left="426" w:hanging="426"/>
        <w:jc w:val="both"/>
        <w:rPr>
          <w:color w:val="000000"/>
          <w:sz w:val="16"/>
          <w:szCs w:val="16"/>
        </w:rPr>
      </w:pPr>
      <w:r>
        <w:rPr>
          <w:sz w:val="16"/>
        </w:rPr>
        <w:t>[10]</w:t>
        <w:tab/>
        <w:t>A. Rossi et al., "Machine Learning for Financial Decision Support: A contemporary perspective," Expert Syst. Appl., vol. 238, art. no. 122245, 2024. doi: 10.1016/j.eswa.2023.122245.</w:t>
      </w:r>
    </w:p>
    <w:p w14:paraId="319F52CE" w14:textId="1EE526E7" w:rsidR="008A6A82" w:rsidRPr="008A6A82" w:rsidRDefault="008A6A82" w:rsidP="008A6A82">
      <w:pPr>
        <w:widowControl w:val="0"/>
        <w:autoSpaceDE w:val="0"/>
        <w:autoSpaceDN w:val="0"/>
        <w:adjustRightInd w:val="0"/>
        <w:ind w:left="426" w:hanging="426"/>
        <w:jc w:val="both"/>
        <w:rPr>
          <w:color w:val="000000"/>
          <w:sz w:val="16"/>
          <w:szCs w:val="16"/>
        </w:rPr>
      </w:pPr>
      <w:r>
        <w:rPr>
          <w:sz w:val="16"/>
        </w:rPr>
        <w:t>[11]</w:t>
        <w:tab/>
        <w:t>A. Krauss, X. Q. Do, and N. Huck, "Deep neural networks, gradient-boosted trees, random forests: Statistical arbitrage on the S&amp;P 500," Eur. J. Oper. Res., vol. 259, no. 2, pp. 689–702, 2017. doi: 10.1016/j.ejor.2016.12.004.</w:t>
      </w:r>
    </w:p>
    <w:p w14:paraId="48387CD5" w14:textId="58122BD5" w:rsidR="008A6A82" w:rsidRPr="008A6A82" w:rsidRDefault="008A6A82" w:rsidP="008A6A82">
      <w:pPr>
        <w:widowControl w:val="0"/>
        <w:autoSpaceDE w:val="0"/>
        <w:autoSpaceDN w:val="0"/>
        <w:adjustRightInd w:val="0"/>
        <w:ind w:left="426" w:hanging="426"/>
        <w:jc w:val="both"/>
        <w:rPr>
          <w:color w:val="000000"/>
          <w:sz w:val="16"/>
          <w:szCs w:val="16"/>
        </w:rPr>
      </w:pPr>
      <w:r>
        <w:rPr>
          <w:sz w:val="16"/>
        </w:rPr>
        <w:t>[12]</w:t>
        <w:tab/>
        <w:t>T. Chen and C. Guestrin, "XGBoost: A Scalable Tree Boosting System," in Proc. 22nd ACM SIGKDD Int. Conf. Knowl. Discovery Data Min. (KDD), San Francisco, CA, USA, 2016, pp. 785–794. doi: 10.1145/2939672.2939785.</w:t>
      </w:r>
    </w:p>
    <w:p w14:paraId="3A19C29C" w14:textId="1ADA0F48" w:rsidR="008A6A82" w:rsidRPr="008A6A82" w:rsidRDefault="008A6A82" w:rsidP="008A6A82">
      <w:pPr>
        <w:widowControl w:val="0"/>
        <w:autoSpaceDE w:val="0"/>
        <w:autoSpaceDN w:val="0"/>
        <w:adjustRightInd w:val="0"/>
        <w:ind w:left="426" w:hanging="426"/>
        <w:jc w:val="both"/>
        <w:rPr>
          <w:color w:val="000000"/>
          <w:sz w:val="16"/>
          <w:szCs w:val="16"/>
        </w:rPr>
      </w:pPr>
      <w:r>
        <w:rPr>
          <w:sz w:val="16"/>
        </w:rPr>
        <w:t>[13]</w:t>
        <w:tab/>
        <w:t>J. Zheng, X. Xu, P. Zheng, and Z. Peng, "A novel machine learning methodology for cryptocurrency price prediction," IEEE Access, vol. 7, pp. 109287–109295, 2019. doi: 10.1109/ACCESS.2019.2906809.</w:t>
      </w:r>
    </w:p>
    <w:p w14:paraId="094B9C3D" w14:textId="3A890430" w:rsidR="008A6A82" w:rsidRPr="008A6A82" w:rsidRDefault="008A6A82" w:rsidP="008A6A82">
      <w:pPr>
        <w:widowControl w:val="0"/>
        <w:autoSpaceDE w:val="0"/>
        <w:autoSpaceDN w:val="0"/>
        <w:adjustRightInd w:val="0"/>
        <w:ind w:left="426" w:hanging="426"/>
        <w:jc w:val="both"/>
        <w:rPr>
          <w:color w:val="000000"/>
          <w:sz w:val="16"/>
          <w:szCs w:val="16"/>
        </w:rPr>
      </w:pPr>
      <w:r>
        <w:rPr>
          <w:sz w:val="16"/>
        </w:rPr>
        <w:t>[14]</w:t>
        <w:tab/>
        <w:t>S. Hochreiter and J. Schmidhuber, "Long short-term memory," Neural Comput., vol. 9, no. 8, pp. 1735–1780, 1997. doi: 10.1162/neco.1997.9.8.1735.</w:t>
      </w:r>
    </w:p>
    <w:p w14:paraId="34B5812A" w14:textId="357286C5" w:rsidR="008A6A82" w:rsidRPr="008A6A82" w:rsidRDefault="008A6A82" w:rsidP="008A6A82">
      <w:pPr>
        <w:widowControl w:val="0"/>
        <w:autoSpaceDE w:val="0"/>
        <w:autoSpaceDN w:val="0"/>
        <w:adjustRightInd w:val="0"/>
        <w:ind w:left="426" w:hanging="426"/>
        <w:jc w:val="both"/>
        <w:rPr>
          <w:color w:val="000000"/>
          <w:sz w:val="16"/>
          <w:szCs w:val="16"/>
        </w:rPr>
      </w:pPr>
      <w:r>
        <w:rPr>
          <w:sz w:val="16"/>
        </w:rPr>
        <w:t>[15]</w:t>
        <w:tab/>
        <w:t>F. A. Gers, J. Schmidhuber, and F. Cummins, “Learning to Forget: Continual Prediction with LSTM,” Neural Comput., vol. 12, no. 10, pp. 2451–2471, 2000. doi: 10.1162/089976600300015015.</w:t>
      </w:r>
    </w:p>
    <w:p w14:paraId="69119876" w14:textId="412C43B0" w:rsidR="008A6A82" w:rsidRPr="008A6A82" w:rsidRDefault="008A6A82" w:rsidP="008A6A82">
      <w:pPr>
        <w:widowControl w:val="0"/>
        <w:autoSpaceDE w:val="0"/>
        <w:autoSpaceDN w:val="0"/>
        <w:adjustRightInd w:val="0"/>
        <w:ind w:left="426" w:hanging="426"/>
        <w:jc w:val="both"/>
        <w:rPr>
          <w:color w:val="000000"/>
          <w:sz w:val="16"/>
          <w:szCs w:val="16"/>
        </w:rPr>
      </w:pPr>
      <w:r>
        <w:rPr>
          <w:sz w:val="16"/>
        </w:rPr>
        <w:t>[16]</w:t>
        <w:tab/>
        <w:t>K. Cho et al., “Learning Phrase Representations using RNN Encoder-Decoder for Statistical Machine Translation,” in Proc. 2014 Conf. Empirical Methods Natural Lang. Process. (EMNLP), Doha, Qatar, 2014, pp. 1724–1734. doi: 10.3115/v1/D14-1179.</w:t>
      </w:r>
    </w:p>
    <w:p w14:paraId="3228FA28" w14:textId="05A90B89" w:rsidR="008A6A82" w:rsidRPr="008A6A82" w:rsidRDefault="008A6A82" w:rsidP="008A6A82">
      <w:pPr>
        <w:widowControl w:val="0"/>
        <w:autoSpaceDE w:val="0"/>
        <w:autoSpaceDN w:val="0"/>
        <w:adjustRightInd w:val="0"/>
        <w:ind w:left="426" w:hanging="426"/>
        <w:jc w:val="both"/>
        <w:rPr>
          <w:color w:val="000000"/>
          <w:sz w:val="16"/>
          <w:szCs w:val="16"/>
        </w:rPr>
      </w:pPr>
      <w:r>
        <w:rPr>
          <w:sz w:val="16"/>
        </w:rPr>
        <w:t>[17]</w:t>
        <w:tab/>
        <w:t>L. Chen, Z. Qiao, M. Wang, and C. Wang, "Predictive modeling of Bitcoin using deep learning," Expert Syst. Appl., vol. 156, art. no. 113425, 2020. doi: 10.1016/j.eswa.2020.113425.</w:t>
      </w:r>
    </w:p>
    <w:p w14:paraId="6312CF17" w14:textId="5A2D8443" w:rsidR="008A6A82" w:rsidRPr="008A6A82" w:rsidRDefault="008A6A82" w:rsidP="008A6A82">
      <w:pPr>
        <w:widowControl w:val="0"/>
        <w:autoSpaceDE w:val="0"/>
        <w:autoSpaceDN w:val="0"/>
        <w:adjustRightInd w:val="0"/>
        <w:ind w:left="426" w:hanging="426"/>
        <w:jc w:val="both"/>
        <w:rPr>
          <w:color w:val="000000"/>
          <w:sz w:val="16"/>
          <w:szCs w:val="16"/>
        </w:rPr>
      </w:pPr>
      <w:r>
        <w:rPr>
          <w:sz w:val="16"/>
        </w:rPr>
        <w:lastRenderedPageBreak/>
        <w:t>[18]</w:t>
        <w:tab/>
        <w:t>K. Greff et al., "LSTM: A Space Odyssey," IEEE Trans. Neural Netw. Learn. Syst., vol. 28, no. 10, pp. 2222–2232, 2017. doi: 10.1109/TNNLS.2016.2582924.</w:t>
      </w:r>
    </w:p>
    <w:p w14:paraId="639F9898" w14:textId="1F37E991" w:rsidR="008A6A82" w:rsidRPr="008A6A82" w:rsidRDefault="008A6A82" w:rsidP="008A6A82">
      <w:pPr>
        <w:widowControl w:val="0"/>
        <w:autoSpaceDE w:val="0"/>
        <w:autoSpaceDN w:val="0"/>
        <w:adjustRightInd w:val="0"/>
        <w:ind w:left="426" w:hanging="426"/>
        <w:jc w:val="both"/>
        <w:rPr>
          <w:color w:val="000000"/>
          <w:sz w:val="16"/>
          <w:szCs w:val="16"/>
        </w:rPr>
      </w:pPr>
      <w:r>
        <w:rPr>
          <w:sz w:val="16"/>
        </w:rPr>
        <w:t>[19]</w:t>
        <w:tab/>
        <w:t>A. Vaswani et al., "Attention is all you need," in Advances in Neural Information Processing Systems (NeurIPS), vol. 30, 2017, pp. 5998–6008. doi: 10.5555/3294996.3295048.</w:t>
      </w:r>
    </w:p>
    <w:p w14:paraId="7CADE6FE" w14:textId="3F081061" w:rsidR="008A6A82" w:rsidRPr="008A6A82" w:rsidRDefault="008A6A82" w:rsidP="008A6A82">
      <w:pPr>
        <w:widowControl w:val="0"/>
        <w:autoSpaceDE w:val="0"/>
        <w:autoSpaceDN w:val="0"/>
        <w:adjustRightInd w:val="0"/>
        <w:ind w:left="426" w:hanging="426"/>
        <w:jc w:val="both"/>
        <w:rPr>
          <w:color w:val="000000"/>
          <w:sz w:val="16"/>
          <w:szCs w:val="16"/>
        </w:rPr>
      </w:pPr>
      <w:r>
        <w:rPr>
          <w:sz w:val="16"/>
        </w:rPr>
        <w:t>[20]B. Lim and S. Zohren, “Time-series forecasting with deep learning: a survey,” Philos. Trans. R. Soc. A, vol. 379, no. 2194, art. no. 20200209, 2021. doi: 10.1098/rsta.2020.0209.</w:t>
      </w:r>
    </w:p>
    <w:p w14:paraId="36838E11" w14:textId="336935A0" w:rsidR="008A6A82" w:rsidRPr="008A6A82" w:rsidRDefault="008A6A82" w:rsidP="008A6A82">
      <w:pPr>
        <w:widowControl w:val="0"/>
        <w:autoSpaceDE w:val="0"/>
        <w:autoSpaceDN w:val="0"/>
        <w:adjustRightInd w:val="0"/>
        <w:ind w:left="426" w:hanging="426"/>
        <w:jc w:val="both"/>
        <w:rPr>
          <w:color w:val="000000"/>
          <w:sz w:val="16"/>
          <w:szCs w:val="16"/>
        </w:rPr>
      </w:pPr>
      <w:r>
        <w:rPr>
          <w:sz w:val="16"/>
        </w:rPr>
        <w:t>[21]</w:t>
        <w:tab/>
        <w:t>H. Zhou et al., "Informer: Beyond Efficient Transformer for Long Sequence Time-Series Forecasting," in Proc. 35th AAAI Conf. Artif. Intell. (AAAI), 2021, pp. 11106–11115. doi: 10.1609/aaai.v35i12.17325.</w:t>
      </w:r>
    </w:p>
    <w:p w14:paraId="6FEDFC50" w14:textId="663B138A" w:rsidR="008A6A82" w:rsidRPr="008A6A82" w:rsidRDefault="008A6A82" w:rsidP="008A6A82">
      <w:pPr>
        <w:widowControl w:val="0"/>
        <w:autoSpaceDE w:val="0"/>
        <w:autoSpaceDN w:val="0"/>
        <w:adjustRightInd w:val="0"/>
        <w:ind w:left="426" w:hanging="426"/>
        <w:jc w:val="both"/>
        <w:rPr>
          <w:color w:val="000000"/>
          <w:sz w:val="16"/>
          <w:szCs w:val="16"/>
        </w:rPr>
      </w:pPr>
      <w:r>
        <w:rPr>
          <w:sz w:val="16"/>
        </w:rPr>
        <w:t>[22]</w:t>
        <w:tab/>
        <w:t>Y. Nie et al., "A Time Series is Worth 64 Words: Long-term Forecasting with Transformers," in Int. Conf. Learn. Representations (ICLR), 2023.</w:t>
      </w:r>
    </w:p>
    <w:p w14:paraId="17F5769C" w14:textId="03697BDD" w:rsidR="008A6A82" w:rsidRPr="008A6A82" w:rsidRDefault="008A6A82" w:rsidP="008A6A82">
      <w:pPr>
        <w:widowControl w:val="0"/>
        <w:autoSpaceDE w:val="0"/>
        <w:autoSpaceDN w:val="0"/>
        <w:adjustRightInd w:val="0"/>
        <w:ind w:left="426" w:hanging="426"/>
        <w:jc w:val="both"/>
        <w:rPr>
          <w:color w:val="000000"/>
          <w:sz w:val="16"/>
          <w:szCs w:val="16"/>
        </w:rPr>
      </w:pPr>
      <w:r>
        <w:rPr>
          <w:sz w:val="16"/>
        </w:rPr>
        <w:t>[23]</w:t>
        <w:tab/>
        <w:t>H. Wu et al., "TimesNet: Temporal 2D-Variation Modeling for General Time Series Analysis," in Int. Conf. Learn. Representations (ICLR), 2023.</w:t>
      </w:r>
    </w:p>
    <w:p w14:paraId="3ED407BA" w14:textId="00C181E4" w:rsidR="008A6A82" w:rsidRPr="008A6A82" w:rsidRDefault="008A6A82" w:rsidP="008A6A82">
      <w:pPr>
        <w:widowControl w:val="0"/>
        <w:autoSpaceDE w:val="0"/>
        <w:autoSpaceDN w:val="0"/>
        <w:adjustRightInd w:val="0"/>
        <w:ind w:left="426" w:hanging="426"/>
        <w:jc w:val="both"/>
        <w:rPr>
          <w:color w:val="000000"/>
          <w:sz w:val="16"/>
          <w:szCs w:val="16"/>
        </w:rPr>
      </w:pPr>
      <w:r>
        <w:rPr>
          <w:sz w:val="16"/>
        </w:rPr>
        <w:t>[24]</w:t>
        <w:tab/>
        <w:t>G. Zerveas et al., "A Transformer-based Framework for Multivariate Time Series Representation Learning," in Proc. 27th ACM SIGKDD Conf. Knowl. Discov. Data Min. (KDD), Virtual, 2021, pp. 2114–2124. doi: 10.1145/3447548.3467401.</w:t>
      </w:r>
    </w:p>
    <w:p w14:paraId="6739483B" w14:textId="1AA0A893" w:rsidR="008A6A82" w:rsidRPr="008A6A82" w:rsidRDefault="008A6A82" w:rsidP="008A6A82">
      <w:pPr>
        <w:widowControl w:val="0"/>
        <w:autoSpaceDE w:val="0"/>
        <w:autoSpaceDN w:val="0"/>
        <w:adjustRightInd w:val="0"/>
        <w:ind w:left="426" w:hanging="426"/>
        <w:jc w:val="both"/>
        <w:rPr>
          <w:color w:val="000000"/>
          <w:sz w:val="16"/>
          <w:szCs w:val="16"/>
        </w:rPr>
      </w:pPr>
      <w:r>
        <w:rPr>
          <w:sz w:val="16"/>
        </w:rPr>
        <w:t>[25]</w:t>
        <w:tab/>
        <w:t>M. H. Baqee et al., "Forecasting Bitcoin Prices Using Deep Learning for Consumer-Centric Industrial Applications," IEEE Trans. Consum. Electron., vol. 70, no. 1, pp. 3225–3233, Feb. 2024. doi: 10.1109/TCE.2023.3335001.</w:t>
      </w:r>
    </w:p>
    <w:p w14:paraId="1B94DB39" w14:textId="7CBED5F3" w:rsidR="008A6A82" w:rsidRPr="008A6A82" w:rsidRDefault="008A6A82" w:rsidP="008A6A82">
      <w:pPr>
        <w:widowControl w:val="0"/>
        <w:autoSpaceDE w:val="0"/>
        <w:autoSpaceDN w:val="0"/>
        <w:adjustRightInd w:val="0"/>
        <w:ind w:left="426" w:hanging="426"/>
        <w:jc w:val="both"/>
        <w:rPr>
          <w:color w:val="000000"/>
          <w:sz w:val="16"/>
          <w:szCs w:val="16"/>
        </w:rPr>
      </w:pPr>
      <w:r>
        <w:rPr>
          <w:sz w:val="16"/>
        </w:rPr>
        <w:t>[26]</w:t>
        <w:tab/>
        <w:t>A. T. Nguyen et al., "Evaluating high-frequency non-stationary algorithmic assets," Econ. Modelling, vol. 119, art. no. 106159, 2023. doi: 10.1016/j.econmod.2022.106159.</w:t>
      </w:r>
    </w:p>
    <w:p w14:paraId="38AAE0BD" w14:textId="206FD158" w:rsidR="008A6A82" w:rsidRPr="008A6A82" w:rsidRDefault="008A6A82" w:rsidP="008A6A82">
      <w:pPr>
        <w:widowControl w:val="0"/>
        <w:autoSpaceDE w:val="0"/>
        <w:autoSpaceDN w:val="0"/>
        <w:adjustRightInd w:val="0"/>
        <w:ind w:left="426" w:hanging="426"/>
        <w:jc w:val="both"/>
        <w:rPr>
          <w:color w:val="000000"/>
          <w:sz w:val="16"/>
          <w:szCs w:val="16"/>
        </w:rPr>
      </w:pPr>
      <w:r>
        <w:rPr>
          <w:sz w:val="16"/>
        </w:rPr>
        <w:t>[27]</w:t>
        <w:tab/>
        <w:t>R. Sharda, D. Delen, and E. Turban, Business Intelligence, Analytics, and Data Science: A Managerial Perspective, 4th ed. Hoboken, NJ, USA: Pearson, 2017. ISBN: 978-0134633282.</w:t>
      </w:r>
    </w:p>
    <w:p w14:paraId="0E7C93FF" w14:textId="4022BD95" w:rsidR="008A6A82" w:rsidRPr="008A6A82" w:rsidRDefault="008A6A82" w:rsidP="008A6A82">
      <w:pPr>
        <w:widowControl w:val="0"/>
        <w:autoSpaceDE w:val="0"/>
        <w:autoSpaceDN w:val="0"/>
        <w:adjustRightInd w:val="0"/>
        <w:ind w:left="426" w:hanging="426"/>
        <w:jc w:val="both"/>
        <w:rPr>
          <w:color w:val="000000"/>
          <w:sz w:val="16"/>
          <w:szCs w:val="16"/>
        </w:rPr>
      </w:pPr>
      <w:r>
        <w:rPr>
          <w:sz w:val="16"/>
        </w:rPr>
        <w:t>[28]</w:t>
        <w:tab/>
        <w:t>D. Arnott and G. Pervan, "A critical analysis of decision support systems research revisited: The rise of design science," J. Inf. Technol., vol. 29, no. 4, pp. 269–293, 2014. doi: 10.1057/jit.2014.16.</w:t>
      </w:r>
    </w:p>
    <w:p w14:paraId="5C464F3D" w14:textId="0FCFC763" w:rsidR="008A6A82" w:rsidRPr="008A6A82" w:rsidRDefault="008A6A82" w:rsidP="008A6A82">
      <w:pPr>
        <w:widowControl w:val="0"/>
        <w:autoSpaceDE w:val="0"/>
        <w:autoSpaceDN w:val="0"/>
        <w:adjustRightInd w:val="0"/>
        <w:ind w:left="426" w:hanging="426"/>
        <w:jc w:val="both"/>
        <w:rPr>
          <w:color w:val="000000"/>
          <w:sz w:val="16"/>
          <w:szCs w:val="16"/>
        </w:rPr>
      </w:pPr>
      <w:r>
        <w:rPr>
          <w:sz w:val="16"/>
        </w:rPr>
        <w:t>[29]</w:t>
        <w:tab/>
        <w:t>P. Jorion, Value at Risk: The New Benchmark for Managing Financial Risk, 3rd ed. New York, NY, USA: McGraw-Hill Education, 2006. ISBN: 978-0071464956.</w:t>
      </w:r>
    </w:p>
    <w:p w14:paraId="105ABA72" w14:textId="3120D4AB" w:rsidR="008A6A82" w:rsidRPr="008A6A82" w:rsidRDefault="008A6A82" w:rsidP="008A6A82">
      <w:pPr>
        <w:widowControl w:val="0"/>
        <w:autoSpaceDE w:val="0"/>
        <w:autoSpaceDN w:val="0"/>
        <w:adjustRightInd w:val="0"/>
        <w:ind w:left="426" w:hanging="426"/>
        <w:jc w:val="both"/>
        <w:rPr>
          <w:color w:val="000000"/>
          <w:sz w:val="16"/>
          <w:szCs w:val="16"/>
        </w:rPr>
      </w:pPr>
      <w:r>
        <w:rPr>
          <w:sz w:val="16"/>
        </w:rPr>
        <w:t>[30]</w:t>
        <w:tab/>
        <w:t>Binance, "Binance Spot API Documentation," Binance Technical Engineering, 2024. [Online]. Available: https://binance-docs.github.io/apidocs/spot/en/. [Accessed: May 2026].</w:t>
      </w:r>
    </w:p>
    <w:p w14:paraId="03AF4E61" w14:textId="538B6455" w:rsidR="008A6A82" w:rsidRPr="008A6A82" w:rsidRDefault="008A6A82" w:rsidP="008A6A82">
      <w:pPr>
        <w:widowControl w:val="0"/>
        <w:autoSpaceDE w:val="0"/>
        <w:autoSpaceDN w:val="0"/>
        <w:adjustRightInd w:val="0"/>
        <w:ind w:left="426" w:hanging="426"/>
        <w:jc w:val="both"/>
        <w:rPr>
          <w:color w:val="000000"/>
          <w:sz w:val="16"/>
          <w:szCs w:val="16"/>
        </w:rPr>
      </w:pPr>
      <w:r>
        <w:rPr>
          <w:sz w:val="16"/>
        </w:rPr>
        <w:t>[31]</w:t>
        <w:tab/>
        <w:t>J. Han, M. Kamber, and J. Pei, Data Mining: Concepts and Techniques, 3rd ed. Waltham, MA, USA: Morgan Kaufmann, 2011. ISBN: 978-0123814791.</w:t>
      </w:r>
    </w:p>
    <w:p w14:paraId="775EA418" w14:textId="25950445" w:rsidR="008A6A82" w:rsidRPr="008A6A82" w:rsidRDefault="008A6A82" w:rsidP="008A6A82">
      <w:pPr>
        <w:widowControl w:val="0"/>
        <w:autoSpaceDE w:val="0"/>
        <w:autoSpaceDN w:val="0"/>
        <w:adjustRightInd w:val="0"/>
        <w:ind w:left="426" w:hanging="426"/>
        <w:jc w:val="both"/>
        <w:rPr>
          <w:color w:val="000000"/>
          <w:sz w:val="16"/>
          <w:szCs w:val="16"/>
        </w:rPr>
      </w:pPr>
      <w:r>
        <w:rPr>
          <w:sz w:val="16"/>
        </w:rPr>
        <w:t>[32]</w:t>
        <w:tab/>
        <w:t>R. J. Hyndman and G. Athanasopoulos, Forecasting: Principles and Practice, 3rd ed. Melbourne, Australia: OTexts, 2021. [Online]. Available: https://otexts.com/fpp3/.</w:t>
      </w:r>
    </w:p>
    <w:p w14:paraId="04CA2A27" w14:textId="60D19A6A" w:rsidR="008A6A82" w:rsidRPr="008A6A82" w:rsidRDefault="008A6A82" w:rsidP="008A6A82">
      <w:pPr>
        <w:widowControl w:val="0"/>
        <w:autoSpaceDE w:val="0"/>
        <w:autoSpaceDN w:val="0"/>
        <w:adjustRightInd w:val="0"/>
        <w:ind w:left="426" w:hanging="426"/>
        <w:jc w:val="both"/>
        <w:rPr>
          <w:color w:val="000000"/>
          <w:sz w:val="16"/>
          <w:szCs w:val="16"/>
        </w:rPr>
      </w:pPr>
      <w:r>
        <w:rPr>
          <w:sz w:val="16"/>
        </w:rPr>
        <w:t>[33]</w:t>
        <w:tab/>
        <w:t>R. S. Tsay, Analysis of Financial Time Series, 3rd ed. Hoboken, NJ, USA: John Wiley &amp; Sons, 2010. doi: 10.1002/9780470644560.</w:t>
      </w:r>
    </w:p>
    <w:p w14:paraId="5ABFD057" w14:textId="641DBC0F" w:rsidR="008A6A82" w:rsidRPr="008A6A82" w:rsidRDefault="008A6A82" w:rsidP="008A6A82">
      <w:pPr>
        <w:widowControl w:val="0"/>
        <w:autoSpaceDE w:val="0"/>
        <w:autoSpaceDN w:val="0"/>
        <w:adjustRightInd w:val="0"/>
        <w:ind w:left="426" w:hanging="426"/>
        <w:jc w:val="both"/>
        <w:rPr>
          <w:color w:val="000000"/>
          <w:sz w:val="16"/>
          <w:szCs w:val="16"/>
        </w:rPr>
      </w:pPr>
      <w:r>
        <w:rPr>
          <w:sz w:val="16"/>
        </w:rPr>
        <w:t>[34]</w:t>
        <w:tab/>
        <w:t>M. L. de Prado, Advances in Financial Machine Learning. Hoboken, NJ, USA: John Wiley &amp; Sons, 2018. ISBN: 978-1119482086.</w:t>
      </w:r>
    </w:p>
    <w:p w14:paraId="0BA87FF6" w14:textId="63C46656" w:rsidR="008A6A82" w:rsidRPr="008A6A82" w:rsidRDefault="008A6A82" w:rsidP="008A6A82">
      <w:pPr>
        <w:widowControl w:val="0"/>
        <w:autoSpaceDE w:val="0"/>
        <w:autoSpaceDN w:val="0"/>
        <w:adjustRightInd w:val="0"/>
        <w:ind w:left="426" w:hanging="426"/>
        <w:jc w:val="both"/>
        <w:rPr>
          <w:color w:val="000000"/>
          <w:sz w:val="16"/>
          <w:szCs w:val="16"/>
        </w:rPr>
      </w:pPr>
      <w:r>
        <w:rPr>
          <w:sz w:val="16"/>
        </w:rPr>
        <w:t>[35]</w:t>
        <w:tab/>
        <w:t>S. M. Lundberg and S. I. Lee, “A Unified Approach to Interpreting Model Predictions,” in Advances in Neural Information Processing Systems (NeurIPS), vol. 30, 2017, pp. 4765–4774. doi: 10.5555/3295222.3295230.</w:t>
      </w:r>
    </w:p>
    <w:p w14:paraId="5A41B87D" w14:textId="0096D7C0" w:rsidR="008A6A82" w:rsidRPr="008A6A82" w:rsidRDefault="008A6A82" w:rsidP="008A6A82">
      <w:pPr>
        <w:widowControl w:val="0"/>
        <w:autoSpaceDE w:val="0"/>
        <w:autoSpaceDN w:val="0"/>
        <w:adjustRightInd w:val="0"/>
        <w:ind w:left="426" w:hanging="426"/>
        <w:jc w:val="both"/>
        <w:rPr>
          <w:color w:val="000000"/>
          <w:sz w:val="16"/>
          <w:szCs w:val="16"/>
        </w:rPr>
      </w:pPr>
      <w:r>
        <w:rPr>
          <w:sz w:val="16"/>
        </w:rPr>
        <w:t>[36]</w:t>
        <w:tab/>
        <w:t>F. X. Diebold and R. S. Mariano, "Comparing Predictive Accuracy," J. Bus. Econ. Stat., vol. 13, no. 3, pp. 253–263, 1995. doi: 10.1080/07350015.1995.10524599.</w:t>
      </w:r>
    </w:p>
    <w:p w14:paraId="264F6F20" w14:textId="35DF8072" w:rsidR="008A6A82" w:rsidRPr="008A6A82" w:rsidRDefault="008A6A82" w:rsidP="008A6A82">
      <w:pPr>
        <w:widowControl w:val="0"/>
        <w:autoSpaceDE w:val="0"/>
        <w:autoSpaceDN w:val="0"/>
        <w:adjustRightInd w:val="0"/>
        <w:ind w:left="426" w:hanging="426"/>
        <w:jc w:val="both"/>
        <w:rPr>
          <w:color w:val="000000"/>
          <w:sz w:val="16"/>
          <w:szCs w:val="16"/>
        </w:rPr>
      </w:pPr>
      <w:r>
        <w:rPr>
          <w:sz w:val="16"/>
        </w:rPr>
        <w:t>[37]</w:t>
        <w:tab/>
        <w:t>I. E. Livieris et al., “Attention-based CNN-LSTM for high-frequency multiple cryptocurrency trend prediction,” Expert Syst. Appl., vol. 213, art. no. 119208, 2024. doi: 10.1016/j.eswa.2022.119208.</w:t>
      </w:r>
    </w:p>
    <w:p w14:paraId="5066DEB0" w14:textId="5A4F68E2" w:rsidR="008A6A82" w:rsidRPr="008A6A82" w:rsidRDefault="008A6A82" w:rsidP="008A6A82">
      <w:pPr>
        <w:widowControl w:val="0"/>
        <w:autoSpaceDE w:val="0"/>
        <w:autoSpaceDN w:val="0"/>
        <w:adjustRightInd w:val="0"/>
        <w:ind w:left="426" w:hanging="426"/>
        <w:jc w:val="both"/>
        <w:rPr>
          <w:color w:val="000000"/>
          <w:sz w:val="16"/>
          <w:szCs w:val="16"/>
        </w:rPr>
      </w:pPr>
      <w:r>
        <w:rPr>
          <w:sz w:val="16"/>
        </w:rPr>
        <w:t>[38]</w:t>
        <w:tab/>
        <w:t>J. Bollen, H. Mao, and X. Zeng, “Twitter mood predicts the stock market,” J. Comput. Sci., vol. 2, no. 1, pp. 1–8, 2011. doi: 10.1016/j.jocs.2010.12.007.</w:t>
      </w:r>
    </w:p>
    <w:p w14:paraId="1579EB65" w14:textId="337798BE" w:rsidR="008A6A82" w:rsidRPr="008A6A82" w:rsidRDefault="008A6A82" w:rsidP="008A6A82">
      <w:pPr>
        <w:widowControl w:val="0"/>
        <w:autoSpaceDE w:val="0"/>
        <w:autoSpaceDN w:val="0"/>
        <w:adjustRightInd w:val="0"/>
        <w:ind w:left="426" w:hanging="426"/>
        <w:jc w:val="both"/>
        <w:rPr>
          <w:color w:val="000000"/>
          <w:sz w:val="16"/>
          <w:szCs w:val="16"/>
        </w:rPr>
      </w:pPr>
      <w:r>
        <w:rPr>
          <w:sz w:val="16"/>
        </w:rPr>
        <w:t>[39]</w:t>
        <w:tab/>
        <w:t>J. Brooke, "SUS: A 'Quick and Dirty' Usability Scale," in Usability Evaluation in Industry, P. W. Jordan et al., Eds. London, UK: Taylor &amp; Francis, 1996, pp. 189–194.</w:t>
      </w:r>
    </w:p>
    <w:p w14:paraId="2684CBB8" w14:textId="0E2B876B" w:rsidR="006E1F55" w:rsidRPr="00FC1023" w:rsidRDefault="008A6A82" w:rsidP="008A6A82">
      <w:pPr>
        <w:widowControl w:val="0"/>
        <w:autoSpaceDE w:val="0"/>
        <w:autoSpaceDN w:val="0"/>
        <w:adjustRightInd w:val="0"/>
        <w:ind w:left="426" w:hanging="426"/>
        <w:jc w:val="both"/>
        <w:rPr>
          <w:color w:val="000000"/>
        </w:rPr>
      </w:pPr>
      <w:r>
        <w:rPr>
          <w:sz w:val="16"/>
        </w:rPr>
        <w:t>[40]</w:t>
        <w:tab/>
        <w:t>A. Bangor, P. T. Kortum, and J. T. Miller, "Determining what individual SUS scores mean: Adding an adjective rating scale," J. Usability Stud., vol. 4, no. 3, pp. 114–123, 2009. [Online]. Available: https://uxpajournal.org/determining-what-individual-sus-scores-mean/.</w:t>
      </w:r>
    </w:p>
    <w:p w14:paraId="6AAD199A" w14:textId="77777777" w:rsidR="00416737" w:rsidRPr="00FC1023" w:rsidRDefault="00416737" w:rsidP="006E1F55">
      <w:pPr>
        <w:widowControl w:val="0"/>
        <w:autoSpaceDE w:val="0"/>
        <w:autoSpaceDN w:val="0"/>
        <w:adjustRightInd w:val="0"/>
        <w:ind w:left="426" w:hanging="426"/>
        <w:jc w:val="both"/>
        <w:rPr>
          <w:color w:val="000000"/>
        </w:rPr>
      </w:pPr>
    </w:p>
    <w:p w14:paraId="649ACF93" w14:textId="77777777" w:rsidR="008F7C6C" w:rsidRDefault="008F7C6C" w:rsidP="008F7C6C">
      <w:pPr>
        <w:jc w:val="both"/>
        <w:rPr>
          <w:b/>
        </w:rPr>
      </w:pPr>
    </w:p>
    <w:p w14:paraId="03F7A657" w14:textId="77777777" w:rsidR="00DE055B" w:rsidRPr="00FC1023" w:rsidRDefault="00DE055B" w:rsidP="00DE055B">
      <w:pPr>
        <w:jc w:val="both"/>
        <w:rPr>
          <w:b/>
          <w:bCs/>
        </w:rPr>
      </w:pPr>
      <w:r>
        <w:rPr>
          <w:b/>
        </w:rPr>
        <w:t xml:space="preserve">BIOGRAPHIES OF AUTHORS </w:t>
      </w:r>
    </w:p>
    <w:tbl>
      <w:tblPr>
        <w:tblW w:w="5000" w:type="pct"/>
        <w:tblLook w:val="04A0" w:firstRow="1" w:lastRow="0" w:firstColumn="1" w:lastColumn="0" w:noHBand="0" w:noVBand="1"/>
      </w:tblPr>
      <w:tblGrid>
        <w:gridCol w:w="1956"/>
        <w:gridCol w:w="6832"/>
      </w:tblGrid>
      <w:tr w:rsidR="00BB4B1A" w:rsidRPr="00FC1023" w14:paraId="2170DB4A" w14:textId="77777777" w:rsidTr="00DE055B">
        <w:tc>
          <w:tcPr>
            <w:tcW w:w="1113" w:type="pct"/>
          </w:tcPr>
          <w:p w14:paraId="0237C8E6" w14:textId="70060D12" w:rsidR="009F4E50" w:rsidRPr="00FC1023" w:rsidRDefault="00123E9E" w:rsidP="005C5BD1">
            <w:pPr>
              <w:jc w:val="center"/>
              <w:rPr>
                <w:color w:val="000000"/>
                <w:highlight w:val="yellow"/>
              </w:rPr>
            </w:pPr>
            <w:r>
              <w:rPr>
                <w:noProof/>
              </w:rPr>
              <w:drawing>
                <wp:inline distT="0" distB="0" distL="0" distR="0" wp14:anchorId="33304E39" wp14:editId="5F359CB9">
                  <wp:extent cx="1101725" cy="1101725"/>
                  <wp:effectExtent l="0" t="0" r="3175" b="3175"/>
                  <wp:docPr id="10368054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01725" cy="1101725"/>
                          </a:xfrm>
                          <a:prstGeom prst="rect">
                            <a:avLst/>
                          </a:prstGeom>
                          <a:noFill/>
                          <a:ln>
                            <a:noFill/>
                          </a:ln>
                        </pic:spPr>
                      </pic:pic>
                    </a:graphicData>
                  </a:graphic>
                </wp:inline>
              </w:drawing>
            </w:r>
          </w:p>
        </w:tc>
        <w:tc>
          <w:tcPr>
            <w:tcW w:w="3887" w:type="pct"/>
          </w:tcPr>
          <w:p w14:paraId="3122DC79" w14:textId="389202BD" w:rsidR="009F4E50" w:rsidRPr="00FC1023" w:rsidRDefault="00123E9E" w:rsidP="005C5BD1">
            <w:pPr>
              <w:jc w:val="both"/>
              <w:rPr>
                <w:color w:val="000000"/>
                <w:sz w:val="18"/>
                <w:szCs w:val="18"/>
              </w:rPr>
            </w:pPr>
            <w:r>
              <w:rPr>
                <w:b/>
                <w:bCs/>
                <w:color w:val="000000"/>
                <w:sz w:val="18"/>
                <w:szCs w:val="18"/>
              </w:rPr>
              <w:t xml:space="preserve">Asep Surahman Sulaeman </w:t>
            </w:r>
            <w:r>
              <w:rPr>
                <w:noProof/>
                <w:color w:val="000000"/>
                <w:sz w:val="18"/>
                <w:szCs w:val="18"/>
              </w:rPr>
              <w:drawing>
                <wp:inline distT="0" distB="0" distL="0" distR="0" wp14:anchorId="547FE96C" wp14:editId="4A2AA921">
                  <wp:extent cx="114935" cy="114935"/>
                  <wp:effectExtent l="0" t="0" r="0" b="0"/>
                  <wp:docPr id="88221957" name="Picture 88221957">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Pr>
                <w:color w:val="000000"/>
                <w:sz w:val="18"/>
                <w:szCs w:val="18"/>
              </w:rPr>
              <w:t xml:space="preserve"> </w:t>
            </w:r>
            <w:r>
              <w:rPr>
                <w:noProof/>
                <w:color w:val="000000"/>
                <w:sz w:val="18"/>
                <w:szCs w:val="18"/>
              </w:rPr>
              <w:drawing>
                <wp:inline distT="0" distB="0" distL="0" distR="0" wp14:anchorId="61A7291C" wp14:editId="2A160F0B">
                  <wp:extent cx="114935" cy="114935"/>
                  <wp:effectExtent l="0" t="0" r="0" b="0"/>
                  <wp:docPr id="399021619" name="Picture 399021619">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a:hlinkClick r:id="rId17"/>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Pr>
                <w:color w:val="000000"/>
                <w:sz w:val="18"/>
                <w:szCs w:val="18"/>
              </w:rPr>
              <w:t xml:space="preserve">  </w:t>
            </w:r>
            <w:r>
              <w:rPr>
                <w:noProof/>
                <w:color w:val="000000"/>
                <w:sz w:val="18"/>
                <w:szCs w:val="18"/>
              </w:rPr>
              <w:drawing>
                <wp:inline distT="0" distB="0" distL="0" distR="0" wp14:anchorId="24FDCC97" wp14:editId="379E8ADB">
                  <wp:extent cx="114935" cy="114935"/>
                  <wp:effectExtent l="0" t="0" r="0" b="0"/>
                  <wp:docPr id="33" name="Picture 33">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Pr>
                <w:color w:val="000000"/>
                <w:sz w:val="18"/>
                <w:szCs w:val="18"/>
              </w:rPr>
              <w:t xml:space="preserve"> is currently pursuing the Master’s degree in Informatics at Universitas Nusa Putra, Indonesia. He received his Bachelor’s degree in Informatics Engineering from Universitas Nusa Putra, Indonesia. Currently, he serves as a postgraduate staff member at Universitas Nusa Putra. His research interests include artificial intelligence, data science, and software development, with a strong emphasis on deep learning, big data analytics, and intelligent decision support systems. His current research focuses on developing a scalable multimodal adaptive ensemble architecture with attention fusion for forecasting gold price dynamics, integrating structured financial data and unstructured visual data within a distributed computing environment. His work leverages advanced models such as LSTM, GRU, and XGBoost combined with parallel processing frameworks to improve predictive performance and interpretability in financial time series analysis. He is actively involved in academic and research activities in the field of information technology. He can be contacted at email: asep.surahman@nusaputra.ac.id</w:t>
            </w:r>
          </w:p>
        </w:tc>
      </w:tr>
      <w:tr w:rsidR="00BB4B1A" w:rsidRPr="00FC1023" w14:paraId="6745CD28" w14:textId="77777777" w:rsidTr="00DE055B">
        <w:tc>
          <w:tcPr>
            <w:tcW w:w="1113" w:type="pct"/>
          </w:tcPr>
          <w:p w14:paraId="01995B63" w14:textId="77777777" w:rsidR="009F4E50" w:rsidRPr="00FC1023" w:rsidRDefault="009F4E50" w:rsidP="005C5BD1">
            <w:pPr>
              <w:rPr>
                <w:color w:val="000000"/>
                <w:highlight w:val="yellow"/>
              </w:rPr>
            </w:pPr>
          </w:p>
        </w:tc>
        <w:tc>
          <w:tcPr>
            <w:tcW w:w="3887" w:type="pct"/>
          </w:tcPr>
          <w:p w14:paraId="73538C99" w14:textId="77777777" w:rsidR="009F4E50" w:rsidRPr="00FC1023" w:rsidRDefault="009F4E50" w:rsidP="005C5BD1">
            <w:pPr>
              <w:jc w:val="both"/>
              <w:rPr>
                <w:color w:val="000000"/>
                <w:sz w:val="18"/>
                <w:szCs w:val="18"/>
                <w:highlight w:val="yellow"/>
              </w:rPr>
            </w:pPr>
          </w:p>
        </w:tc>
      </w:tr>
      <w:tr w:rsidR="00BB4B1A" w:rsidRPr="00FC1023" w14:paraId="07A000D1" w14:textId="77777777" w:rsidTr="00DE055B">
        <w:trPr>
          <w:trHeight w:val="1547"/>
        </w:trPr>
        <w:tc>
          <w:tcPr>
            <w:tcW w:w="1113" w:type="pct"/>
          </w:tcPr>
          <w:p w14:paraId="210B5ABE" w14:textId="789B5405" w:rsidR="00BB4B1A" w:rsidRPr="00BB4B1A" w:rsidRDefault="00BB4B1A" w:rsidP="00BB4B1A">
            <w:pPr>
              <w:jc w:val="center"/>
              <w:rPr>
                <w:color w:val="000000"/>
                <w:highlight w:val="yellow"/>
              </w:rPr>
            </w:pPr>
            <w:r>
              <w:rPr>
                <w:noProof/>
                <w:color w:val="000000"/>
                <w:highlight w:val="yellow"/>
              </w:rPr>
              <w:lastRenderedPageBreak/>
              <w:drawing>
                <wp:inline distT="0" distB="0" distL="0" distR="0" wp14:anchorId="640B5010" wp14:editId="78CDAAC6">
                  <wp:extent cx="1046425" cy="1279335"/>
                  <wp:effectExtent l="0" t="0" r="1905" b="0"/>
                  <wp:docPr id="4643228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70858" cy="1309206"/>
                          </a:xfrm>
                          <a:prstGeom prst="rect">
                            <a:avLst/>
                          </a:prstGeom>
                          <a:noFill/>
                          <a:ln>
                            <a:noFill/>
                          </a:ln>
                        </pic:spPr>
                      </pic:pic>
                    </a:graphicData>
                  </a:graphic>
                </wp:inline>
              </w:drawing>
            </w:r>
          </w:p>
          <w:p w14:paraId="7BDC5B68" w14:textId="58EA3A29" w:rsidR="009F4E50" w:rsidRPr="00FC1023" w:rsidRDefault="009F4E50" w:rsidP="005C5BD1">
            <w:pPr>
              <w:jc w:val="center"/>
              <w:rPr>
                <w:color w:val="000000"/>
                <w:highlight w:val="yellow"/>
              </w:rPr>
            </w:pPr>
          </w:p>
        </w:tc>
        <w:tc>
          <w:tcPr>
            <w:tcW w:w="3887" w:type="pct"/>
          </w:tcPr>
          <w:p w14:paraId="4FABA9DA" w14:textId="0294A969" w:rsidR="009F4E50" w:rsidRPr="00FC1023" w:rsidRDefault="008639AC" w:rsidP="006004E2">
            <w:pPr>
              <w:jc w:val="both"/>
              <w:rPr>
                <w:color w:val="000000"/>
                <w:sz w:val="18"/>
                <w:szCs w:val="18"/>
              </w:rPr>
            </w:pPr>
            <w:bookmarkStart w:id="4" w:name="_Hlk81227280"/>
            <w:r>
              <w:rPr>
                <w:b/>
                <w:bCs/>
                <w:color w:val="000000"/>
                <w:sz w:val="18"/>
                <w:szCs w:val="18"/>
              </w:rPr>
              <w:t xml:space="preserve">Deden Witarsyah </w:t>
            </w:r>
            <w:bookmarkEnd w:id="4"/>
            <w:r>
              <w:rPr>
                <w:noProof/>
                <w:color w:val="000000"/>
                <w:sz w:val="18"/>
                <w:szCs w:val="18"/>
              </w:rPr>
              <w:drawing>
                <wp:inline distT="0" distB="0" distL="0" distR="0" wp14:anchorId="3ADEA489" wp14:editId="16BD83D0">
                  <wp:extent cx="114935" cy="114935"/>
                  <wp:effectExtent l="0" t="0" r="0" b="0"/>
                  <wp:docPr id="28" name="Picture 28">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a:hlinkClick r:id="rId22"/>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Pr>
                <w:color w:val="000000"/>
                <w:sz w:val="18"/>
                <w:szCs w:val="18"/>
              </w:rPr>
              <w:t xml:space="preserve"> </w:t>
            </w:r>
            <w:r>
              <w:rPr>
                <w:noProof/>
                <w:color w:val="000000"/>
                <w:sz w:val="18"/>
                <w:szCs w:val="18"/>
              </w:rPr>
              <w:drawing>
                <wp:inline distT="0" distB="0" distL="0" distR="0" wp14:anchorId="5F50AA8C" wp14:editId="024A04E4">
                  <wp:extent cx="114935" cy="114935"/>
                  <wp:effectExtent l="0" t="0" r="0" b="0"/>
                  <wp:docPr id="29" name="Picture 29">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a:hlinkClick r:id="rId23"/>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Pr>
                <w:color w:val="000000"/>
                <w:sz w:val="18"/>
                <w:szCs w:val="18"/>
              </w:rPr>
              <w:t xml:space="preserve"> </w:t>
            </w:r>
            <w:r>
              <w:rPr>
                <w:noProof/>
                <w:color w:val="000000"/>
                <w:sz w:val="18"/>
                <w:szCs w:val="18"/>
              </w:rPr>
              <w:drawing>
                <wp:inline distT="0" distB="0" distL="0" distR="0" wp14:anchorId="39AF3570" wp14:editId="5BBFDC0C">
                  <wp:extent cx="114935" cy="114935"/>
                  <wp:effectExtent l="0" t="0" r="0" b="0"/>
                  <wp:docPr id="9" name="Graphic 9">
                    <a:hlinkClick xmlns:a="http://schemas.openxmlformats.org/drawingml/2006/main" r:id="rId24"/>
                  </wp:docPr>
                  <wp:cNvGraphicFramePr/>
                  <a:graphic xmlns:a="http://schemas.openxmlformats.org/drawingml/2006/main">
                    <a:graphicData uri="http://schemas.openxmlformats.org/drawingml/2006/picture">
                      <pic:pic xmlns:pic="http://schemas.openxmlformats.org/drawingml/2006/picture">
                        <pic:nvPicPr>
                          <pic:cNvPr id="9" name="Graphic 9">
                            <a:hlinkClick r:id="rId24"/>
                          </pic:cNvPr>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114935" cy="114935"/>
                          </a:xfrm>
                          <a:prstGeom prst="rect">
                            <a:avLst/>
                          </a:prstGeom>
                        </pic:spPr>
                      </pic:pic>
                    </a:graphicData>
                  </a:graphic>
                </wp:inline>
              </w:drawing>
            </w:r>
            <w:r>
              <w:rPr>
                <w:color w:val="000000"/>
                <w:sz w:val="18"/>
                <w:szCs w:val="18"/>
              </w:rPr>
              <w:t xml:space="preserve"> </w:t>
            </w:r>
            <w:r>
              <w:rPr>
                <w:noProof/>
                <w:color w:val="000000"/>
                <w:sz w:val="18"/>
                <w:szCs w:val="18"/>
              </w:rPr>
              <w:drawing>
                <wp:inline distT="0" distB="0" distL="0" distR="0" wp14:anchorId="0721AC11" wp14:editId="362303B9">
                  <wp:extent cx="114935" cy="114935"/>
                  <wp:effectExtent l="0" t="0" r="0" b="0"/>
                  <wp:docPr id="31" name="Picture 31">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a:hlinkClick r:id="rId27"/>
                          </pic:cNvPr>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Pr>
                <w:color w:val="000000"/>
                <w:sz w:val="18"/>
                <w:szCs w:val="18"/>
              </w:rPr>
              <w:t xml:space="preserve"> is a Professor in Information Systems with extensive academic and international research experience. He earned his Master’s degree in Electrical and Computer Engineering from Curtin University of Technology, Australia, and completed his Ph.D. in Information Systems through Universiti Tun Hussein Onn Malaysia, with academic engagement in the Netherlands.He is currently affiliated with Nusa Putra University and has served Ph.D. examiner at TU Delft, Netherlands. His research focuses on information systems, e-government, open data, and IT project management, with collaborations spanning institutions in Europe, Asia, and Australia. Prof. Deden has led key research initiatives, including serving as Head of the Open Data Research Center and contributing to international projects and academic programs. With a strong commitment to innovation, collaboration, and academic excellence, he continues to advance research and education in digital technologies. He can be contacted at email: deden.witarsyah@nusaputra.ac.id</w:t>
            </w:r>
          </w:p>
        </w:tc>
      </w:tr>
      <w:tr w:rsidR="00BB4B1A" w:rsidRPr="00FC1023" w14:paraId="272E136B" w14:textId="77777777" w:rsidTr="00DE055B">
        <w:trPr>
          <w:trHeight w:val="54"/>
        </w:trPr>
        <w:tc>
          <w:tcPr>
            <w:tcW w:w="1113" w:type="pct"/>
          </w:tcPr>
          <w:p w14:paraId="204C05A1" w14:textId="77777777" w:rsidR="009F4E50" w:rsidRPr="00FC1023" w:rsidRDefault="009F4E50" w:rsidP="005C5BD1">
            <w:pPr>
              <w:jc w:val="center"/>
              <w:rPr>
                <w:noProof/>
                <w:sz w:val="18"/>
                <w:szCs w:val="18"/>
              </w:rPr>
            </w:pPr>
          </w:p>
        </w:tc>
        <w:tc>
          <w:tcPr>
            <w:tcW w:w="3887" w:type="pct"/>
          </w:tcPr>
          <w:p w14:paraId="1F80B1B4" w14:textId="77777777" w:rsidR="009F4E50" w:rsidRPr="00FC1023" w:rsidRDefault="009F4E50" w:rsidP="005C5BD1">
            <w:pPr>
              <w:jc w:val="both"/>
              <w:rPr>
                <w:b/>
                <w:bCs/>
                <w:sz w:val="18"/>
                <w:szCs w:val="18"/>
              </w:rPr>
            </w:pPr>
          </w:p>
        </w:tc>
      </w:tr>
      <w:tr w:rsidR="00BB4B1A" w:rsidRPr="00FC1023" w14:paraId="43E96214" w14:textId="77777777" w:rsidTr="00DE055B">
        <w:trPr>
          <w:trHeight w:val="54"/>
        </w:trPr>
        <w:tc>
          <w:tcPr>
            <w:tcW w:w="1113" w:type="pct"/>
          </w:tcPr>
          <w:p w14:paraId="2DABBF39" w14:textId="2951C253" w:rsidR="009F4E50" w:rsidRPr="00FC1023" w:rsidRDefault="00436689" w:rsidP="005C5BD1">
            <w:pPr>
              <w:jc w:val="center"/>
              <w:rPr>
                <w:noProof/>
                <w:sz w:val="18"/>
                <w:szCs w:val="18"/>
              </w:rPr>
            </w:pPr>
            <w:r>
              <w:rPr>
                <w:noProof/>
                <w:sz w:val="18"/>
                <w:szCs w:val="18"/>
              </w:rPr>
              <w:drawing>
                <wp:inline distT="0" distB="0" distL="0" distR="0" wp14:anchorId="4098BF92" wp14:editId="06B7D329">
                  <wp:extent cx="1068636" cy="1605462"/>
                  <wp:effectExtent l="0" t="0" r="0" b="0"/>
                  <wp:docPr id="4430398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39873" name="Picture 44303987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098428" cy="1650220"/>
                          </a:xfrm>
                          <a:prstGeom prst="rect">
                            <a:avLst/>
                          </a:prstGeom>
                        </pic:spPr>
                      </pic:pic>
                    </a:graphicData>
                  </a:graphic>
                </wp:inline>
              </w:drawing>
            </w:r>
          </w:p>
        </w:tc>
        <w:tc>
          <w:tcPr>
            <w:tcW w:w="3887" w:type="pct"/>
          </w:tcPr>
          <w:p w14:paraId="30D3AEE5" w14:textId="1608F5BB" w:rsidR="009F4E50" w:rsidRPr="00B24EE8" w:rsidRDefault="00436689" w:rsidP="00436689">
            <w:pPr>
              <w:jc w:val="both"/>
              <w:rPr>
                <w:color w:val="000000" w:themeColor="text1"/>
                <w:sz w:val="18"/>
                <w:szCs w:val="18"/>
              </w:rPr>
            </w:pPr>
            <w:r>
              <w:rPr>
                <w:b/>
                <w:bCs/>
                <w:color w:val="000000" w:themeColor="text1"/>
                <w:sz w:val="18"/>
                <w:szCs w:val="18"/>
              </w:rPr>
              <w:t>Aswan Supriyadi Sunge</w:t>
            </w:r>
            <w:r>
              <w:rPr>
                <w:b/>
                <w:bCs/>
                <w:color w:val="000000"/>
                <w:sz w:val="18"/>
                <w:szCs w:val="18"/>
              </w:rPr>
              <w:t xml:space="preserve"> </w:t>
            </w:r>
            <w:r>
              <w:rPr>
                <w:noProof/>
                <w:color w:val="000000"/>
                <w:sz w:val="18"/>
                <w:szCs w:val="18"/>
                <w:lang w:eastAsia="id-ID"/>
              </w:rPr>
              <w:drawing>
                <wp:inline distT="0" distB="0" distL="0" distR="0" wp14:anchorId="43733240" wp14:editId="76B7013F">
                  <wp:extent cx="114935" cy="114935"/>
                  <wp:effectExtent l="0" t="0" r="0" b="0"/>
                  <wp:docPr id="17" name="Picture 17">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a:hlinkClick r:id="rId29"/>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Pr>
                <w:color w:val="000000"/>
                <w:sz w:val="18"/>
                <w:szCs w:val="18"/>
              </w:rPr>
              <w:t xml:space="preserve"> </w:t>
            </w:r>
            <w:r>
              <w:rPr>
                <w:noProof/>
                <w:color w:val="000000"/>
                <w:sz w:val="18"/>
                <w:szCs w:val="18"/>
                <w:lang w:eastAsia="id-ID"/>
              </w:rPr>
              <w:drawing>
                <wp:inline distT="0" distB="0" distL="0" distR="0" wp14:anchorId="171D0A3C" wp14:editId="432893B8">
                  <wp:extent cx="114935" cy="114935"/>
                  <wp:effectExtent l="0" t="0" r="0" b="0"/>
                  <wp:docPr id="18" name="Picture 18">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a:hlinkClick r:id="rId30"/>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Pr>
                <w:sz w:val="18"/>
                <w:szCs w:val="18"/>
              </w:rPr>
              <w:t xml:space="preserve"> </w:t>
            </w:r>
            <w:r>
              <w:rPr>
                <w:noProof/>
                <w:color w:val="000000"/>
                <w:sz w:val="18"/>
                <w:szCs w:val="18"/>
                <w:lang w:eastAsia="id-ID"/>
              </w:rPr>
              <w:drawing>
                <wp:inline distT="0" distB="0" distL="0" distR="0" wp14:anchorId="3A5B88D7" wp14:editId="56842472">
                  <wp:extent cx="114935" cy="114935"/>
                  <wp:effectExtent l="0" t="0" r="0" b="0"/>
                  <wp:docPr id="20" name="Graphic 20">
                    <a:hlinkClick xmlns:a="http://schemas.openxmlformats.org/drawingml/2006/main" r:id="rId31"/>
                  </wp:docPr>
                  <wp:cNvGraphicFramePr/>
                  <a:graphic xmlns:a="http://schemas.openxmlformats.org/drawingml/2006/main">
                    <a:graphicData uri="http://schemas.openxmlformats.org/drawingml/2006/picture">
                      <pic:pic xmlns:pic="http://schemas.openxmlformats.org/drawingml/2006/picture">
                        <pic:nvPicPr>
                          <pic:cNvPr id="20" name="Graphic 20">
                            <a:hlinkClick r:id="rId31"/>
                          </pic:cNvPr>
                          <pic:cNvPicPr/>
                        </pic:nvPicPr>
                        <pic:blipFill>
                          <a:blip r:embed="rId25" cstate="print">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114935" cy="114935"/>
                          </a:xfrm>
                          <a:prstGeom prst="rect">
                            <a:avLst/>
                          </a:prstGeom>
                        </pic:spPr>
                      </pic:pic>
                    </a:graphicData>
                  </a:graphic>
                </wp:inline>
              </w:drawing>
            </w:r>
            <w:r>
              <w:rPr>
                <w:color w:val="000000"/>
                <w:sz w:val="18"/>
                <w:szCs w:val="18"/>
              </w:rPr>
              <w:t xml:space="preserve"> </w:t>
            </w:r>
            <w:r>
              <w:rPr>
                <w:noProof/>
                <w:color w:val="000000"/>
                <w:sz w:val="18"/>
                <w:szCs w:val="18"/>
                <w:lang w:eastAsia="id-ID"/>
              </w:rPr>
              <w:drawing>
                <wp:inline distT="0" distB="0" distL="0" distR="0" wp14:anchorId="04DB32F1" wp14:editId="2677208D">
                  <wp:extent cx="114935" cy="114935"/>
                  <wp:effectExtent l="0" t="0" r="0" b="0"/>
                  <wp:docPr id="30" name="Picture 30">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a:hlinkClick r:id="rId32"/>
                          </pic:cNvPr>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Pr>
                <w:sz w:val="18"/>
                <w:szCs w:val="18"/>
              </w:rPr>
              <w:t xml:space="preserve"> </w:t>
            </w:r>
            <w:r>
              <w:rPr>
                <w:color w:val="000000" w:themeColor="text1"/>
                <w:sz w:val="18"/>
                <w:szCs w:val="18"/>
              </w:rPr>
              <w:t xml:space="preserve">is currently serving as a Computer Science lecturer at Pelita Bangsa University in West Java, Indonesia. He earned his bachelor's degree in economics from Gorontalo University in 2004, followed by a Master of Commerce in Computer Science from Nusa Mandiri University, Jakarta, in 2013. In 2024, he completed his Doctorate in Computer Science at Bina Nusantara University, Indonesia. Throughout his academic career, he has authored several books and conducted various research projects in the field of computer science. </w:t>
            </w:r>
            <w:r>
              <w:rPr>
                <w:bCs/>
                <w:color w:val="000000"/>
                <w:sz w:val="18"/>
                <w:szCs w:val="18"/>
              </w:rPr>
              <w:t>He can be contacted at email: aswan.sunge</w:t>
            </w:r>
            <w:r>
              <w:rPr>
                <w:color w:val="000000" w:themeColor="text1"/>
                <w:sz w:val="18"/>
                <w:szCs w:val="18"/>
              </w:rPr>
              <w:t>@pelitabangsa.ac.id</w:t>
            </w:r>
          </w:p>
        </w:tc>
      </w:tr>
    </w:tbl>
    <w:p w14:paraId="6C7BCBF2" w14:textId="77777777" w:rsidR="005D4E0F" w:rsidRDefault="005D4E0F"/>
    <w:sectPr w:rsidR="005D4E0F" w:rsidSect="002A276C">
      <w:headerReference w:type="even" r:id="rId33"/>
      <w:headerReference w:type="default" r:id="rId34"/>
      <w:footerReference w:type="even" r:id="rId35"/>
      <w:footerReference w:type="default" r:id="rId36"/>
      <w:headerReference w:type="first" r:id="rId37"/>
      <w:footerReference w:type="first" r:id="rId38"/>
      <w:pgSz w:w="11907" w:h="16840" w:code="9"/>
      <w:pgMar w:top="1418" w:right="1418" w:bottom="1418" w:left="1701" w:header="1134" w:footer="1134" w:gutter="0"/>
      <w:pgNumType w:start="1"/>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commentsExtended.xml><?xml version="1.0" encoding="utf-8"?>
<w15:commentsEx xmlns:wpc="http://schemas.microsoft.com/office/word/2010/wordprocessingCanvas" xmlns:mc="http://schemas.openxmlformats.org/markup-compatibility/2006" xmlns:w15="http://schemas.microsoft.com/office/word/2012/wordml" mc:Ignorable="w15"/>
</file>

<file path=word/commentsExtensible.xml><?xml version="1.0" encoding="utf-8"?>
<w16cex:commentsExtensible xmlns:w16cex="http://schemas.microsoft.com/office/word/2018/wordml/cex" xmlns:mc="http://schemas.openxmlformats.org/markup-compatibility/2006" mc:Ignorable="w16cex"/>
</file>

<file path=word/commentsIds.xml><?xml version="1.0" encoding="utf-8"?>
<w16cid:commentsIds xmlns:w16cid="http://schemas.microsoft.com/office/word/2016/wordml/cid" xmlns:mc="http://schemas.openxmlformats.org/markup-compatibility/2006"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E17FC" w14:textId="77777777" w:rsidR="003E7BB9" w:rsidRDefault="003E7BB9">
      <w:r>
        <w:separator/>
      </w:r>
    </w:p>
  </w:endnote>
  <w:endnote w:type="continuationSeparator" w:id="0">
    <w:p w14:paraId="695F159F" w14:textId="77777777" w:rsidR="003E7BB9" w:rsidRDefault="003E7B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NimbusRomNo9L-Medi">
    <w:altName w:val="Cambria"/>
    <w:panose1 w:val="00000000000000000000"/>
    <w:charset w:val="00"/>
    <w:family w:val="roman"/>
    <w:notTrueType/>
    <w:pitch w:val="default"/>
  </w:font>
  <w:font w:name="NimbusRomNo9L-Regu">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2BC2" w14:textId="2858D19F" w:rsidR="00097958" w:rsidRPr="003D5B84" w:rsidRDefault="00050148" w:rsidP="00C07BEF">
    <w:pPr>
      <w:pStyle w:val="Header"/>
      <w:tabs>
        <w:tab w:val="clear" w:pos="4320"/>
        <w:tab w:val="clear" w:pos="8640"/>
        <w:tab w:val="left" w:pos="2992"/>
      </w:tabs>
      <w:spacing w:before="240"/>
    </w:pPr>
    <w:r>
      <w:rPr>
        <w:noProof/>
      </w:rPr>
      <mc:AlternateContent>
        <mc:Choice Requires="wps">
          <w:drawing>
            <wp:anchor distT="0" distB="0" distL="114300" distR="114300" simplePos="0" relativeHeight="251670016" behindDoc="0" locked="0" layoutInCell="1" allowOverlap="1" wp14:anchorId="307E942D" wp14:editId="5F14731A">
              <wp:simplePos x="0" y="0"/>
              <wp:positionH relativeFrom="column">
                <wp:posOffset>-17780</wp:posOffset>
              </wp:positionH>
              <wp:positionV relativeFrom="paragraph">
                <wp:posOffset>144145</wp:posOffset>
              </wp:positionV>
              <wp:extent cx="56160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7CD070" id="Line 3"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11.35pt" to="440.8pt,11.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gYVdrwEAAEgDAAAOAAAAZHJzL2Uyb0RvYy54bWysU8Fu2zAMvQ/YPwi6L3YCJNiMOD2k7S7d FqDdBzCSHAuTRYFUYufvJ6lJWmy3YT4Ikkg+vfdIr++mwYmTIbboWzmf1VIYr1Bbf2jlz5fHT5+l 4Aheg0NvWnk2LO82Hz+sx9CYBfbotCGRQDw3Y2hlH2NoqopVbwbgGQbjU7BDGiCmIx0qTTAm9MFV i7peVSOSDoTKMKfb+9eg3BT8rjMq/ug6NlG4ViZusaxU1n1eq80amgNB6K260IB/YDGA9enRG9Q9 RBBHsn9BDVYRMnZxpnCosOusMkVDUjOv/1Dz3EMwRUsyh8PNJv5/sOr7aet3lKmryT+HJ1S/WHjc 9uAPphB4OYfUuHm2qhoDN7eSfOCwI7Efv6FOOXCMWFyYOhoyZNInpmL2+Wa2maJQ6XK5mq/qOvVE XWMVNNfCQBy/GhxE3rTSWZ99gAZOTxwzEWiuKfna46N1rvTSeTG28stysSwFjM7qHMxpTIf91pE4 QZ6G8hVVKfI+jfDodQHrDeiHyz6Cda/79LjzFzOy/jxs3OxRn3d0NSm1q7C8jFaeh/fnUv32A2x+ AwAA//8DAFBLAwQUAAYACAAAACEAZnlVot0AAAAIAQAADwAAAGRycy9kb3ducmV2LnhtbEyPwU7D MBBE70j9B2sr9VK1To1UohCnQkBuXCggrtt4SSLidRq7bdqvrxEHOO7MaOZtvhltJ440+NaxhtUy AUFcOdNyreH9rVykIHxANtg5Jg1n8rApJjc5Zsad+JWO21CLWMI+Qw1NCH0mpa8asuiXrieO3pcb LIZ4DrU0A55iue2kSpK1tNhyXGiwp8eGqu/twWrw5Qfty8u8mieft7UjtX96eUatZ9Px4R5EoDH8 heEHP6JDEZl27sDGi07DQkXyoEGpOxDRT9PVGsTuV5BFLv8/UFwBAAD//wMAUEsBAi0AFAAGAAgA AAAhALaDOJL+AAAA4QEAABMAAAAAAAAAAAAAAAAAAAAAAFtDb250ZW50X1R5cGVzXS54bWxQSwEC LQAUAAYACAAAACEAOP0h/9YAAACUAQAACwAAAAAAAAAAAAAAAAAvAQAAX3JlbHMvLnJlbHNQSwEC LQAUAAYACAAAACEAU4GFXa8BAABIAwAADgAAAAAAAAAAAAAAAAAuAgAAZHJzL2Uyb0RvYy54bWxQ SwECLQAUAAYACAAAACEAZnlVot0AAAAIAQAADwAAAAAAAAAAAAAAAAAJBAAAZHJzL2Rvd25yZXYu eG1sUEsFBgAAAAAEAAQA8wAAABMFAAAAAA== "/>
          </w:pict>
        </mc:Fallback>
      </mc:AlternateContent>
    </w:r>
    <w:r w:rsidR="00DD2BCF">
      <w:rPr>
        <w:noProof/>
      </w:rPr>
      <w:t>Int J Artif</w:t>
    </w:r>
    <w:r w:rsidR="00DD2BCF" w:rsidRPr="005133A9">
      <w:rPr>
        <w:noProof/>
      </w:rPr>
      <w:t xml:space="preserve"> Intell</w:t>
    </w:r>
    <w:r w:rsidR="00784C44" w:rsidRPr="00E619D6">
      <w:t xml:space="preserve">, </w:t>
    </w:r>
    <w:r w:rsidR="00097958" w:rsidRPr="00E619D6">
      <w:t xml:space="preserve">Vol. </w:t>
    </w:r>
    <w:r w:rsidR="006E1F55">
      <w:t>99</w:t>
    </w:r>
    <w:r w:rsidR="00097958" w:rsidRPr="00E619D6">
      <w:t xml:space="preserve">, No. </w:t>
    </w:r>
    <w:r w:rsidR="006E1F55">
      <w:t>1</w:t>
    </w:r>
    <w:r w:rsidR="0055343D" w:rsidRPr="00E619D6">
      <w:t xml:space="preserve">, </w:t>
    </w:r>
    <w:r w:rsidR="00A45398" w:rsidRPr="00735BBC">
      <w:t>Month</w:t>
    </w:r>
    <w:r w:rsidR="003A2810" w:rsidRPr="00735BBC">
      <w:t xml:space="preserve"> </w:t>
    </w:r>
    <w:r w:rsidR="003E4DD5" w:rsidRPr="00735BBC">
      <w:t>20</w:t>
    </w:r>
    <w:r w:rsidR="006E1F55">
      <w:t>99</w:t>
    </w:r>
    <w:r w:rsidR="00E305A0" w:rsidRPr="00735BBC">
      <w:t>:</w:t>
    </w:r>
    <w:r w:rsidR="00097958" w:rsidRPr="00735BBC">
      <w:t xml:space="preserve"> </w:t>
    </w:r>
    <w:r w:rsidR="006E1F55">
      <w:t>1</w:t>
    </w:r>
    <w:r w:rsidR="00BB48F9" w:rsidRPr="00735BBC">
      <w:t>-</w:t>
    </w:r>
    <w:r w:rsidR="006E1F55">
      <w:t>1x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B96C" w14:textId="48D5E991" w:rsidR="00097958" w:rsidRPr="00C07BEF" w:rsidRDefault="00DA3BBA" w:rsidP="00DA3BBA">
    <w:pPr>
      <w:pStyle w:val="Footer"/>
      <w:jc w:val="right"/>
      <w:rPr>
        <w:i/>
      </w:rPr>
    </w:pPr>
    <w:r>
      <w:rPr>
        <w:noProof/>
      </w:rPr>
      <mc:AlternateContent>
        <mc:Choice Requires="wps">
          <w:drawing>
            <wp:anchor distT="0" distB="0" distL="114300" distR="114300" simplePos="0" relativeHeight="251657216" behindDoc="0" locked="0" layoutInCell="1" allowOverlap="1" wp14:anchorId="62A3734C" wp14:editId="2E9084F0">
              <wp:simplePos x="0" y="0"/>
              <wp:positionH relativeFrom="column">
                <wp:posOffset>-17780</wp:posOffset>
              </wp:positionH>
              <wp:positionV relativeFrom="paragraph">
                <wp:posOffset>0</wp:posOffset>
              </wp:positionV>
              <wp:extent cx="5616000" cy="0"/>
              <wp:effectExtent l="0" t="0" r="0" b="0"/>
              <wp:wrapNone/>
              <wp:docPr id="1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5DB3F9"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0" to="440.8pt,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gYVdrwEAAEgDAAAOAAAAZHJzL2Uyb0RvYy54bWysU8Fu2zAMvQ/YPwi6L3YCJNiMOD2k7S7d FqDdBzCSHAuTRYFUYufvJ6lJWmy3YT4Ikkg+vfdIr++mwYmTIbboWzmf1VIYr1Bbf2jlz5fHT5+l 4Aheg0NvWnk2LO82Hz+sx9CYBfbotCGRQDw3Y2hlH2NoqopVbwbgGQbjU7BDGiCmIx0qTTAm9MFV i7peVSOSDoTKMKfb+9eg3BT8rjMq/ug6NlG4ViZusaxU1n1eq80amgNB6K260IB/YDGA9enRG9Q9 RBBHsn9BDVYRMnZxpnCosOusMkVDUjOv/1Dz3EMwRUsyh8PNJv5/sOr7aet3lKmryT+HJ1S/WHjc 9uAPphB4OYfUuHm2qhoDN7eSfOCwI7Efv6FOOXCMWFyYOhoyZNInpmL2+Wa2maJQ6XK5mq/qOvVE XWMVNNfCQBy/GhxE3rTSWZ99gAZOTxwzEWiuKfna46N1rvTSeTG28stysSwFjM7qHMxpTIf91pE4 QZ6G8hVVKfI+jfDodQHrDeiHyz6Cda/79LjzFzOy/jxs3OxRn3d0NSm1q7C8jFaeh/fnUv32A2x+ AwAA//8DAFBLAwQUAAYACAAAACEAPK5tPtkAAAAEAQAADwAAAGRycy9kb3ducmV2LnhtbEyPwU7D MBBE70j8g7VIXKrWaZCqKMSpKiA3LpQirtt4SaLG6zR228DXsz3BcTSjmTfFenK9OtMYOs8GlosE FHHtbceNgd17Nc9AhYhssfdMBr4pwLq8vSkwt/7Cb3TexkZJCYccDbQxDrnWoW7JYVj4gVi8Lz86 jCLHRtsRL1Luep0myUo77FgWWhzoqaX6sD05A6H6oGP1M6tnyedD4yk9Pr++oDH3d9PmEVSkKf6F 4Yov6FAK096f2AbVG5inQh4NyCFxs2y5ArW/Sl0W+j98+QsAAP//AwBQSwECLQAUAAYACAAAACEA toM4kv4AAADhAQAAEwAAAAAAAAAAAAAAAAAAAAAAW0NvbnRlbnRfVHlwZXNdLnhtbFBLAQItABQA BgAIAAAAIQA4/SH/1gAAAJQBAAALAAAAAAAAAAAAAAAAAC8BAABfcmVscy8ucmVsc1BLAQItABQA BgAIAAAAIQBTgYVdrwEAAEgDAAAOAAAAAAAAAAAAAAAAAC4CAABkcnMvZTJvRG9jLnhtbFBLAQIt ABQABgAIAAAAIQA8rm0+2QAAAAQBAAAPAAAAAAAAAAAAAAAAAAkEAABkcnMvZG93bnJldi54bWxQ SwUGAAAAAAQABADzAAAADwUAAAAA "/>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1DD03" w14:textId="277FB8B4" w:rsidR="00097958" w:rsidRPr="003D5B84" w:rsidRDefault="00453F49" w:rsidP="00453F49">
    <w:pPr>
      <w:pStyle w:val="Footer"/>
      <w:spacing w:before="240"/>
      <w:rPr>
        <w:i/>
        <w:szCs w:val="18"/>
      </w:rPr>
    </w:pPr>
    <w:r>
      <w:rPr>
        <w:noProof/>
      </w:rPr>
      <mc:AlternateContent>
        <mc:Choice Requires="wps">
          <w:drawing>
            <wp:anchor distT="0" distB="0" distL="114300" distR="114300" simplePos="0" relativeHeight="251659264" behindDoc="0" locked="0" layoutInCell="1" allowOverlap="1" wp14:anchorId="066E0B6C" wp14:editId="04BDC7AF">
              <wp:simplePos x="0" y="0"/>
              <wp:positionH relativeFrom="column">
                <wp:posOffset>-17780</wp:posOffset>
              </wp:positionH>
              <wp:positionV relativeFrom="paragraph">
                <wp:posOffset>144145</wp:posOffset>
              </wp:positionV>
              <wp:extent cx="5616000" cy="0"/>
              <wp:effectExtent l="0" t="0" r="0" b="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1F859E8" id="_x0000_t32" coordsize="21600,21600" o:spt="32" o:oned="t" path="m,l21600,21600e" filled="f">
              <v:path arrowok="t" fillok="f" o:connecttype="none"/>
              <o:lock v:ext="edit" shapetype="t"/>
            </v:shapetype>
            <v:shape id="AutoShape 6" o:spid="_x0000_s1026" type="#_x0000_t32" style="position:absolute;margin-left:-1.4pt;margin-top:11.35pt;width:442.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LwSitwEAAFYDAAAOAAAAZHJzL2Uyb0RvYy54bWysU8Fu2zAMvQ/YPwi6L7YDJNiMOD2k7S7d FqDdBzCybAuTRYFUYufvJ6lJWmy3YT4IlEg+Pj7Sm7t5tOKkiQ26RlaLUgrtFLbG9Y38+fL46bMU HMC1YNHpRp41y7vtxw+bydd6iQPaVpOIII7ryTdyCMHXRcFq0CPwAr120dkhjRDilfqiJZgi+miL ZVmuiwmp9YRKM8fX+1en3Gb8rtMq/Og61kHYRkZuIZ+Uz0M6i+0G6p7AD0ZdaMA/sBjBuFj0BnUP AcSRzF9Qo1GEjF1YKBwL7DqjdO4hdlOVf3TzPIDXuZcoDvubTPz/YNX3087tKVFXs3v2T6h+sXC4 G8D1OhN4Ofs4uCpJVUye61tKurDfkzhM37CNMXAMmFWYOxoTZOxPzFns801sPQeh4uNqXa3LMs5E XX0F1NdETxy+ahxFMhrJgcD0Q9ihc3GkSFUuA6cnDokW1NeEVNXho7E2T9Y6MTXyy2q5ygmM1rTJ mcKY+sPOkjhB2o385R6j530Y4dG1GWzQ0D5c7ADGvtqxuHUXaZIaafW4PmB73tNVsji8zPKyaGk7 3t9z9tvvsP0NAAD//wMAUEsDBBQABgAIAAAAIQA2Onso3QAAAAgBAAAPAAAAZHJzL2Rvd25yZXYu eG1sTI/BTsMwEETvSPyDtUhcUOvEEiWkcaoKiQNH2kpct/GSpMTrKHaa0K/HiAM97sxo5m2xmW0n zjT41rGGdJmAIK6cabnWcNi/LjIQPiAb7ByThm/ysClvbwrMjZv4nc67UItYwj5HDU0IfS6lrxqy 6JeuJ47epxsshngOtTQDTrHcdlIlyUpabDkuNNjTS0PV1260GsiPj2myfbb14e0yPXyoy2nq91rf 383bNYhAc/gPwy9+RIcyMh3dyMaLTsNCRfKgQaknENHPsnQF4vgnyLKQ1w+UPwAAAP//AwBQSwEC LQAUAAYACAAAACEAtoM4kv4AAADhAQAAEwAAAAAAAAAAAAAAAAAAAAAAW0NvbnRlbnRfVHlwZXNd LnhtbFBLAQItABQABgAIAAAAIQA4/SH/1gAAAJQBAAALAAAAAAAAAAAAAAAAAC8BAABfcmVscy8u cmVsc1BLAQItABQABgAIAAAAIQBvLwSitwEAAFYDAAAOAAAAAAAAAAAAAAAAAC4CAABkcnMvZTJv RG9jLnhtbFBLAQItABQABgAIAAAAIQA2Onso3QAAAAgBAAAPAAAAAAAAAAAAAAAAABEEAABkcnMv ZG93bnJldi54bWxQSwUGAAAAAAQABADzAAAAGwUAAAAA "/>
          </w:pict>
        </mc:Fallback>
      </mc:AlternateContent>
    </w:r>
    <w:r w:rsidR="00C854C1" w:rsidRPr="00C854C1">
      <w:rPr>
        <w:b/>
        <w:i/>
        <w:szCs w:val="18"/>
      </w:rPr>
      <w:t>Journal homepage</w:t>
    </w:r>
    <w:r w:rsidR="00C854C1">
      <w:rPr>
        <w:i/>
        <w:szCs w:val="18"/>
      </w:rPr>
      <w:t xml:space="preserve">: </w:t>
    </w:r>
    <w:r w:rsidR="00A15523" w:rsidRPr="002A2485">
      <w:rPr>
        <w:i/>
        <w:szCs w:val="18"/>
      </w:rPr>
      <w:t>http://ijai.iaescore.com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238DA" w14:textId="77777777" w:rsidR="003E7BB9" w:rsidRDefault="003E7BB9">
      <w:r>
        <w:separator/>
      </w:r>
    </w:p>
  </w:footnote>
  <w:footnote w:type="continuationSeparator" w:id="0">
    <w:p w14:paraId="4DE3464E" w14:textId="77777777" w:rsidR="003E7BB9" w:rsidRDefault="003E7B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E139" w14:textId="77777777" w:rsidR="00097958" w:rsidRPr="003D5B84" w:rsidRDefault="00C3666D" w:rsidP="00BD2B86">
    <w:pPr>
      <w:pStyle w:val="Header"/>
      <w:framePr w:wrap="around" w:vAnchor="text" w:hAnchor="page" w:x="1697" w:y="-2"/>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0E46CF">
      <w:rPr>
        <w:rStyle w:val="PageNumber"/>
        <w:noProof/>
      </w:rPr>
      <w:t>102</w:t>
    </w:r>
    <w:r w:rsidRPr="003D5B84">
      <w:rPr>
        <w:rStyle w:val="PageNumber"/>
      </w:rPr>
      <w:fldChar w:fldCharType="end"/>
    </w:r>
  </w:p>
  <w:p w14:paraId="7F150106" w14:textId="59D2732E" w:rsidR="00097958" w:rsidRPr="003D5B84" w:rsidRDefault="00050148" w:rsidP="00C07BEF">
    <w:pPr>
      <w:pStyle w:val="Header"/>
      <w:tabs>
        <w:tab w:val="clear" w:pos="4320"/>
        <w:tab w:val="clear" w:pos="8640"/>
        <w:tab w:val="right" w:pos="851"/>
        <w:tab w:val="left" w:pos="3405"/>
        <w:tab w:val="right" w:pos="8789"/>
      </w:tabs>
      <w:spacing w:after="240"/>
    </w:pPr>
    <w:r>
      <w:rPr>
        <w:noProof/>
      </w:rPr>
      <mc:AlternateContent>
        <mc:Choice Requires="wps">
          <w:drawing>
            <wp:anchor distT="0" distB="0" distL="114300" distR="114300" simplePos="0" relativeHeight="251655168" behindDoc="0" locked="0" layoutInCell="1" allowOverlap="1" wp14:anchorId="36240665" wp14:editId="3438703A">
              <wp:simplePos x="0" y="0"/>
              <wp:positionH relativeFrom="column">
                <wp:posOffset>-17780</wp:posOffset>
              </wp:positionH>
              <wp:positionV relativeFrom="paragraph">
                <wp:posOffset>180340</wp:posOffset>
              </wp:positionV>
              <wp:extent cx="5616000" cy="0"/>
              <wp:effectExtent l="0" t="0" r="0" b="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C772FDF" id="_x0000_t32" coordsize="21600,21600" o:spt="32" o:oned="t" path="m,l21600,21600e" filled="f">
              <v:path arrowok="t" fillok="f" o:connecttype="none"/>
              <o:lock v:ext="edit" shapetype="t"/>
            </v:shapetype>
            <v:shape id="AutoShape 7" o:spid="_x0000_s1026" type="#_x0000_t32" style="position:absolute;margin-left:-1.4pt;margin-top:14.2pt;width:442.2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LwSitwEAAFYDAAAOAAAAZHJzL2Uyb0RvYy54bWysU8Fu2zAMvQ/YPwi6L7YDJNiMOD2k7S7d FqDdBzCybAuTRYFUYufvJ6lJWmy3YT4IlEg+Pj7Sm7t5tOKkiQ26RlaLUgrtFLbG9Y38+fL46bMU HMC1YNHpRp41y7vtxw+bydd6iQPaVpOIII7ryTdyCMHXRcFq0CPwAr120dkhjRDilfqiJZgi+miL ZVmuiwmp9YRKM8fX+1en3Gb8rtMq/Og61kHYRkZuIZ+Uz0M6i+0G6p7AD0ZdaMA/sBjBuFj0BnUP AcSRzF9Qo1GEjF1YKBwL7DqjdO4hdlOVf3TzPIDXuZcoDvubTPz/YNX3087tKVFXs3v2T6h+sXC4 G8D1OhN4Ofs4uCpJVUye61tKurDfkzhM37CNMXAMmFWYOxoTZOxPzFns801sPQeh4uNqXa3LMs5E XX0F1NdETxy+ahxFMhrJgcD0Q9ihc3GkSFUuA6cnDokW1NeEVNXho7E2T9Y6MTXyy2q5ygmM1rTJ mcKY+sPOkjhB2o385R6j530Y4dG1GWzQ0D5c7ADGvtqxuHUXaZIaafW4PmB73tNVsji8zPKyaGk7 3t9z9tvvsP0NAAD//wMAUEsDBBQABgAIAAAAIQBe4u++3QAAAAgBAAAPAAAAZHJzL2Rvd25yZXYu eG1sTI/BbsIwEETvlfgHa5F6qcBJ1KKQxkGoUg89FpC4LvE2SRuvo9ghKV9fIw7luDOjmbf5ZjKt OFPvGssK4mUEgri0uuFKwWH/vkhBOI+ssbVMCn7JwaaYPeSYaTvyJ513vhKhhF2GCmrvu0xKV9Zk 0C1tRxy8L9sb9OHsK6l7HEO5aWUSRStpsOGwUGNHbzWVP7vBKCA3vMTRdm2qw8dlfDoml++x2yv1 OJ+2ryA8Tf4/DFf8gA5FYDrZgbUTrYJFEsi9giR9BhH8NI1XIE43QRa5vH+g+AMAAP//AwBQSwEC LQAUAAYACAAAACEAtoM4kv4AAADhAQAAEwAAAAAAAAAAAAAAAAAAAAAAW0NvbnRlbnRfVHlwZXNd LnhtbFBLAQItABQABgAIAAAAIQA4/SH/1gAAAJQBAAALAAAAAAAAAAAAAAAAAC8BAABfcmVscy8u cmVsc1BLAQItABQABgAIAAAAIQBvLwSitwEAAFYDAAAOAAAAAAAAAAAAAAAAAC4CAABkcnMvZTJv RG9jLnhtbFBLAQItABQABgAIAAAAIQBe4u++3QAAAAgBAAAPAAAAAAAAAAAAAAAAABEEAABkcnMv ZG93bnJldi54bWxQSwUGAAAAAAQABADzAAAAGwUAAAAA "/>
          </w:pict>
        </mc:Fallback>
      </mc:AlternateContent>
    </w:r>
    <w:r w:rsidR="00E5155C" w:rsidRPr="003D5B84">
      <w:t xml:space="preserve">     </w:t>
    </w:r>
    <w:r w:rsidR="00E5155C" w:rsidRPr="003D5B84">
      <w:tab/>
    </w:r>
    <w:r w:rsidR="00C854C1">
      <w:sym w:font="Wingdings" w:char="F072"/>
    </w:r>
    <w:r w:rsidR="00097958" w:rsidRPr="003D5B84">
      <w:t xml:space="preserve"> </w:t>
    </w:r>
    <w:r w:rsidR="00097958" w:rsidRPr="003D5B84">
      <w:tab/>
    </w:r>
    <w:r w:rsidR="003D5B84" w:rsidRPr="003D5B84">
      <w:tab/>
    </w:r>
    <w:r w:rsidR="00097958" w:rsidRPr="003D5B84">
      <w:t xml:space="preserve">       </w:t>
    </w:r>
    <w:r w:rsidR="00E5155C" w:rsidRPr="003D5B84">
      <w:t>ISSN</w:t>
    </w:r>
    <w:r w:rsidR="00DC341B">
      <w:t>:</w:t>
    </w:r>
    <w:r w:rsidR="00E5155C" w:rsidRPr="003D5B84">
      <w:t xml:space="preserve"> </w:t>
    </w:r>
    <w:r w:rsidR="00DD2BCF" w:rsidRPr="00DD2BCF">
      <w:t>2252-8938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4BB40" w14:textId="77777777" w:rsidR="00097958" w:rsidRPr="003D5B84" w:rsidRDefault="00C3666D" w:rsidP="00F173DD">
    <w:pPr>
      <w:pStyle w:val="Header"/>
      <w:framePr w:wrap="around" w:vAnchor="text" w:hAnchor="margin" w:xAlign="outside" w:y="1"/>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0E46CF">
      <w:rPr>
        <w:rStyle w:val="PageNumber"/>
        <w:noProof/>
      </w:rPr>
      <w:t>103</w:t>
    </w:r>
    <w:r w:rsidRPr="003D5B84">
      <w:rPr>
        <w:rStyle w:val="PageNumber"/>
      </w:rPr>
      <w:fldChar w:fldCharType="end"/>
    </w:r>
  </w:p>
  <w:p w14:paraId="72D04B55" w14:textId="39DD6849" w:rsidR="00097958" w:rsidRPr="003D5B84" w:rsidRDefault="00DD2BCF" w:rsidP="00222701">
    <w:pPr>
      <w:pStyle w:val="Header"/>
      <w:tabs>
        <w:tab w:val="clear" w:pos="4320"/>
        <w:tab w:val="clear" w:pos="8640"/>
        <w:tab w:val="left" w:pos="0"/>
        <w:tab w:val="center" w:pos="4301"/>
        <w:tab w:val="left" w:pos="7938"/>
      </w:tabs>
    </w:pPr>
    <w:r>
      <w:rPr>
        <w:noProof/>
      </w:rPr>
      <w:t>Int J Artif</w:t>
    </w:r>
    <w:r w:rsidRPr="005133A9">
      <w:rPr>
        <w:noProof/>
      </w:rPr>
      <w:t xml:space="preserve"> Intell</w:t>
    </w:r>
    <w:r w:rsidR="00097958" w:rsidRPr="003D5B84">
      <w:t xml:space="preserve"> </w:t>
    </w:r>
    <w:r w:rsidR="00097958" w:rsidRPr="003D5B84">
      <w:tab/>
      <w:t>ISSN:</w:t>
    </w:r>
    <w:r w:rsidR="004F4003">
      <w:t xml:space="preserve"> </w:t>
    </w:r>
    <w:r w:rsidRPr="001028D2">
      <w:t>2252-8938</w:t>
    </w:r>
    <w:r w:rsidR="00EF1185" w:rsidRPr="003D5B84">
      <w:tab/>
    </w:r>
    <w:r w:rsidR="00C854C1">
      <w:sym w:font="Wingdings" w:char="F072"/>
    </w:r>
  </w:p>
  <w:p w14:paraId="3BE6E7DA" w14:textId="7CB50A32" w:rsidR="00097958" w:rsidRPr="003D5B84" w:rsidRDefault="00222701" w:rsidP="0094367D">
    <w:pPr>
      <w:pStyle w:val="Header"/>
      <w:ind w:right="360" w:firstLine="360"/>
    </w:pPr>
    <w:r>
      <w:rPr>
        <w:noProof/>
      </w:rPr>
      <mc:AlternateContent>
        <mc:Choice Requires="wps">
          <w:drawing>
            <wp:anchor distT="0" distB="0" distL="114300" distR="114300" simplePos="0" relativeHeight="251658240" behindDoc="0" locked="0" layoutInCell="1" allowOverlap="1" wp14:anchorId="485510DB" wp14:editId="74363822">
              <wp:simplePos x="0" y="0"/>
              <wp:positionH relativeFrom="column">
                <wp:posOffset>-17780</wp:posOffset>
              </wp:positionH>
              <wp:positionV relativeFrom="paragraph">
                <wp:posOffset>17780</wp:posOffset>
              </wp:positionV>
              <wp:extent cx="5616000" cy="0"/>
              <wp:effectExtent l="0" t="0" r="0" b="0"/>
              <wp:wrapNone/>
              <wp:docPr id="1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1D0F92A" id="_x0000_t32" coordsize="21600,21600" o:spt="32" o:oned="t" path="m,l21600,21600e" filled="f">
              <v:path arrowok="t" fillok="f" o:connecttype="none"/>
              <o:lock v:ext="edit" shapetype="t"/>
            </v:shapetype>
            <v:shape id="AutoShape 7" o:spid="_x0000_s1026" type="#_x0000_t32" style="position:absolute;margin-left:-1.4pt;margin-top:1.4pt;width:442.2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LwSitwEAAFYDAAAOAAAAZHJzL2Uyb0RvYy54bWysU8Fu2zAMvQ/YPwi6L7YDJNiMOD2k7S7d FqDdBzCybAuTRYFUYufvJ6lJWmy3YT4IlEg+Pj7Sm7t5tOKkiQ26RlaLUgrtFLbG9Y38+fL46bMU HMC1YNHpRp41y7vtxw+bydd6iQPaVpOIII7ryTdyCMHXRcFq0CPwAr120dkhjRDilfqiJZgi+miL ZVmuiwmp9YRKM8fX+1en3Gb8rtMq/Og61kHYRkZuIZ+Uz0M6i+0G6p7AD0ZdaMA/sBjBuFj0BnUP AcSRzF9Qo1GEjF1YKBwL7DqjdO4hdlOVf3TzPIDXuZcoDvubTPz/YNX3087tKVFXs3v2T6h+sXC4 G8D1OhN4Ofs4uCpJVUye61tKurDfkzhM37CNMXAMmFWYOxoTZOxPzFns801sPQeh4uNqXa3LMs5E XX0F1NdETxy+ahxFMhrJgcD0Q9ihc3GkSFUuA6cnDokW1NeEVNXho7E2T9Y6MTXyy2q5ygmM1rTJ mcKY+sPOkjhB2o385R6j530Y4dG1GWzQ0D5c7ADGvtqxuHUXaZIaafW4PmB73tNVsji8zPKyaGk7 3t9z9tvvsP0NAAD//wMAUEsDBBQABgAIAAAAIQAk89k+2gAAAAYBAAAPAAAAZHJzL2Rvd25yZXYu eG1sTI5Ba8JAFITvBf/D8oReim4SqKQxLyJCDz1WBa9r9jWJZt+G7Mak/vquvbSnYZhh5ss3k2nF jXrXWEaIlxEI4tLqhiuE4+F9kYJwXrFWrWVC+CYHm2L2lKtM25E/6bb3lQgj7DKFUHvfZVK6siaj 3NJ2xCH7sr1RPti+krpXYxg3rUyiaCWNajg81KqjXU3ldT8YBHLDaxxt30x1/LiPL6fkfhm7A+Lz fNquQXia/F8ZHvgBHYrAdLYDaydahEUSyD3CQ0KcpvEKxPnXyyKX//GLHwAAAP//AwBQSwECLQAU AAYACAAAACEAtoM4kv4AAADhAQAAEwAAAAAAAAAAAAAAAAAAAAAAW0NvbnRlbnRfVHlwZXNdLnht bFBLAQItABQABgAIAAAAIQA4/SH/1gAAAJQBAAALAAAAAAAAAAAAAAAAAC8BAABfcmVscy8ucmVs c1BLAQItABQABgAIAAAAIQBvLwSitwEAAFYDAAAOAAAAAAAAAAAAAAAAAC4CAABkcnMvZTJvRG9j LnhtbFBLAQItABQABgAIAAAAIQAk89k+2gAAAAYBAAAPAAAAAAAAAAAAAAAAABEEAABkcnMvZG93 bnJldi54bWxQSwUGAAAAAAQABADzAAAAGAUAAAAA "/>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AADC5" w14:textId="77777777" w:rsidR="00A15523" w:rsidRDefault="00A15523" w:rsidP="00A15523">
    <w:pPr>
      <w:pStyle w:val="Header"/>
      <w:tabs>
        <w:tab w:val="clear" w:pos="4320"/>
        <w:tab w:val="clear" w:pos="8640"/>
      </w:tabs>
      <w:ind w:right="45"/>
      <w:rPr>
        <w:b/>
        <w:bCs/>
      </w:rPr>
    </w:pPr>
    <w:r w:rsidRPr="005E2339">
      <w:rPr>
        <w:b/>
      </w:rPr>
      <w:t>IAES International Journal of Artificial Intelligence (IJ-AI</w:t>
    </w:r>
    <w:r>
      <w:rPr>
        <w:b/>
      </w:rPr>
      <w:t>)</w:t>
    </w:r>
  </w:p>
  <w:p w14:paraId="69794571" w14:textId="19AEAE84" w:rsidR="00A15523" w:rsidRPr="003D5B84" w:rsidRDefault="00A15523" w:rsidP="00A15523">
    <w:pPr>
      <w:pStyle w:val="Header"/>
      <w:tabs>
        <w:tab w:val="clear" w:pos="4320"/>
        <w:tab w:val="clear" w:pos="8640"/>
      </w:tabs>
      <w:ind w:right="45"/>
    </w:pPr>
    <w:r w:rsidRPr="003D5B84">
      <w:t>Vol.</w:t>
    </w:r>
    <w:r>
      <w:t xml:space="preserve"> </w:t>
    </w:r>
    <w:r w:rsidR="006E1F55">
      <w:t>99</w:t>
    </w:r>
    <w:r w:rsidRPr="003D5B84">
      <w:t>, No.</w:t>
    </w:r>
    <w:r>
      <w:t xml:space="preserve"> </w:t>
    </w:r>
    <w:r w:rsidR="006E1F55">
      <w:t>1</w:t>
    </w:r>
    <w:r w:rsidRPr="003D5B84">
      <w:t xml:space="preserve">, </w:t>
    </w:r>
    <w:r>
      <w:rPr>
        <w:lang w:val="id-ID"/>
      </w:rPr>
      <w:t>Month</w:t>
    </w:r>
    <w:r w:rsidRPr="003D5B84">
      <w:t xml:space="preserve"> </w:t>
    </w:r>
    <w:r>
      <w:t>20</w:t>
    </w:r>
    <w:r w:rsidR="006E1F55">
      <w:t>99</w:t>
    </w:r>
    <w:r w:rsidRPr="003D5B84">
      <w:t xml:space="preserve">, pp. </w:t>
    </w:r>
    <w:r w:rsidR="006E1F55">
      <w:t>1</w:t>
    </w:r>
    <w:r w:rsidRPr="003D5B84">
      <w:t>~</w:t>
    </w:r>
    <w:r w:rsidR="006E1F55">
      <w:t>1x</w:t>
    </w:r>
  </w:p>
  <w:p w14:paraId="2A371CCD" w14:textId="7707C3ED" w:rsidR="00097958" w:rsidRDefault="00A15523" w:rsidP="00A15523">
    <w:pPr>
      <w:pStyle w:val="Header"/>
      <w:tabs>
        <w:tab w:val="clear" w:pos="4320"/>
        <w:tab w:val="clear" w:pos="8640"/>
        <w:tab w:val="left" w:pos="7938"/>
        <w:tab w:val="right" w:pos="8789"/>
      </w:tabs>
      <w:rPr>
        <w:rStyle w:val="PageNumber"/>
      </w:rPr>
    </w:pPr>
    <w:r w:rsidRPr="005E2339">
      <w:t>ISSN: 2252-8938</w:t>
    </w:r>
    <w:r w:rsidRPr="005E2339">
      <w:rPr>
        <w:lang w:val="id-ID"/>
      </w:rPr>
      <w:t>,</w:t>
    </w:r>
    <w:r w:rsidRPr="005E2339">
      <w:t xml:space="preserve"> DOI: 10.11591/ijai.v</w:t>
    </w:r>
    <w:r w:rsidR="006E1F55">
      <w:t>99</w:t>
    </w:r>
    <w:r w:rsidRPr="005E2339">
      <w:t>.i</w:t>
    </w:r>
    <w:r w:rsidR="006E1F55">
      <w:t>1</w:t>
    </w:r>
    <w:r w:rsidRPr="005E2339">
      <w:t>.pp</w:t>
    </w:r>
    <w:r w:rsidR="006E1F55">
      <w:t>1</w:t>
    </w:r>
    <w:r w:rsidRPr="005E2339">
      <w:t>-</w:t>
    </w:r>
    <w:r w:rsidR="006E1F55">
      <w:t>1x</w:t>
    </w:r>
    <w:r w:rsidR="008B060F" w:rsidRPr="003D5B84">
      <w:tab/>
    </w:r>
    <w:r w:rsidR="00C854C1">
      <w:sym w:font="Wingdings" w:char="F072"/>
    </w:r>
    <w:r w:rsidR="00097958" w:rsidRPr="003D5B84">
      <w:t xml:space="preserve">   </w:t>
    </w:r>
    <w:r w:rsidR="00855965" w:rsidRPr="003D5B84">
      <w:t xml:space="preserve"> </w:t>
    </w:r>
    <w:r w:rsidR="00E5155C" w:rsidRPr="003D5B84">
      <w:tab/>
    </w:r>
    <w:r w:rsidR="00C3666D" w:rsidRPr="003D5B84">
      <w:rPr>
        <w:rStyle w:val="PageNumber"/>
      </w:rPr>
      <w:fldChar w:fldCharType="begin"/>
    </w:r>
    <w:r w:rsidR="00097958" w:rsidRPr="003D5B84">
      <w:rPr>
        <w:rStyle w:val="PageNumber"/>
      </w:rPr>
      <w:instrText xml:space="preserve"> PAGE </w:instrText>
    </w:r>
    <w:r w:rsidR="00C3666D" w:rsidRPr="003D5B84">
      <w:rPr>
        <w:rStyle w:val="PageNumber"/>
      </w:rPr>
      <w:fldChar w:fldCharType="separate"/>
    </w:r>
    <w:r w:rsidR="00656AAA">
      <w:rPr>
        <w:rStyle w:val="PageNumber"/>
        <w:noProof/>
      </w:rPr>
      <w:t>101</w:t>
    </w:r>
    <w:r w:rsidR="00C3666D" w:rsidRPr="003D5B84">
      <w:rPr>
        <w:rStyle w:val="PageNumber"/>
      </w:rPr>
      <w:fldChar w:fldCharType="end"/>
    </w:r>
    <w:r w:rsidR="00050148">
      <w:rPr>
        <w:noProof/>
      </w:rPr>
      <mc:AlternateContent>
        <mc:Choice Requires="wps">
          <w:drawing>
            <wp:anchor distT="0" distB="0" distL="114300" distR="114300" simplePos="0" relativeHeight="251660800" behindDoc="0" locked="0" layoutInCell="1" allowOverlap="1" wp14:anchorId="480481AD" wp14:editId="7948B284">
              <wp:simplePos x="0" y="0"/>
              <wp:positionH relativeFrom="column">
                <wp:posOffset>-19050</wp:posOffset>
              </wp:positionH>
              <wp:positionV relativeFrom="paragraph">
                <wp:posOffset>180975</wp:posOffset>
              </wp:positionV>
              <wp:extent cx="5616000"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1FEF1D3" id="_x0000_t32" coordsize="21600,21600" o:spt="32" o:oned="t" path="m,l21600,21600e" filled="f">
              <v:path arrowok="t" fillok="f" o:connecttype="none"/>
              <o:lock v:ext="edit" shapetype="t"/>
            </v:shapetype>
            <v:shape id="AutoShape 6" o:spid="_x0000_s1026" type="#_x0000_t32" style="position:absolute;margin-left:-1.5pt;margin-top:14.25pt;width:442.2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LwSitwEAAFYDAAAOAAAAZHJzL2Uyb0RvYy54bWysU8Fu2zAMvQ/YPwi6L7YDJNiMOD2k7S7d FqDdBzCybAuTRYFUYufvJ6lJWmy3YT4IlEg+Pj7Sm7t5tOKkiQ26RlaLUgrtFLbG9Y38+fL46bMU HMC1YNHpRp41y7vtxw+bydd6iQPaVpOIII7ryTdyCMHXRcFq0CPwAr120dkhjRDilfqiJZgi+miL ZVmuiwmp9YRKM8fX+1en3Gb8rtMq/Og61kHYRkZuIZ+Uz0M6i+0G6p7AD0ZdaMA/sBjBuFj0BnUP AcSRzF9Qo1GEjF1YKBwL7DqjdO4hdlOVf3TzPIDXuZcoDvubTPz/YNX3087tKVFXs3v2T6h+sXC4 G8D1OhN4Ofs4uCpJVUye61tKurDfkzhM37CNMXAMmFWYOxoTZOxPzFns801sPQeh4uNqXa3LMs5E XX0F1NdETxy+ahxFMhrJgcD0Q9ihc3GkSFUuA6cnDokW1NeEVNXho7E2T9Y6MTXyy2q5ygmM1rTJ mcKY+sPOkjhB2o385R6j530Y4dG1GWzQ0D5c7ADGvtqxuHUXaZIaafW4PmB73tNVsji8zPKyaGk7 3t9z9tvvsP0NAAD//wMAUEsDBBQABgAIAAAAIQAMbcMI3gAAAAgBAAAPAAAAZHJzL2Rvd25yZXYu eG1sTI/BTsMwEETvSPyDtZW4oNZJaFEa4lQVEgeOtJW4buNtEhqvo9hpQr8eox7gODurmTf5ZjKt uFDvGssK4kUEgri0uuFKwWH/Nk9BOI+ssbVMCr7Jwaa4v8sx03bkD7rsfCVCCLsMFdTed5mUrqzJ oFvYjjh4J9sb9EH2ldQ9jiHctDKJomdpsOHQUGNHrzWV591gFJAbVnG0XZvq8H4dHz+T69fY7ZV6 mE3bFxCeJv/3DL/4AR2KwHS0A2snWgXzpzDFK0jSFYjgp2m8BHG8HWSRy/8Dih8AAAD//wMAUEsB Ai0AFAAGAAgAAAAhALaDOJL+AAAA4QEAABMAAAAAAAAAAAAAAAAAAAAAAFtDb250ZW50X1R5cGVz XS54bWxQSwECLQAUAAYACAAAACEAOP0h/9YAAACUAQAACwAAAAAAAAAAAAAAAAAvAQAAX3JlbHMv LnJlbHNQSwECLQAUAAYACAAAACEAby8EorcBAABWAwAADgAAAAAAAAAAAAAAAAAuAgAAZHJzL2Uy b0RvYy54bWxQSwECLQAUAAYACAAAACEADG3DCN4AAAAIAQAADwAAAAAAAAAAAAAAAAARBAAAZHJz L2Rvd25yZXYueG1sUEsFBgAAAAAEAAQA8wAAABwFAAAAAA== "/>
          </w:pict>
        </mc:Fallback>
      </mc:AlternateContent>
    </w:r>
    <w:r w:rsidR="00097958" w:rsidRPr="003D5B84">
      <w:rPr>
        <w:rStyle w:val="PageNumber"/>
      </w:rPr>
      <w:tab/>
    </w:r>
  </w:p>
  <w:p w14:paraId="0F8E6846" w14:textId="77777777" w:rsidR="00E77E1F" w:rsidRPr="003D5B84" w:rsidRDefault="00E77E1F" w:rsidP="00E77E1F">
    <w:pPr>
      <w:pStyle w:val="Header"/>
      <w:tabs>
        <w:tab w:val="clear" w:pos="4320"/>
        <w:tab w:val="clear" w:pos="8640"/>
        <w:tab w:val="left" w:pos="7938"/>
        <w:tab w:val="right" w:pos="8789"/>
      </w:tabs>
      <w:rPr>
        <w:rStyle w:val="PageNumbe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C65574"/>
    <w:multiLevelType w:val="multilevel"/>
    <w:tmpl w:val="FFFFFFFF"/>
    <w:lvl w:ilvl="0">
      <w:start w:val="1"/>
      <w:numFmt w:val="bullet"/>
      <w:lvlText w:val="-"/>
      <w:lvlJc w:val="left"/>
      <w:pPr>
        <w:tabs>
          <w:tab w:val="num" w:pos="720"/>
        </w:tabs>
        <w:ind w:left="720" w:hanging="360"/>
      </w:pPr>
      <w:rPr>
        <w:rFonts w:ascii="Calibri" w:hAnsi="Calibri" w:hint="default"/>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4" w15:restartNumberingAfterBreak="0">
    <w:nsid w:val="2FB730A1"/>
    <w:multiLevelType w:val="hybridMultilevel"/>
    <w:tmpl w:val="FFFFFFFF"/>
    <w:lvl w:ilvl="0" w:tplc="04090005">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E670CC"/>
    <w:multiLevelType w:val="hybridMultilevel"/>
    <w:tmpl w:val="9F306BE0"/>
    <w:lvl w:ilvl="0" w:tplc="D96EDC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044396E"/>
    <w:multiLevelType w:val="hybridMultilevel"/>
    <w:tmpl w:val="D4988C54"/>
    <w:lvl w:ilvl="0" w:tplc="C78A85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12"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60B2A53"/>
    <w:multiLevelType w:val="hybridMultilevel"/>
    <w:tmpl w:val="1BFE696E"/>
    <w:lvl w:ilvl="0" w:tplc="13EEE518">
      <w:start w:val="1"/>
      <w:numFmt w:val="lowerLetter"/>
      <w:lvlText w:val="(%1)"/>
      <w:lvlJc w:val="left"/>
      <w:pPr>
        <w:ind w:left="2520" w:hanging="360"/>
      </w:pPr>
      <w:rPr>
        <w:rFonts w:ascii="Times New Roman" w:hAnsi="Times New Roman" w:cs="Times New Roman" w:hint="default"/>
      </w:rPr>
    </w:lvl>
    <w:lvl w:ilvl="1" w:tplc="043E0019" w:tentative="1">
      <w:start w:val="1"/>
      <w:numFmt w:val="lowerLetter"/>
      <w:lvlText w:val="%2."/>
      <w:lvlJc w:val="left"/>
      <w:pPr>
        <w:ind w:left="3240" w:hanging="360"/>
      </w:pPr>
    </w:lvl>
    <w:lvl w:ilvl="2" w:tplc="043E001B" w:tentative="1">
      <w:start w:val="1"/>
      <w:numFmt w:val="lowerRoman"/>
      <w:lvlText w:val="%3."/>
      <w:lvlJc w:val="right"/>
      <w:pPr>
        <w:ind w:left="3960" w:hanging="180"/>
      </w:pPr>
    </w:lvl>
    <w:lvl w:ilvl="3" w:tplc="043E000F" w:tentative="1">
      <w:start w:val="1"/>
      <w:numFmt w:val="decimal"/>
      <w:lvlText w:val="%4."/>
      <w:lvlJc w:val="left"/>
      <w:pPr>
        <w:ind w:left="4680" w:hanging="360"/>
      </w:pPr>
    </w:lvl>
    <w:lvl w:ilvl="4" w:tplc="043E0019" w:tentative="1">
      <w:start w:val="1"/>
      <w:numFmt w:val="lowerLetter"/>
      <w:lvlText w:val="%5."/>
      <w:lvlJc w:val="left"/>
      <w:pPr>
        <w:ind w:left="5400" w:hanging="360"/>
      </w:pPr>
    </w:lvl>
    <w:lvl w:ilvl="5" w:tplc="043E001B" w:tentative="1">
      <w:start w:val="1"/>
      <w:numFmt w:val="lowerRoman"/>
      <w:lvlText w:val="%6."/>
      <w:lvlJc w:val="right"/>
      <w:pPr>
        <w:ind w:left="6120" w:hanging="180"/>
      </w:pPr>
    </w:lvl>
    <w:lvl w:ilvl="6" w:tplc="043E000F" w:tentative="1">
      <w:start w:val="1"/>
      <w:numFmt w:val="decimal"/>
      <w:lvlText w:val="%7."/>
      <w:lvlJc w:val="left"/>
      <w:pPr>
        <w:ind w:left="6840" w:hanging="360"/>
      </w:pPr>
    </w:lvl>
    <w:lvl w:ilvl="7" w:tplc="043E0019" w:tentative="1">
      <w:start w:val="1"/>
      <w:numFmt w:val="lowerLetter"/>
      <w:lvlText w:val="%8."/>
      <w:lvlJc w:val="left"/>
      <w:pPr>
        <w:ind w:left="7560" w:hanging="360"/>
      </w:pPr>
    </w:lvl>
    <w:lvl w:ilvl="8" w:tplc="043E001B" w:tentative="1">
      <w:start w:val="1"/>
      <w:numFmt w:val="lowerRoman"/>
      <w:lvlText w:val="%9."/>
      <w:lvlJc w:val="right"/>
      <w:pPr>
        <w:ind w:left="8280" w:hanging="180"/>
      </w:pPr>
    </w:lvl>
  </w:abstractNum>
  <w:abstractNum w:abstractNumId="14"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1984878"/>
    <w:multiLevelType w:val="hybridMultilevel"/>
    <w:tmpl w:val="C912726A"/>
    <w:lvl w:ilvl="0" w:tplc="38D49E24">
      <w:start w:val="1"/>
      <w:numFmt w:val="decimal"/>
      <w:lvlText w:val="[%1]"/>
      <w:lvlJc w:val="left"/>
      <w:pPr>
        <w:ind w:left="360" w:hanging="360"/>
      </w:pPr>
      <w:rPr>
        <w:rFonts w:ascii="Times New Roman" w:hAnsi="Times New Roman" w:cs="Times New Roman" w:hint="default"/>
        <w:b/>
        <w:bCs/>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18" w15:restartNumberingAfterBreak="0">
    <w:nsid w:val="65A23480"/>
    <w:multiLevelType w:val="hybridMultilevel"/>
    <w:tmpl w:val="E53CC32E"/>
    <w:lvl w:ilvl="0" w:tplc="9264B2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458"/>
        </w:tabs>
        <w:ind w:left="-458" w:hanging="360"/>
      </w:pPr>
    </w:lvl>
    <w:lvl w:ilvl="2" w:tplc="0409001B" w:tentative="1">
      <w:start w:val="1"/>
      <w:numFmt w:val="lowerRoman"/>
      <w:lvlText w:val="%3."/>
      <w:lvlJc w:val="right"/>
      <w:pPr>
        <w:tabs>
          <w:tab w:val="num" w:pos="262"/>
        </w:tabs>
        <w:ind w:left="262" w:hanging="180"/>
      </w:pPr>
    </w:lvl>
    <w:lvl w:ilvl="3" w:tplc="0409000F" w:tentative="1">
      <w:start w:val="1"/>
      <w:numFmt w:val="decimal"/>
      <w:lvlText w:val="%4."/>
      <w:lvlJc w:val="left"/>
      <w:pPr>
        <w:tabs>
          <w:tab w:val="num" w:pos="982"/>
        </w:tabs>
        <w:ind w:left="982" w:hanging="360"/>
      </w:pPr>
    </w:lvl>
    <w:lvl w:ilvl="4" w:tplc="04090019" w:tentative="1">
      <w:start w:val="1"/>
      <w:numFmt w:val="lowerLetter"/>
      <w:lvlText w:val="%5."/>
      <w:lvlJc w:val="left"/>
      <w:pPr>
        <w:tabs>
          <w:tab w:val="num" w:pos="1702"/>
        </w:tabs>
        <w:ind w:left="1702" w:hanging="360"/>
      </w:pPr>
    </w:lvl>
    <w:lvl w:ilvl="5" w:tplc="0409001B" w:tentative="1">
      <w:start w:val="1"/>
      <w:numFmt w:val="lowerRoman"/>
      <w:lvlText w:val="%6."/>
      <w:lvlJc w:val="right"/>
      <w:pPr>
        <w:tabs>
          <w:tab w:val="num" w:pos="2422"/>
        </w:tabs>
        <w:ind w:left="2422" w:hanging="180"/>
      </w:pPr>
    </w:lvl>
    <w:lvl w:ilvl="6" w:tplc="0409000F" w:tentative="1">
      <w:start w:val="1"/>
      <w:numFmt w:val="decimal"/>
      <w:lvlText w:val="%7."/>
      <w:lvlJc w:val="left"/>
      <w:pPr>
        <w:tabs>
          <w:tab w:val="num" w:pos="3142"/>
        </w:tabs>
        <w:ind w:left="3142" w:hanging="360"/>
      </w:pPr>
    </w:lvl>
    <w:lvl w:ilvl="7" w:tplc="04090019" w:tentative="1">
      <w:start w:val="1"/>
      <w:numFmt w:val="lowerLetter"/>
      <w:lvlText w:val="%8."/>
      <w:lvlJc w:val="left"/>
      <w:pPr>
        <w:tabs>
          <w:tab w:val="num" w:pos="3862"/>
        </w:tabs>
        <w:ind w:left="3862" w:hanging="360"/>
      </w:pPr>
    </w:lvl>
    <w:lvl w:ilvl="8" w:tplc="0409001B" w:tentative="1">
      <w:start w:val="1"/>
      <w:numFmt w:val="lowerRoman"/>
      <w:lvlText w:val="%9."/>
      <w:lvlJc w:val="right"/>
      <w:pPr>
        <w:tabs>
          <w:tab w:val="num" w:pos="4582"/>
        </w:tabs>
        <w:ind w:left="4582" w:hanging="180"/>
      </w:pPr>
    </w:lvl>
  </w:abstractNum>
  <w:abstractNum w:abstractNumId="19" w15:restartNumberingAfterBreak="0">
    <w:nsid w:val="6AE51428"/>
    <w:multiLevelType w:val="hybridMultilevel"/>
    <w:tmpl w:val="82A45B52"/>
    <w:lvl w:ilvl="0" w:tplc="A1C8FD50">
      <w:start w:val="1"/>
      <w:numFmt w:val="decimal"/>
      <w:lvlText w:val="[%1]"/>
      <w:lvlJc w:val="left"/>
      <w:pPr>
        <w:ind w:left="720" w:hanging="360"/>
      </w:pPr>
      <w:rPr>
        <w:rFonts w:ascii="Times New Roman" w:hAnsi="Times New Roman" w:hint="default"/>
        <w:b w:val="0"/>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0A3B17"/>
    <w:multiLevelType w:val="hybridMultilevel"/>
    <w:tmpl w:val="81B8EEB4"/>
    <w:lvl w:ilvl="0" w:tplc="DE86784C">
      <w:start w:val="1"/>
      <w:numFmt w:val="decimal"/>
      <w:lvlText w:val="%1."/>
      <w:lvlJc w:val="left"/>
      <w:pPr>
        <w:ind w:left="720" w:hanging="360"/>
      </w:pPr>
      <w:rPr>
        <w:rFonts w:ascii="Times New Roman" w:hAnsi="Times New Roman"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22" w15:restartNumberingAfterBreak="0">
    <w:nsid w:val="7F6C2EBC"/>
    <w:multiLevelType w:val="hybridMultilevel"/>
    <w:tmpl w:val="52C8553A"/>
    <w:lvl w:ilvl="0" w:tplc="426A38D2">
      <w:start w:val="1"/>
      <w:numFmt w:val="bullet"/>
      <w:lvlText w:val="-"/>
      <w:lvlJc w:val="left"/>
      <w:pPr>
        <w:ind w:left="1429" w:hanging="360"/>
      </w:pPr>
      <w:rPr>
        <w:rFonts w:ascii="Calibri" w:hAnsi="Calibri"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164591492">
    <w:abstractNumId w:val="17"/>
  </w:num>
  <w:num w:numId="2" w16cid:durableId="400179379">
    <w:abstractNumId w:val="11"/>
  </w:num>
  <w:num w:numId="3" w16cid:durableId="1633320817">
    <w:abstractNumId w:val="21"/>
  </w:num>
  <w:num w:numId="4" w16cid:durableId="1807889665">
    <w:abstractNumId w:val="10"/>
  </w:num>
  <w:num w:numId="5" w16cid:durableId="810486096">
    <w:abstractNumId w:val="14"/>
  </w:num>
  <w:num w:numId="6" w16cid:durableId="1177379551">
    <w:abstractNumId w:val="18"/>
  </w:num>
  <w:num w:numId="7" w16cid:durableId="59867120">
    <w:abstractNumId w:val="15"/>
  </w:num>
  <w:num w:numId="8" w16cid:durableId="1259754123">
    <w:abstractNumId w:val="12"/>
  </w:num>
  <w:num w:numId="9" w16cid:durableId="1417090271">
    <w:abstractNumId w:val="8"/>
  </w:num>
  <w:num w:numId="10" w16cid:durableId="729308626">
    <w:abstractNumId w:val="1"/>
  </w:num>
  <w:num w:numId="11" w16cid:durableId="1851408896">
    <w:abstractNumId w:val="0"/>
  </w:num>
  <w:num w:numId="12" w16cid:durableId="605162962">
    <w:abstractNumId w:val="5"/>
  </w:num>
  <w:num w:numId="13" w16cid:durableId="2108769281">
    <w:abstractNumId w:val="2"/>
  </w:num>
  <w:num w:numId="14" w16cid:durableId="1868787818">
    <w:abstractNumId w:val="6"/>
  </w:num>
  <w:num w:numId="15" w16cid:durableId="1690134385">
    <w:abstractNumId w:val="20"/>
  </w:num>
  <w:num w:numId="16" w16cid:durableId="1570386613">
    <w:abstractNumId w:val="7"/>
  </w:num>
  <w:num w:numId="17" w16cid:durableId="1445492353">
    <w:abstractNumId w:val="19"/>
  </w:num>
  <w:num w:numId="18" w16cid:durableId="208784700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4283770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84625791">
    <w:abstractNumId w:val="16"/>
  </w:num>
  <w:num w:numId="21" w16cid:durableId="588006777">
    <w:abstractNumId w:val="9"/>
  </w:num>
  <w:num w:numId="22" w16cid:durableId="1848060429">
    <w:abstractNumId w:val="13"/>
  </w:num>
  <w:num w:numId="23" w16cid:durableId="1111123382">
    <w:abstractNumId w:val="22"/>
  </w:num>
  <w:num w:numId="24" w16cid:durableId="137385543">
    <w:abstractNumId w:val="3"/>
  </w:num>
  <w:num w:numId="25" w16cid:durableId="500781042">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AC6"/>
    <w:rsid w:val="000013CF"/>
    <w:rsid w:val="00002882"/>
    <w:rsid w:val="0000385F"/>
    <w:rsid w:val="00005EFC"/>
    <w:rsid w:val="00007744"/>
    <w:rsid w:val="000106D0"/>
    <w:rsid w:val="00012CEF"/>
    <w:rsid w:val="00014633"/>
    <w:rsid w:val="000157FD"/>
    <w:rsid w:val="00015F2A"/>
    <w:rsid w:val="00017858"/>
    <w:rsid w:val="00020BBB"/>
    <w:rsid w:val="00022D47"/>
    <w:rsid w:val="00027142"/>
    <w:rsid w:val="000279BE"/>
    <w:rsid w:val="000329A7"/>
    <w:rsid w:val="00034C84"/>
    <w:rsid w:val="000416A3"/>
    <w:rsid w:val="000437AE"/>
    <w:rsid w:val="000442C6"/>
    <w:rsid w:val="000454C7"/>
    <w:rsid w:val="000474E3"/>
    <w:rsid w:val="00047710"/>
    <w:rsid w:val="00050148"/>
    <w:rsid w:val="000523C5"/>
    <w:rsid w:val="00053FB7"/>
    <w:rsid w:val="0006020A"/>
    <w:rsid w:val="00060330"/>
    <w:rsid w:val="00060F5C"/>
    <w:rsid w:val="00061D77"/>
    <w:rsid w:val="00062720"/>
    <w:rsid w:val="00062EE6"/>
    <w:rsid w:val="00064AB2"/>
    <w:rsid w:val="00065191"/>
    <w:rsid w:val="00066063"/>
    <w:rsid w:val="0007067D"/>
    <w:rsid w:val="0007154C"/>
    <w:rsid w:val="00071843"/>
    <w:rsid w:val="00071BE1"/>
    <w:rsid w:val="0007236F"/>
    <w:rsid w:val="00073422"/>
    <w:rsid w:val="00073635"/>
    <w:rsid w:val="00076C16"/>
    <w:rsid w:val="000776D4"/>
    <w:rsid w:val="00080CCD"/>
    <w:rsid w:val="000830A2"/>
    <w:rsid w:val="00083B9D"/>
    <w:rsid w:val="00083DD6"/>
    <w:rsid w:val="00085121"/>
    <w:rsid w:val="00086551"/>
    <w:rsid w:val="000877AC"/>
    <w:rsid w:val="00087876"/>
    <w:rsid w:val="00087AF7"/>
    <w:rsid w:val="00090B78"/>
    <w:rsid w:val="00091730"/>
    <w:rsid w:val="00093380"/>
    <w:rsid w:val="00094B6E"/>
    <w:rsid w:val="00094EB8"/>
    <w:rsid w:val="00095C3E"/>
    <w:rsid w:val="00095F2F"/>
    <w:rsid w:val="00096883"/>
    <w:rsid w:val="000973CC"/>
    <w:rsid w:val="00097958"/>
    <w:rsid w:val="00097E2D"/>
    <w:rsid w:val="000A15DA"/>
    <w:rsid w:val="000A1A82"/>
    <w:rsid w:val="000A4375"/>
    <w:rsid w:val="000A592D"/>
    <w:rsid w:val="000A643C"/>
    <w:rsid w:val="000A7ACA"/>
    <w:rsid w:val="000A7D11"/>
    <w:rsid w:val="000B0641"/>
    <w:rsid w:val="000B1AEE"/>
    <w:rsid w:val="000B1F50"/>
    <w:rsid w:val="000B30B1"/>
    <w:rsid w:val="000B5480"/>
    <w:rsid w:val="000B682B"/>
    <w:rsid w:val="000C03DA"/>
    <w:rsid w:val="000C4B17"/>
    <w:rsid w:val="000C6F74"/>
    <w:rsid w:val="000C730A"/>
    <w:rsid w:val="000D099B"/>
    <w:rsid w:val="000D11F9"/>
    <w:rsid w:val="000D3410"/>
    <w:rsid w:val="000D3712"/>
    <w:rsid w:val="000D50C8"/>
    <w:rsid w:val="000D6591"/>
    <w:rsid w:val="000D67F7"/>
    <w:rsid w:val="000D6BC3"/>
    <w:rsid w:val="000E0AE1"/>
    <w:rsid w:val="000E0C84"/>
    <w:rsid w:val="000E0CE9"/>
    <w:rsid w:val="000E0E3C"/>
    <w:rsid w:val="000E1C9D"/>
    <w:rsid w:val="000E28E0"/>
    <w:rsid w:val="000E46C5"/>
    <w:rsid w:val="000E46CF"/>
    <w:rsid w:val="000E4FD6"/>
    <w:rsid w:val="000E708C"/>
    <w:rsid w:val="000F279B"/>
    <w:rsid w:val="000F29E1"/>
    <w:rsid w:val="000F5154"/>
    <w:rsid w:val="000F61E2"/>
    <w:rsid w:val="000F6808"/>
    <w:rsid w:val="000F703D"/>
    <w:rsid w:val="000F718B"/>
    <w:rsid w:val="000F7ED5"/>
    <w:rsid w:val="0010046E"/>
    <w:rsid w:val="00102A61"/>
    <w:rsid w:val="001041EB"/>
    <w:rsid w:val="001045B1"/>
    <w:rsid w:val="00104BF1"/>
    <w:rsid w:val="00106F02"/>
    <w:rsid w:val="001078A8"/>
    <w:rsid w:val="00107904"/>
    <w:rsid w:val="00111779"/>
    <w:rsid w:val="001129DE"/>
    <w:rsid w:val="0011369D"/>
    <w:rsid w:val="00113F18"/>
    <w:rsid w:val="00114470"/>
    <w:rsid w:val="00117326"/>
    <w:rsid w:val="00117C85"/>
    <w:rsid w:val="001212B3"/>
    <w:rsid w:val="00121C37"/>
    <w:rsid w:val="00121FA6"/>
    <w:rsid w:val="00122833"/>
    <w:rsid w:val="0012288F"/>
    <w:rsid w:val="00122C6F"/>
    <w:rsid w:val="00123E9E"/>
    <w:rsid w:val="00124431"/>
    <w:rsid w:val="0012593C"/>
    <w:rsid w:val="00125C41"/>
    <w:rsid w:val="00126B1A"/>
    <w:rsid w:val="0012751B"/>
    <w:rsid w:val="0013179E"/>
    <w:rsid w:val="00131A6C"/>
    <w:rsid w:val="00131E4C"/>
    <w:rsid w:val="00133B59"/>
    <w:rsid w:val="001363DF"/>
    <w:rsid w:val="00136716"/>
    <w:rsid w:val="00137465"/>
    <w:rsid w:val="00137E25"/>
    <w:rsid w:val="00137F36"/>
    <w:rsid w:val="00140260"/>
    <w:rsid w:val="0014131C"/>
    <w:rsid w:val="001414E2"/>
    <w:rsid w:val="001434C3"/>
    <w:rsid w:val="001441CB"/>
    <w:rsid w:val="00144CB0"/>
    <w:rsid w:val="00145453"/>
    <w:rsid w:val="00145D8D"/>
    <w:rsid w:val="0014611F"/>
    <w:rsid w:val="00146861"/>
    <w:rsid w:val="001517E4"/>
    <w:rsid w:val="00151E7C"/>
    <w:rsid w:val="00153387"/>
    <w:rsid w:val="00153B62"/>
    <w:rsid w:val="00153D77"/>
    <w:rsid w:val="00154C55"/>
    <w:rsid w:val="00157C06"/>
    <w:rsid w:val="00161845"/>
    <w:rsid w:val="00162849"/>
    <w:rsid w:val="001643CB"/>
    <w:rsid w:val="00166432"/>
    <w:rsid w:val="00167012"/>
    <w:rsid w:val="001671A8"/>
    <w:rsid w:val="0016761A"/>
    <w:rsid w:val="00167BE2"/>
    <w:rsid w:val="0017238E"/>
    <w:rsid w:val="00177E2C"/>
    <w:rsid w:val="00180992"/>
    <w:rsid w:val="00180FD2"/>
    <w:rsid w:val="00180FD4"/>
    <w:rsid w:val="00181509"/>
    <w:rsid w:val="00181965"/>
    <w:rsid w:val="00185202"/>
    <w:rsid w:val="00186390"/>
    <w:rsid w:val="00187B69"/>
    <w:rsid w:val="0019050C"/>
    <w:rsid w:val="00192E8C"/>
    <w:rsid w:val="0019377B"/>
    <w:rsid w:val="0019391D"/>
    <w:rsid w:val="00193F7B"/>
    <w:rsid w:val="00195579"/>
    <w:rsid w:val="00196F0F"/>
    <w:rsid w:val="001A0839"/>
    <w:rsid w:val="001A0F0D"/>
    <w:rsid w:val="001A33EF"/>
    <w:rsid w:val="001B2439"/>
    <w:rsid w:val="001B2EF9"/>
    <w:rsid w:val="001B3457"/>
    <w:rsid w:val="001B4AB3"/>
    <w:rsid w:val="001B5250"/>
    <w:rsid w:val="001B5719"/>
    <w:rsid w:val="001B621C"/>
    <w:rsid w:val="001B64D0"/>
    <w:rsid w:val="001B7915"/>
    <w:rsid w:val="001C0FE6"/>
    <w:rsid w:val="001C19EB"/>
    <w:rsid w:val="001C1DDC"/>
    <w:rsid w:val="001C7AC5"/>
    <w:rsid w:val="001D04CA"/>
    <w:rsid w:val="001D19C3"/>
    <w:rsid w:val="001D218B"/>
    <w:rsid w:val="001E0AB3"/>
    <w:rsid w:val="001E1922"/>
    <w:rsid w:val="001E2071"/>
    <w:rsid w:val="001E31DF"/>
    <w:rsid w:val="001E4341"/>
    <w:rsid w:val="001E5580"/>
    <w:rsid w:val="001E5CFB"/>
    <w:rsid w:val="001E608B"/>
    <w:rsid w:val="001E69C1"/>
    <w:rsid w:val="001E7DCD"/>
    <w:rsid w:val="001E7FFA"/>
    <w:rsid w:val="001F0AFC"/>
    <w:rsid w:val="001F4506"/>
    <w:rsid w:val="001F470F"/>
    <w:rsid w:val="001F4ACD"/>
    <w:rsid w:val="001F5105"/>
    <w:rsid w:val="001F6170"/>
    <w:rsid w:val="001F63D7"/>
    <w:rsid w:val="001F6ACF"/>
    <w:rsid w:val="001F6FB1"/>
    <w:rsid w:val="00201037"/>
    <w:rsid w:val="00202495"/>
    <w:rsid w:val="00204431"/>
    <w:rsid w:val="0020464A"/>
    <w:rsid w:val="00204A25"/>
    <w:rsid w:val="00205B3B"/>
    <w:rsid w:val="0020608E"/>
    <w:rsid w:val="002073B6"/>
    <w:rsid w:val="002076CA"/>
    <w:rsid w:val="002079DD"/>
    <w:rsid w:val="002109B6"/>
    <w:rsid w:val="00211BC5"/>
    <w:rsid w:val="00212DCC"/>
    <w:rsid w:val="002141C1"/>
    <w:rsid w:val="00215A82"/>
    <w:rsid w:val="00216F2A"/>
    <w:rsid w:val="002200C0"/>
    <w:rsid w:val="00220914"/>
    <w:rsid w:val="0022191D"/>
    <w:rsid w:val="00221D61"/>
    <w:rsid w:val="00221FB3"/>
    <w:rsid w:val="002224C4"/>
    <w:rsid w:val="00222701"/>
    <w:rsid w:val="00224456"/>
    <w:rsid w:val="00225BEA"/>
    <w:rsid w:val="00225C1C"/>
    <w:rsid w:val="002264FA"/>
    <w:rsid w:val="00230440"/>
    <w:rsid w:val="00230AAB"/>
    <w:rsid w:val="00231A19"/>
    <w:rsid w:val="00232081"/>
    <w:rsid w:val="00232DA1"/>
    <w:rsid w:val="002351A8"/>
    <w:rsid w:val="002351E6"/>
    <w:rsid w:val="002378BD"/>
    <w:rsid w:val="00237B26"/>
    <w:rsid w:val="00240303"/>
    <w:rsid w:val="0024180A"/>
    <w:rsid w:val="0024268D"/>
    <w:rsid w:val="00250442"/>
    <w:rsid w:val="00250A66"/>
    <w:rsid w:val="002546B8"/>
    <w:rsid w:val="00254EC2"/>
    <w:rsid w:val="002550AB"/>
    <w:rsid w:val="00255388"/>
    <w:rsid w:val="00256322"/>
    <w:rsid w:val="0025705D"/>
    <w:rsid w:val="002575A8"/>
    <w:rsid w:val="00260476"/>
    <w:rsid w:val="00261B88"/>
    <w:rsid w:val="0026229E"/>
    <w:rsid w:val="002622CD"/>
    <w:rsid w:val="00266574"/>
    <w:rsid w:val="002668F8"/>
    <w:rsid w:val="00270E78"/>
    <w:rsid w:val="00271390"/>
    <w:rsid w:val="002714E9"/>
    <w:rsid w:val="002718C5"/>
    <w:rsid w:val="00271AB9"/>
    <w:rsid w:val="0027245E"/>
    <w:rsid w:val="002743A4"/>
    <w:rsid w:val="00274BCC"/>
    <w:rsid w:val="00275064"/>
    <w:rsid w:val="00275406"/>
    <w:rsid w:val="002769E7"/>
    <w:rsid w:val="00277772"/>
    <w:rsid w:val="002806BC"/>
    <w:rsid w:val="00281882"/>
    <w:rsid w:val="00281D99"/>
    <w:rsid w:val="002821B9"/>
    <w:rsid w:val="002833E0"/>
    <w:rsid w:val="0028450D"/>
    <w:rsid w:val="00291EBF"/>
    <w:rsid w:val="00291FA7"/>
    <w:rsid w:val="00296D8E"/>
    <w:rsid w:val="002A0772"/>
    <w:rsid w:val="002A276C"/>
    <w:rsid w:val="002A3851"/>
    <w:rsid w:val="002B0601"/>
    <w:rsid w:val="002B10C7"/>
    <w:rsid w:val="002B66EF"/>
    <w:rsid w:val="002B6EC9"/>
    <w:rsid w:val="002B7609"/>
    <w:rsid w:val="002C0665"/>
    <w:rsid w:val="002C2C92"/>
    <w:rsid w:val="002C4749"/>
    <w:rsid w:val="002C49CF"/>
    <w:rsid w:val="002C6317"/>
    <w:rsid w:val="002D07B9"/>
    <w:rsid w:val="002D0C71"/>
    <w:rsid w:val="002D0F04"/>
    <w:rsid w:val="002D31A6"/>
    <w:rsid w:val="002D4A56"/>
    <w:rsid w:val="002D797A"/>
    <w:rsid w:val="002E0BC4"/>
    <w:rsid w:val="002E180E"/>
    <w:rsid w:val="002E184C"/>
    <w:rsid w:val="002E2CAE"/>
    <w:rsid w:val="002E60FC"/>
    <w:rsid w:val="002E6409"/>
    <w:rsid w:val="002F137A"/>
    <w:rsid w:val="002F267D"/>
    <w:rsid w:val="002F3D30"/>
    <w:rsid w:val="002F41A4"/>
    <w:rsid w:val="002F48E3"/>
    <w:rsid w:val="002F6BBA"/>
    <w:rsid w:val="002F6DFA"/>
    <w:rsid w:val="002F7C5F"/>
    <w:rsid w:val="0030038F"/>
    <w:rsid w:val="00302D7F"/>
    <w:rsid w:val="00303A02"/>
    <w:rsid w:val="00305125"/>
    <w:rsid w:val="00306442"/>
    <w:rsid w:val="003069FB"/>
    <w:rsid w:val="00312C0C"/>
    <w:rsid w:val="003133D1"/>
    <w:rsid w:val="00313AA2"/>
    <w:rsid w:val="003200C9"/>
    <w:rsid w:val="003209C7"/>
    <w:rsid w:val="0032306D"/>
    <w:rsid w:val="00324E17"/>
    <w:rsid w:val="00326170"/>
    <w:rsid w:val="003263E9"/>
    <w:rsid w:val="00326D35"/>
    <w:rsid w:val="00331183"/>
    <w:rsid w:val="00331B83"/>
    <w:rsid w:val="00332063"/>
    <w:rsid w:val="00332AC9"/>
    <w:rsid w:val="00332EAD"/>
    <w:rsid w:val="00333AB9"/>
    <w:rsid w:val="00333C06"/>
    <w:rsid w:val="0033459B"/>
    <w:rsid w:val="00335BE8"/>
    <w:rsid w:val="00337C87"/>
    <w:rsid w:val="00340C2E"/>
    <w:rsid w:val="0034265F"/>
    <w:rsid w:val="003437DD"/>
    <w:rsid w:val="00343A49"/>
    <w:rsid w:val="0034452C"/>
    <w:rsid w:val="00346441"/>
    <w:rsid w:val="003475EC"/>
    <w:rsid w:val="0035076B"/>
    <w:rsid w:val="00352BEB"/>
    <w:rsid w:val="00353885"/>
    <w:rsid w:val="00354A58"/>
    <w:rsid w:val="00356070"/>
    <w:rsid w:val="00361EB1"/>
    <w:rsid w:val="003629D1"/>
    <w:rsid w:val="003637CE"/>
    <w:rsid w:val="003642C5"/>
    <w:rsid w:val="003715EC"/>
    <w:rsid w:val="00373753"/>
    <w:rsid w:val="0037476F"/>
    <w:rsid w:val="003751C8"/>
    <w:rsid w:val="00376867"/>
    <w:rsid w:val="00376A96"/>
    <w:rsid w:val="003772AC"/>
    <w:rsid w:val="0038168A"/>
    <w:rsid w:val="0038172D"/>
    <w:rsid w:val="00381E56"/>
    <w:rsid w:val="003826FF"/>
    <w:rsid w:val="0039123B"/>
    <w:rsid w:val="00393D9D"/>
    <w:rsid w:val="00393E61"/>
    <w:rsid w:val="003962C6"/>
    <w:rsid w:val="00396D02"/>
    <w:rsid w:val="003A0041"/>
    <w:rsid w:val="003A1C3E"/>
    <w:rsid w:val="003A2810"/>
    <w:rsid w:val="003A2970"/>
    <w:rsid w:val="003A5088"/>
    <w:rsid w:val="003A662B"/>
    <w:rsid w:val="003A7D80"/>
    <w:rsid w:val="003B0E46"/>
    <w:rsid w:val="003B14AA"/>
    <w:rsid w:val="003B19C7"/>
    <w:rsid w:val="003B25A5"/>
    <w:rsid w:val="003B3120"/>
    <w:rsid w:val="003B3537"/>
    <w:rsid w:val="003B567E"/>
    <w:rsid w:val="003B6932"/>
    <w:rsid w:val="003B79EB"/>
    <w:rsid w:val="003B7ED0"/>
    <w:rsid w:val="003C0D91"/>
    <w:rsid w:val="003C3E42"/>
    <w:rsid w:val="003C4B05"/>
    <w:rsid w:val="003C578B"/>
    <w:rsid w:val="003C72E2"/>
    <w:rsid w:val="003D07D2"/>
    <w:rsid w:val="003D0DAF"/>
    <w:rsid w:val="003D5B84"/>
    <w:rsid w:val="003D6B19"/>
    <w:rsid w:val="003D79CF"/>
    <w:rsid w:val="003E0207"/>
    <w:rsid w:val="003E0E36"/>
    <w:rsid w:val="003E23A5"/>
    <w:rsid w:val="003E304D"/>
    <w:rsid w:val="003E4AA5"/>
    <w:rsid w:val="003E4DD5"/>
    <w:rsid w:val="003E572F"/>
    <w:rsid w:val="003E7BB9"/>
    <w:rsid w:val="003F0964"/>
    <w:rsid w:val="003F18A1"/>
    <w:rsid w:val="003F1D93"/>
    <w:rsid w:val="003F2EB6"/>
    <w:rsid w:val="003F4897"/>
    <w:rsid w:val="003F6587"/>
    <w:rsid w:val="00402C7D"/>
    <w:rsid w:val="00402FCF"/>
    <w:rsid w:val="00403A74"/>
    <w:rsid w:val="00407351"/>
    <w:rsid w:val="00407C2D"/>
    <w:rsid w:val="004106DF"/>
    <w:rsid w:val="00411A71"/>
    <w:rsid w:val="00411C0C"/>
    <w:rsid w:val="0041364A"/>
    <w:rsid w:val="0041399A"/>
    <w:rsid w:val="00414535"/>
    <w:rsid w:val="00414EA0"/>
    <w:rsid w:val="00415538"/>
    <w:rsid w:val="00416737"/>
    <w:rsid w:val="004208FC"/>
    <w:rsid w:val="00420D64"/>
    <w:rsid w:val="00424E85"/>
    <w:rsid w:val="00425BE9"/>
    <w:rsid w:val="00427072"/>
    <w:rsid w:val="0043585C"/>
    <w:rsid w:val="00436689"/>
    <w:rsid w:val="00441F35"/>
    <w:rsid w:val="00443205"/>
    <w:rsid w:val="004439D2"/>
    <w:rsid w:val="004503E9"/>
    <w:rsid w:val="00453463"/>
    <w:rsid w:val="00453F49"/>
    <w:rsid w:val="004550E4"/>
    <w:rsid w:val="004637E8"/>
    <w:rsid w:val="00467368"/>
    <w:rsid w:val="004674CD"/>
    <w:rsid w:val="004710EE"/>
    <w:rsid w:val="00472E56"/>
    <w:rsid w:val="004740EC"/>
    <w:rsid w:val="004750E1"/>
    <w:rsid w:val="004819CF"/>
    <w:rsid w:val="00481CDE"/>
    <w:rsid w:val="00481DA2"/>
    <w:rsid w:val="00482168"/>
    <w:rsid w:val="00482432"/>
    <w:rsid w:val="00483565"/>
    <w:rsid w:val="00484866"/>
    <w:rsid w:val="004859D6"/>
    <w:rsid w:val="00485FD1"/>
    <w:rsid w:val="0048797E"/>
    <w:rsid w:val="00487DD3"/>
    <w:rsid w:val="004902C8"/>
    <w:rsid w:val="004905D4"/>
    <w:rsid w:val="00492E44"/>
    <w:rsid w:val="004947B9"/>
    <w:rsid w:val="0049514C"/>
    <w:rsid w:val="004963E0"/>
    <w:rsid w:val="0049669C"/>
    <w:rsid w:val="00496DFD"/>
    <w:rsid w:val="0049748F"/>
    <w:rsid w:val="004A0C8B"/>
    <w:rsid w:val="004A187E"/>
    <w:rsid w:val="004A1D04"/>
    <w:rsid w:val="004A1F5C"/>
    <w:rsid w:val="004A335F"/>
    <w:rsid w:val="004A3F3D"/>
    <w:rsid w:val="004A4FDB"/>
    <w:rsid w:val="004A5FC0"/>
    <w:rsid w:val="004A7C83"/>
    <w:rsid w:val="004B1FFE"/>
    <w:rsid w:val="004B2F8C"/>
    <w:rsid w:val="004B4EDE"/>
    <w:rsid w:val="004B589F"/>
    <w:rsid w:val="004B661B"/>
    <w:rsid w:val="004B76DC"/>
    <w:rsid w:val="004B79F0"/>
    <w:rsid w:val="004C0B2C"/>
    <w:rsid w:val="004C1E2F"/>
    <w:rsid w:val="004C1EBB"/>
    <w:rsid w:val="004C3BEB"/>
    <w:rsid w:val="004C59ED"/>
    <w:rsid w:val="004C65D5"/>
    <w:rsid w:val="004D1340"/>
    <w:rsid w:val="004D7295"/>
    <w:rsid w:val="004E03B8"/>
    <w:rsid w:val="004E140A"/>
    <w:rsid w:val="004E154B"/>
    <w:rsid w:val="004E1914"/>
    <w:rsid w:val="004E3613"/>
    <w:rsid w:val="004E3AFD"/>
    <w:rsid w:val="004E3CAD"/>
    <w:rsid w:val="004E6C69"/>
    <w:rsid w:val="004E7D77"/>
    <w:rsid w:val="004F101E"/>
    <w:rsid w:val="004F2A11"/>
    <w:rsid w:val="004F3166"/>
    <w:rsid w:val="004F3208"/>
    <w:rsid w:val="004F4003"/>
    <w:rsid w:val="004F54D2"/>
    <w:rsid w:val="004F6193"/>
    <w:rsid w:val="00500785"/>
    <w:rsid w:val="00501713"/>
    <w:rsid w:val="00505A8D"/>
    <w:rsid w:val="00505F41"/>
    <w:rsid w:val="0050794C"/>
    <w:rsid w:val="00510727"/>
    <w:rsid w:val="0051075B"/>
    <w:rsid w:val="00511236"/>
    <w:rsid w:val="00511539"/>
    <w:rsid w:val="00512DE0"/>
    <w:rsid w:val="0051361F"/>
    <w:rsid w:val="00515455"/>
    <w:rsid w:val="005160A8"/>
    <w:rsid w:val="00516317"/>
    <w:rsid w:val="005174FF"/>
    <w:rsid w:val="00520EC3"/>
    <w:rsid w:val="0052138C"/>
    <w:rsid w:val="005213A1"/>
    <w:rsid w:val="00521EC1"/>
    <w:rsid w:val="00523156"/>
    <w:rsid w:val="00523362"/>
    <w:rsid w:val="00523B26"/>
    <w:rsid w:val="0052442F"/>
    <w:rsid w:val="00526CFA"/>
    <w:rsid w:val="00530415"/>
    <w:rsid w:val="0053095F"/>
    <w:rsid w:val="00530CAF"/>
    <w:rsid w:val="0053172B"/>
    <w:rsid w:val="00532941"/>
    <w:rsid w:val="005342C1"/>
    <w:rsid w:val="00535A39"/>
    <w:rsid w:val="005373E3"/>
    <w:rsid w:val="00540DCE"/>
    <w:rsid w:val="00540DD7"/>
    <w:rsid w:val="00541F86"/>
    <w:rsid w:val="00541FCB"/>
    <w:rsid w:val="0054283A"/>
    <w:rsid w:val="00545E9C"/>
    <w:rsid w:val="00547658"/>
    <w:rsid w:val="0054768C"/>
    <w:rsid w:val="00552EDD"/>
    <w:rsid w:val="0055343D"/>
    <w:rsid w:val="0055649A"/>
    <w:rsid w:val="00563102"/>
    <w:rsid w:val="005641A0"/>
    <w:rsid w:val="00572013"/>
    <w:rsid w:val="00573257"/>
    <w:rsid w:val="00575F6D"/>
    <w:rsid w:val="005778F7"/>
    <w:rsid w:val="00577A3F"/>
    <w:rsid w:val="005805DF"/>
    <w:rsid w:val="00581789"/>
    <w:rsid w:val="005823DC"/>
    <w:rsid w:val="0058279C"/>
    <w:rsid w:val="00582C1F"/>
    <w:rsid w:val="0058326E"/>
    <w:rsid w:val="005833B8"/>
    <w:rsid w:val="00583A03"/>
    <w:rsid w:val="005841BA"/>
    <w:rsid w:val="00584301"/>
    <w:rsid w:val="005857EE"/>
    <w:rsid w:val="005877F2"/>
    <w:rsid w:val="00592442"/>
    <w:rsid w:val="0059283B"/>
    <w:rsid w:val="00593E92"/>
    <w:rsid w:val="005949F1"/>
    <w:rsid w:val="00594C35"/>
    <w:rsid w:val="005956F7"/>
    <w:rsid w:val="00595CB2"/>
    <w:rsid w:val="005978C8"/>
    <w:rsid w:val="005A0A0F"/>
    <w:rsid w:val="005A1AD0"/>
    <w:rsid w:val="005A2361"/>
    <w:rsid w:val="005A24ED"/>
    <w:rsid w:val="005A2573"/>
    <w:rsid w:val="005A4783"/>
    <w:rsid w:val="005A6B87"/>
    <w:rsid w:val="005B02EF"/>
    <w:rsid w:val="005B0825"/>
    <w:rsid w:val="005B0A84"/>
    <w:rsid w:val="005B2D16"/>
    <w:rsid w:val="005B4DAF"/>
    <w:rsid w:val="005B56A0"/>
    <w:rsid w:val="005B5788"/>
    <w:rsid w:val="005B60CF"/>
    <w:rsid w:val="005B60D5"/>
    <w:rsid w:val="005B693A"/>
    <w:rsid w:val="005B78D5"/>
    <w:rsid w:val="005C11D6"/>
    <w:rsid w:val="005C12EA"/>
    <w:rsid w:val="005C1759"/>
    <w:rsid w:val="005C234E"/>
    <w:rsid w:val="005D02EE"/>
    <w:rsid w:val="005D0C1B"/>
    <w:rsid w:val="005D210E"/>
    <w:rsid w:val="005D3D27"/>
    <w:rsid w:val="005D464B"/>
    <w:rsid w:val="005D4E0F"/>
    <w:rsid w:val="005D68A1"/>
    <w:rsid w:val="005D7D3A"/>
    <w:rsid w:val="005D7EB1"/>
    <w:rsid w:val="005E1032"/>
    <w:rsid w:val="005E3927"/>
    <w:rsid w:val="005E51F9"/>
    <w:rsid w:val="005E6EF7"/>
    <w:rsid w:val="005E736A"/>
    <w:rsid w:val="005E75FC"/>
    <w:rsid w:val="005E79AF"/>
    <w:rsid w:val="005F042D"/>
    <w:rsid w:val="005F227D"/>
    <w:rsid w:val="005F3D1C"/>
    <w:rsid w:val="005F534C"/>
    <w:rsid w:val="005F75F8"/>
    <w:rsid w:val="006004E2"/>
    <w:rsid w:val="006044C7"/>
    <w:rsid w:val="006123B6"/>
    <w:rsid w:val="00613977"/>
    <w:rsid w:val="0061627D"/>
    <w:rsid w:val="00617711"/>
    <w:rsid w:val="006179BE"/>
    <w:rsid w:val="006206C7"/>
    <w:rsid w:val="00622EC4"/>
    <w:rsid w:val="0062468D"/>
    <w:rsid w:val="0062488B"/>
    <w:rsid w:val="006327F1"/>
    <w:rsid w:val="00635E86"/>
    <w:rsid w:val="00636167"/>
    <w:rsid w:val="00644417"/>
    <w:rsid w:val="00647075"/>
    <w:rsid w:val="00652EBE"/>
    <w:rsid w:val="006549EF"/>
    <w:rsid w:val="00655972"/>
    <w:rsid w:val="00655C14"/>
    <w:rsid w:val="00656420"/>
    <w:rsid w:val="0065699B"/>
    <w:rsid w:val="00656AAA"/>
    <w:rsid w:val="00662070"/>
    <w:rsid w:val="0066228A"/>
    <w:rsid w:val="0066237A"/>
    <w:rsid w:val="006628A9"/>
    <w:rsid w:val="00663CA3"/>
    <w:rsid w:val="0066416E"/>
    <w:rsid w:val="00665A9F"/>
    <w:rsid w:val="00665B37"/>
    <w:rsid w:val="00665DA0"/>
    <w:rsid w:val="0066684E"/>
    <w:rsid w:val="006719D8"/>
    <w:rsid w:val="0067364F"/>
    <w:rsid w:val="00675B69"/>
    <w:rsid w:val="00675D81"/>
    <w:rsid w:val="00676455"/>
    <w:rsid w:val="00676EB9"/>
    <w:rsid w:val="00677E6B"/>
    <w:rsid w:val="00682510"/>
    <w:rsid w:val="00682661"/>
    <w:rsid w:val="00682B00"/>
    <w:rsid w:val="00685AA5"/>
    <w:rsid w:val="00685FB4"/>
    <w:rsid w:val="006863DA"/>
    <w:rsid w:val="006871ED"/>
    <w:rsid w:val="00687CA7"/>
    <w:rsid w:val="00687D3A"/>
    <w:rsid w:val="006925E2"/>
    <w:rsid w:val="006964E6"/>
    <w:rsid w:val="006A0231"/>
    <w:rsid w:val="006A090C"/>
    <w:rsid w:val="006A1384"/>
    <w:rsid w:val="006A34DA"/>
    <w:rsid w:val="006A6246"/>
    <w:rsid w:val="006A6AEE"/>
    <w:rsid w:val="006A6F98"/>
    <w:rsid w:val="006B027E"/>
    <w:rsid w:val="006B0965"/>
    <w:rsid w:val="006B6754"/>
    <w:rsid w:val="006B71FD"/>
    <w:rsid w:val="006C0661"/>
    <w:rsid w:val="006C0E3B"/>
    <w:rsid w:val="006C18AF"/>
    <w:rsid w:val="006C1D12"/>
    <w:rsid w:val="006C2384"/>
    <w:rsid w:val="006C59D8"/>
    <w:rsid w:val="006C5EC9"/>
    <w:rsid w:val="006C7C8B"/>
    <w:rsid w:val="006D29E6"/>
    <w:rsid w:val="006D3D6E"/>
    <w:rsid w:val="006D428D"/>
    <w:rsid w:val="006D449D"/>
    <w:rsid w:val="006D5851"/>
    <w:rsid w:val="006D5DAA"/>
    <w:rsid w:val="006D60D9"/>
    <w:rsid w:val="006D6178"/>
    <w:rsid w:val="006E1F55"/>
    <w:rsid w:val="006E361D"/>
    <w:rsid w:val="006E3810"/>
    <w:rsid w:val="006E44B1"/>
    <w:rsid w:val="006E492E"/>
    <w:rsid w:val="006E4C9D"/>
    <w:rsid w:val="006E5333"/>
    <w:rsid w:val="006E5DCF"/>
    <w:rsid w:val="006E669C"/>
    <w:rsid w:val="006E786F"/>
    <w:rsid w:val="006E7CF8"/>
    <w:rsid w:val="006F01C3"/>
    <w:rsid w:val="006F1251"/>
    <w:rsid w:val="006F5582"/>
    <w:rsid w:val="006F5B9E"/>
    <w:rsid w:val="006F7480"/>
    <w:rsid w:val="006F7DB3"/>
    <w:rsid w:val="0070124C"/>
    <w:rsid w:val="007017C6"/>
    <w:rsid w:val="007027BB"/>
    <w:rsid w:val="00705140"/>
    <w:rsid w:val="007066C5"/>
    <w:rsid w:val="00710CA7"/>
    <w:rsid w:val="00712FFF"/>
    <w:rsid w:val="007142C8"/>
    <w:rsid w:val="00717A32"/>
    <w:rsid w:val="00720729"/>
    <w:rsid w:val="007212E2"/>
    <w:rsid w:val="00723DEB"/>
    <w:rsid w:val="007240E7"/>
    <w:rsid w:val="007277F9"/>
    <w:rsid w:val="007306DA"/>
    <w:rsid w:val="00731AEB"/>
    <w:rsid w:val="00735BBC"/>
    <w:rsid w:val="00740C36"/>
    <w:rsid w:val="00741A8F"/>
    <w:rsid w:val="00742008"/>
    <w:rsid w:val="00743BA0"/>
    <w:rsid w:val="00747DFD"/>
    <w:rsid w:val="00753C3E"/>
    <w:rsid w:val="00754329"/>
    <w:rsid w:val="007547A1"/>
    <w:rsid w:val="00756A93"/>
    <w:rsid w:val="0075769A"/>
    <w:rsid w:val="00765DEF"/>
    <w:rsid w:val="00766E46"/>
    <w:rsid w:val="00770E6E"/>
    <w:rsid w:val="00771A7C"/>
    <w:rsid w:val="0077230A"/>
    <w:rsid w:val="00772725"/>
    <w:rsid w:val="00773EB7"/>
    <w:rsid w:val="007751AA"/>
    <w:rsid w:val="007751B3"/>
    <w:rsid w:val="00777AD7"/>
    <w:rsid w:val="00784C44"/>
    <w:rsid w:val="007912CE"/>
    <w:rsid w:val="007934C4"/>
    <w:rsid w:val="0079451D"/>
    <w:rsid w:val="00795966"/>
    <w:rsid w:val="007970FE"/>
    <w:rsid w:val="007A04C8"/>
    <w:rsid w:val="007A3102"/>
    <w:rsid w:val="007A3B30"/>
    <w:rsid w:val="007A3FC0"/>
    <w:rsid w:val="007A49BA"/>
    <w:rsid w:val="007A609F"/>
    <w:rsid w:val="007A7176"/>
    <w:rsid w:val="007A7484"/>
    <w:rsid w:val="007B3EF9"/>
    <w:rsid w:val="007B57A1"/>
    <w:rsid w:val="007B69DD"/>
    <w:rsid w:val="007B7535"/>
    <w:rsid w:val="007C0D3D"/>
    <w:rsid w:val="007C2A08"/>
    <w:rsid w:val="007C60D8"/>
    <w:rsid w:val="007D0AC6"/>
    <w:rsid w:val="007D2077"/>
    <w:rsid w:val="007D4260"/>
    <w:rsid w:val="007D4DC3"/>
    <w:rsid w:val="007D4E68"/>
    <w:rsid w:val="007D57CD"/>
    <w:rsid w:val="007D60C6"/>
    <w:rsid w:val="007D6F25"/>
    <w:rsid w:val="007D7A78"/>
    <w:rsid w:val="007E5812"/>
    <w:rsid w:val="007E68A5"/>
    <w:rsid w:val="007F1EC7"/>
    <w:rsid w:val="007F286F"/>
    <w:rsid w:val="007F2C82"/>
    <w:rsid w:val="007F36F4"/>
    <w:rsid w:val="007F3EAF"/>
    <w:rsid w:val="007F40B0"/>
    <w:rsid w:val="007F5F38"/>
    <w:rsid w:val="007F665B"/>
    <w:rsid w:val="00800BFC"/>
    <w:rsid w:val="008028CC"/>
    <w:rsid w:val="00802CDB"/>
    <w:rsid w:val="008042C8"/>
    <w:rsid w:val="00805CFD"/>
    <w:rsid w:val="0080702A"/>
    <w:rsid w:val="00807F15"/>
    <w:rsid w:val="00811BC5"/>
    <w:rsid w:val="00812E7F"/>
    <w:rsid w:val="0081359D"/>
    <w:rsid w:val="008136A0"/>
    <w:rsid w:val="00813CDD"/>
    <w:rsid w:val="00814164"/>
    <w:rsid w:val="00814AD7"/>
    <w:rsid w:val="00815A2E"/>
    <w:rsid w:val="008167BC"/>
    <w:rsid w:val="008168B9"/>
    <w:rsid w:val="00817787"/>
    <w:rsid w:val="00820B4E"/>
    <w:rsid w:val="00822488"/>
    <w:rsid w:val="00822945"/>
    <w:rsid w:val="0082383D"/>
    <w:rsid w:val="00823B38"/>
    <w:rsid w:val="00823F1C"/>
    <w:rsid w:val="00824697"/>
    <w:rsid w:val="00827A30"/>
    <w:rsid w:val="008318B8"/>
    <w:rsid w:val="00831DDD"/>
    <w:rsid w:val="00832386"/>
    <w:rsid w:val="008332DA"/>
    <w:rsid w:val="008344C2"/>
    <w:rsid w:val="00834BAC"/>
    <w:rsid w:val="00836D01"/>
    <w:rsid w:val="008373F8"/>
    <w:rsid w:val="008379F3"/>
    <w:rsid w:val="00837EA3"/>
    <w:rsid w:val="00840495"/>
    <w:rsid w:val="00842222"/>
    <w:rsid w:val="00843390"/>
    <w:rsid w:val="008439A0"/>
    <w:rsid w:val="00843BE9"/>
    <w:rsid w:val="008461DC"/>
    <w:rsid w:val="00847569"/>
    <w:rsid w:val="008508FF"/>
    <w:rsid w:val="00850CAC"/>
    <w:rsid w:val="0085238C"/>
    <w:rsid w:val="008530DA"/>
    <w:rsid w:val="0085352C"/>
    <w:rsid w:val="008538D0"/>
    <w:rsid w:val="00853BF4"/>
    <w:rsid w:val="00854ED5"/>
    <w:rsid w:val="00855965"/>
    <w:rsid w:val="00856356"/>
    <w:rsid w:val="008563F2"/>
    <w:rsid w:val="00860671"/>
    <w:rsid w:val="00860F0E"/>
    <w:rsid w:val="00862CD2"/>
    <w:rsid w:val="008639AC"/>
    <w:rsid w:val="0086508B"/>
    <w:rsid w:val="00866E4F"/>
    <w:rsid w:val="0087156B"/>
    <w:rsid w:val="00872D7E"/>
    <w:rsid w:val="008754E6"/>
    <w:rsid w:val="008755FE"/>
    <w:rsid w:val="00875A0C"/>
    <w:rsid w:val="0087776F"/>
    <w:rsid w:val="008778A0"/>
    <w:rsid w:val="0088233C"/>
    <w:rsid w:val="0088280A"/>
    <w:rsid w:val="00883EB7"/>
    <w:rsid w:val="00884999"/>
    <w:rsid w:val="00892807"/>
    <w:rsid w:val="0089284C"/>
    <w:rsid w:val="00892C9F"/>
    <w:rsid w:val="00892FBD"/>
    <w:rsid w:val="00893AD8"/>
    <w:rsid w:val="00893D2C"/>
    <w:rsid w:val="00894D11"/>
    <w:rsid w:val="0089523F"/>
    <w:rsid w:val="008967E5"/>
    <w:rsid w:val="00897BCF"/>
    <w:rsid w:val="008A07FE"/>
    <w:rsid w:val="008A12AD"/>
    <w:rsid w:val="008A1677"/>
    <w:rsid w:val="008A5452"/>
    <w:rsid w:val="008A5CDA"/>
    <w:rsid w:val="008A62DC"/>
    <w:rsid w:val="008A6436"/>
    <w:rsid w:val="008A6A82"/>
    <w:rsid w:val="008A6E5D"/>
    <w:rsid w:val="008B04B3"/>
    <w:rsid w:val="008B060F"/>
    <w:rsid w:val="008B144F"/>
    <w:rsid w:val="008B1A88"/>
    <w:rsid w:val="008B2607"/>
    <w:rsid w:val="008B279B"/>
    <w:rsid w:val="008B3B85"/>
    <w:rsid w:val="008B42E3"/>
    <w:rsid w:val="008B4E8C"/>
    <w:rsid w:val="008B60B8"/>
    <w:rsid w:val="008B7CA2"/>
    <w:rsid w:val="008C07FB"/>
    <w:rsid w:val="008C12BE"/>
    <w:rsid w:val="008C1B93"/>
    <w:rsid w:val="008C22C7"/>
    <w:rsid w:val="008C38EB"/>
    <w:rsid w:val="008C414B"/>
    <w:rsid w:val="008C54EA"/>
    <w:rsid w:val="008C6701"/>
    <w:rsid w:val="008C671C"/>
    <w:rsid w:val="008D28A9"/>
    <w:rsid w:val="008D3BDF"/>
    <w:rsid w:val="008D4B71"/>
    <w:rsid w:val="008D7EA2"/>
    <w:rsid w:val="008E0F80"/>
    <w:rsid w:val="008E1CA4"/>
    <w:rsid w:val="008E3FAA"/>
    <w:rsid w:val="008E737C"/>
    <w:rsid w:val="008F04A3"/>
    <w:rsid w:val="008F05B8"/>
    <w:rsid w:val="008F0C9D"/>
    <w:rsid w:val="008F0D5A"/>
    <w:rsid w:val="008F1C12"/>
    <w:rsid w:val="008F5A4B"/>
    <w:rsid w:val="008F5EF9"/>
    <w:rsid w:val="008F5F6F"/>
    <w:rsid w:val="008F6179"/>
    <w:rsid w:val="008F7C6C"/>
    <w:rsid w:val="008F7FD5"/>
    <w:rsid w:val="00900317"/>
    <w:rsid w:val="00900EC1"/>
    <w:rsid w:val="00901214"/>
    <w:rsid w:val="00904D6D"/>
    <w:rsid w:val="00904EC8"/>
    <w:rsid w:val="00906951"/>
    <w:rsid w:val="0091187A"/>
    <w:rsid w:val="00912FBC"/>
    <w:rsid w:val="00913D3B"/>
    <w:rsid w:val="00913F75"/>
    <w:rsid w:val="009162AB"/>
    <w:rsid w:val="00921D05"/>
    <w:rsid w:val="0092257C"/>
    <w:rsid w:val="00923121"/>
    <w:rsid w:val="00925CC8"/>
    <w:rsid w:val="009314C3"/>
    <w:rsid w:val="009317FD"/>
    <w:rsid w:val="00934B91"/>
    <w:rsid w:val="009406FF"/>
    <w:rsid w:val="00941203"/>
    <w:rsid w:val="009416C1"/>
    <w:rsid w:val="0094264B"/>
    <w:rsid w:val="00942670"/>
    <w:rsid w:val="0094367D"/>
    <w:rsid w:val="00943FA1"/>
    <w:rsid w:val="00945A5C"/>
    <w:rsid w:val="00946389"/>
    <w:rsid w:val="0094738D"/>
    <w:rsid w:val="009475DB"/>
    <w:rsid w:val="00950EF7"/>
    <w:rsid w:val="00954DC1"/>
    <w:rsid w:val="00955462"/>
    <w:rsid w:val="00956EB6"/>
    <w:rsid w:val="00956F83"/>
    <w:rsid w:val="00957C11"/>
    <w:rsid w:val="009617A9"/>
    <w:rsid w:val="009636EE"/>
    <w:rsid w:val="009665BE"/>
    <w:rsid w:val="009673AB"/>
    <w:rsid w:val="00970E84"/>
    <w:rsid w:val="00971153"/>
    <w:rsid w:val="00981036"/>
    <w:rsid w:val="00981E5F"/>
    <w:rsid w:val="00981F5C"/>
    <w:rsid w:val="00983846"/>
    <w:rsid w:val="0098648B"/>
    <w:rsid w:val="00990CC8"/>
    <w:rsid w:val="0099227E"/>
    <w:rsid w:val="009949C5"/>
    <w:rsid w:val="00997C10"/>
    <w:rsid w:val="009A19B2"/>
    <w:rsid w:val="009A2748"/>
    <w:rsid w:val="009B3EC0"/>
    <w:rsid w:val="009B46BC"/>
    <w:rsid w:val="009B4878"/>
    <w:rsid w:val="009B5FE8"/>
    <w:rsid w:val="009B62B1"/>
    <w:rsid w:val="009B76C2"/>
    <w:rsid w:val="009C080D"/>
    <w:rsid w:val="009C142A"/>
    <w:rsid w:val="009C2521"/>
    <w:rsid w:val="009C5293"/>
    <w:rsid w:val="009D41DF"/>
    <w:rsid w:val="009D6B5B"/>
    <w:rsid w:val="009D709E"/>
    <w:rsid w:val="009E0249"/>
    <w:rsid w:val="009E055A"/>
    <w:rsid w:val="009E0F0F"/>
    <w:rsid w:val="009E2DB3"/>
    <w:rsid w:val="009E36AC"/>
    <w:rsid w:val="009E41D1"/>
    <w:rsid w:val="009E4FB4"/>
    <w:rsid w:val="009E5694"/>
    <w:rsid w:val="009E585B"/>
    <w:rsid w:val="009E64A0"/>
    <w:rsid w:val="009E7D5A"/>
    <w:rsid w:val="009F040E"/>
    <w:rsid w:val="009F1F65"/>
    <w:rsid w:val="009F3146"/>
    <w:rsid w:val="009F4E50"/>
    <w:rsid w:val="009F5100"/>
    <w:rsid w:val="009F578B"/>
    <w:rsid w:val="00A01765"/>
    <w:rsid w:val="00A02DD3"/>
    <w:rsid w:val="00A04D6C"/>
    <w:rsid w:val="00A05622"/>
    <w:rsid w:val="00A100B6"/>
    <w:rsid w:val="00A1136A"/>
    <w:rsid w:val="00A135A2"/>
    <w:rsid w:val="00A15523"/>
    <w:rsid w:val="00A16250"/>
    <w:rsid w:val="00A17296"/>
    <w:rsid w:val="00A17D28"/>
    <w:rsid w:val="00A21621"/>
    <w:rsid w:val="00A223D5"/>
    <w:rsid w:val="00A22457"/>
    <w:rsid w:val="00A22900"/>
    <w:rsid w:val="00A26D18"/>
    <w:rsid w:val="00A30A93"/>
    <w:rsid w:val="00A31E71"/>
    <w:rsid w:val="00A3312E"/>
    <w:rsid w:val="00A3340E"/>
    <w:rsid w:val="00A3788A"/>
    <w:rsid w:val="00A42248"/>
    <w:rsid w:val="00A426C8"/>
    <w:rsid w:val="00A42ABF"/>
    <w:rsid w:val="00A4427E"/>
    <w:rsid w:val="00A45398"/>
    <w:rsid w:val="00A46733"/>
    <w:rsid w:val="00A46ECF"/>
    <w:rsid w:val="00A477B8"/>
    <w:rsid w:val="00A47AD5"/>
    <w:rsid w:val="00A47F03"/>
    <w:rsid w:val="00A51683"/>
    <w:rsid w:val="00A51892"/>
    <w:rsid w:val="00A52037"/>
    <w:rsid w:val="00A52149"/>
    <w:rsid w:val="00A52366"/>
    <w:rsid w:val="00A52EAC"/>
    <w:rsid w:val="00A52FC1"/>
    <w:rsid w:val="00A53C22"/>
    <w:rsid w:val="00A5654D"/>
    <w:rsid w:val="00A56DE3"/>
    <w:rsid w:val="00A5724F"/>
    <w:rsid w:val="00A6214E"/>
    <w:rsid w:val="00A6261F"/>
    <w:rsid w:val="00A662A3"/>
    <w:rsid w:val="00A6661A"/>
    <w:rsid w:val="00A6697F"/>
    <w:rsid w:val="00A71C8A"/>
    <w:rsid w:val="00A71ED6"/>
    <w:rsid w:val="00A760E0"/>
    <w:rsid w:val="00A77E76"/>
    <w:rsid w:val="00A80090"/>
    <w:rsid w:val="00A82646"/>
    <w:rsid w:val="00A85A64"/>
    <w:rsid w:val="00A90A09"/>
    <w:rsid w:val="00A9117D"/>
    <w:rsid w:val="00A92430"/>
    <w:rsid w:val="00A93118"/>
    <w:rsid w:val="00A93D4E"/>
    <w:rsid w:val="00A94333"/>
    <w:rsid w:val="00A94C5E"/>
    <w:rsid w:val="00A950F7"/>
    <w:rsid w:val="00A97D90"/>
    <w:rsid w:val="00AA3EC5"/>
    <w:rsid w:val="00AA48F5"/>
    <w:rsid w:val="00AA4B39"/>
    <w:rsid w:val="00AA512B"/>
    <w:rsid w:val="00AA59BE"/>
    <w:rsid w:val="00AA608B"/>
    <w:rsid w:val="00AA77C0"/>
    <w:rsid w:val="00AB1BD8"/>
    <w:rsid w:val="00AB1CD7"/>
    <w:rsid w:val="00AB1F5C"/>
    <w:rsid w:val="00AB4311"/>
    <w:rsid w:val="00AB49DA"/>
    <w:rsid w:val="00AB59A7"/>
    <w:rsid w:val="00AB68F7"/>
    <w:rsid w:val="00AC06A7"/>
    <w:rsid w:val="00AC077B"/>
    <w:rsid w:val="00AC0C82"/>
    <w:rsid w:val="00AC1F08"/>
    <w:rsid w:val="00AC374E"/>
    <w:rsid w:val="00AC60ED"/>
    <w:rsid w:val="00AD0354"/>
    <w:rsid w:val="00AD2373"/>
    <w:rsid w:val="00AD4DF3"/>
    <w:rsid w:val="00AD564C"/>
    <w:rsid w:val="00AD5DF4"/>
    <w:rsid w:val="00AD7639"/>
    <w:rsid w:val="00AE3182"/>
    <w:rsid w:val="00AE43A3"/>
    <w:rsid w:val="00AF095A"/>
    <w:rsid w:val="00AF1119"/>
    <w:rsid w:val="00AF59C3"/>
    <w:rsid w:val="00B011BB"/>
    <w:rsid w:val="00B012F2"/>
    <w:rsid w:val="00B0163B"/>
    <w:rsid w:val="00B02A0C"/>
    <w:rsid w:val="00B04312"/>
    <w:rsid w:val="00B0539A"/>
    <w:rsid w:val="00B06669"/>
    <w:rsid w:val="00B06F09"/>
    <w:rsid w:val="00B07DF0"/>
    <w:rsid w:val="00B14782"/>
    <w:rsid w:val="00B149AD"/>
    <w:rsid w:val="00B14B32"/>
    <w:rsid w:val="00B14BA4"/>
    <w:rsid w:val="00B14C9C"/>
    <w:rsid w:val="00B14CD3"/>
    <w:rsid w:val="00B14E05"/>
    <w:rsid w:val="00B162E1"/>
    <w:rsid w:val="00B17156"/>
    <w:rsid w:val="00B17A29"/>
    <w:rsid w:val="00B17D85"/>
    <w:rsid w:val="00B21966"/>
    <w:rsid w:val="00B2363C"/>
    <w:rsid w:val="00B24EE8"/>
    <w:rsid w:val="00B252F9"/>
    <w:rsid w:val="00B25977"/>
    <w:rsid w:val="00B271D8"/>
    <w:rsid w:val="00B27C45"/>
    <w:rsid w:val="00B313EB"/>
    <w:rsid w:val="00B3198A"/>
    <w:rsid w:val="00B3451B"/>
    <w:rsid w:val="00B34812"/>
    <w:rsid w:val="00B357AE"/>
    <w:rsid w:val="00B37E57"/>
    <w:rsid w:val="00B40F5E"/>
    <w:rsid w:val="00B42FA5"/>
    <w:rsid w:val="00B43958"/>
    <w:rsid w:val="00B44E93"/>
    <w:rsid w:val="00B453AF"/>
    <w:rsid w:val="00B477CA"/>
    <w:rsid w:val="00B514D3"/>
    <w:rsid w:val="00B51BC7"/>
    <w:rsid w:val="00B52134"/>
    <w:rsid w:val="00B54DE8"/>
    <w:rsid w:val="00B56063"/>
    <w:rsid w:val="00B570B0"/>
    <w:rsid w:val="00B57714"/>
    <w:rsid w:val="00B61620"/>
    <w:rsid w:val="00B64061"/>
    <w:rsid w:val="00B65BB6"/>
    <w:rsid w:val="00B67FA4"/>
    <w:rsid w:val="00B7048C"/>
    <w:rsid w:val="00B712AD"/>
    <w:rsid w:val="00B71D8A"/>
    <w:rsid w:val="00B73F7D"/>
    <w:rsid w:val="00B743B9"/>
    <w:rsid w:val="00B768D7"/>
    <w:rsid w:val="00B778A3"/>
    <w:rsid w:val="00B809F3"/>
    <w:rsid w:val="00B85932"/>
    <w:rsid w:val="00B87588"/>
    <w:rsid w:val="00B91643"/>
    <w:rsid w:val="00B92474"/>
    <w:rsid w:val="00B977BE"/>
    <w:rsid w:val="00BA1783"/>
    <w:rsid w:val="00BA2419"/>
    <w:rsid w:val="00BA2A58"/>
    <w:rsid w:val="00BB0F2F"/>
    <w:rsid w:val="00BB14FA"/>
    <w:rsid w:val="00BB1C66"/>
    <w:rsid w:val="00BB3596"/>
    <w:rsid w:val="00BB48F9"/>
    <w:rsid w:val="00BB4B1A"/>
    <w:rsid w:val="00BB524D"/>
    <w:rsid w:val="00BB5385"/>
    <w:rsid w:val="00BB5543"/>
    <w:rsid w:val="00BB5653"/>
    <w:rsid w:val="00BB6E3C"/>
    <w:rsid w:val="00BC06CF"/>
    <w:rsid w:val="00BC133D"/>
    <w:rsid w:val="00BC37CF"/>
    <w:rsid w:val="00BC3E9C"/>
    <w:rsid w:val="00BC4AF5"/>
    <w:rsid w:val="00BC4B07"/>
    <w:rsid w:val="00BC4D40"/>
    <w:rsid w:val="00BC5AA5"/>
    <w:rsid w:val="00BC7CC2"/>
    <w:rsid w:val="00BD049F"/>
    <w:rsid w:val="00BD0E9D"/>
    <w:rsid w:val="00BD218A"/>
    <w:rsid w:val="00BD2B86"/>
    <w:rsid w:val="00BD399A"/>
    <w:rsid w:val="00BD557E"/>
    <w:rsid w:val="00BD5B18"/>
    <w:rsid w:val="00BD5F64"/>
    <w:rsid w:val="00BE0201"/>
    <w:rsid w:val="00BE3232"/>
    <w:rsid w:val="00BE520C"/>
    <w:rsid w:val="00BF16AD"/>
    <w:rsid w:val="00BF1BB2"/>
    <w:rsid w:val="00BF2C8B"/>
    <w:rsid w:val="00BF34A7"/>
    <w:rsid w:val="00BF3B14"/>
    <w:rsid w:val="00BF6218"/>
    <w:rsid w:val="00C00EA2"/>
    <w:rsid w:val="00C011EE"/>
    <w:rsid w:val="00C020C2"/>
    <w:rsid w:val="00C02535"/>
    <w:rsid w:val="00C0352A"/>
    <w:rsid w:val="00C0425B"/>
    <w:rsid w:val="00C05811"/>
    <w:rsid w:val="00C0712B"/>
    <w:rsid w:val="00C07BEF"/>
    <w:rsid w:val="00C1015B"/>
    <w:rsid w:val="00C101D0"/>
    <w:rsid w:val="00C103A1"/>
    <w:rsid w:val="00C10A10"/>
    <w:rsid w:val="00C10D6A"/>
    <w:rsid w:val="00C10EC0"/>
    <w:rsid w:val="00C13B9C"/>
    <w:rsid w:val="00C14063"/>
    <w:rsid w:val="00C14623"/>
    <w:rsid w:val="00C14E45"/>
    <w:rsid w:val="00C15102"/>
    <w:rsid w:val="00C15A56"/>
    <w:rsid w:val="00C20353"/>
    <w:rsid w:val="00C22F0A"/>
    <w:rsid w:val="00C2325B"/>
    <w:rsid w:val="00C24DA3"/>
    <w:rsid w:val="00C255F5"/>
    <w:rsid w:val="00C25B1C"/>
    <w:rsid w:val="00C26299"/>
    <w:rsid w:val="00C30ED2"/>
    <w:rsid w:val="00C311E4"/>
    <w:rsid w:val="00C322BB"/>
    <w:rsid w:val="00C33540"/>
    <w:rsid w:val="00C3404B"/>
    <w:rsid w:val="00C350F2"/>
    <w:rsid w:val="00C35B73"/>
    <w:rsid w:val="00C35B8F"/>
    <w:rsid w:val="00C35FBE"/>
    <w:rsid w:val="00C3666D"/>
    <w:rsid w:val="00C40E59"/>
    <w:rsid w:val="00C418BF"/>
    <w:rsid w:val="00C4258F"/>
    <w:rsid w:val="00C44562"/>
    <w:rsid w:val="00C453FB"/>
    <w:rsid w:val="00C45DED"/>
    <w:rsid w:val="00C4630B"/>
    <w:rsid w:val="00C50166"/>
    <w:rsid w:val="00C502FF"/>
    <w:rsid w:val="00C55BED"/>
    <w:rsid w:val="00C55D03"/>
    <w:rsid w:val="00C55F3E"/>
    <w:rsid w:val="00C57311"/>
    <w:rsid w:val="00C6059B"/>
    <w:rsid w:val="00C61929"/>
    <w:rsid w:val="00C619E7"/>
    <w:rsid w:val="00C62E71"/>
    <w:rsid w:val="00C63059"/>
    <w:rsid w:val="00C631FE"/>
    <w:rsid w:val="00C63C08"/>
    <w:rsid w:val="00C65E31"/>
    <w:rsid w:val="00C66CCC"/>
    <w:rsid w:val="00C676A4"/>
    <w:rsid w:val="00C67C1A"/>
    <w:rsid w:val="00C67EA4"/>
    <w:rsid w:val="00C700B6"/>
    <w:rsid w:val="00C7182A"/>
    <w:rsid w:val="00C723B3"/>
    <w:rsid w:val="00C72659"/>
    <w:rsid w:val="00C734AC"/>
    <w:rsid w:val="00C73BD7"/>
    <w:rsid w:val="00C80CAC"/>
    <w:rsid w:val="00C815DB"/>
    <w:rsid w:val="00C81C9C"/>
    <w:rsid w:val="00C8516B"/>
    <w:rsid w:val="00C854C1"/>
    <w:rsid w:val="00C85B81"/>
    <w:rsid w:val="00C85D0F"/>
    <w:rsid w:val="00C87391"/>
    <w:rsid w:val="00C9178F"/>
    <w:rsid w:val="00C93F76"/>
    <w:rsid w:val="00C947D5"/>
    <w:rsid w:val="00C9655A"/>
    <w:rsid w:val="00C96FCA"/>
    <w:rsid w:val="00C9754D"/>
    <w:rsid w:val="00C975DF"/>
    <w:rsid w:val="00CA5D84"/>
    <w:rsid w:val="00CC1960"/>
    <w:rsid w:val="00CC79F1"/>
    <w:rsid w:val="00CD4F70"/>
    <w:rsid w:val="00CD5ADF"/>
    <w:rsid w:val="00CE1CF3"/>
    <w:rsid w:val="00CE4BC0"/>
    <w:rsid w:val="00CE70F3"/>
    <w:rsid w:val="00CE7659"/>
    <w:rsid w:val="00CF0E18"/>
    <w:rsid w:val="00CF29A4"/>
    <w:rsid w:val="00CF2F2E"/>
    <w:rsid w:val="00CF4D01"/>
    <w:rsid w:val="00CF5D26"/>
    <w:rsid w:val="00CF624D"/>
    <w:rsid w:val="00CF6E34"/>
    <w:rsid w:val="00D0495F"/>
    <w:rsid w:val="00D0506E"/>
    <w:rsid w:val="00D060CE"/>
    <w:rsid w:val="00D066D9"/>
    <w:rsid w:val="00D076EF"/>
    <w:rsid w:val="00D07778"/>
    <w:rsid w:val="00D108C5"/>
    <w:rsid w:val="00D10D7A"/>
    <w:rsid w:val="00D1187F"/>
    <w:rsid w:val="00D11C2D"/>
    <w:rsid w:val="00D1618D"/>
    <w:rsid w:val="00D167B1"/>
    <w:rsid w:val="00D16D1B"/>
    <w:rsid w:val="00D21F66"/>
    <w:rsid w:val="00D24B66"/>
    <w:rsid w:val="00D24C22"/>
    <w:rsid w:val="00D26476"/>
    <w:rsid w:val="00D31492"/>
    <w:rsid w:val="00D3478B"/>
    <w:rsid w:val="00D35C86"/>
    <w:rsid w:val="00D35E12"/>
    <w:rsid w:val="00D413DD"/>
    <w:rsid w:val="00D4189D"/>
    <w:rsid w:val="00D424E3"/>
    <w:rsid w:val="00D42604"/>
    <w:rsid w:val="00D43436"/>
    <w:rsid w:val="00D4389A"/>
    <w:rsid w:val="00D4400C"/>
    <w:rsid w:val="00D4436A"/>
    <w:rsid w:val="00D45829"/>
    <w:rsid w:val="00D45DEF"/>
    <w:rsid w:val="00D45FB7"/>
    <w:rsid w:val="00D46020"/>
    <w:rsid w:val="00D46347"/>
    <w:rsid w:val="00D46954"/>
    <w:rsid w:val="00D51E72"/>
    <w:rsid w:val="00D520E6"/>
    <w:rsid w:val="00D534EA"/>
    <w:rsid w:val="00D5392F"/>
    <w:rsid w:val="00D53A70"/>
    <w:rsid w:val="00D540A4"/>
    <w:rsid w:val="00D54DBC"/>
    <w:rsid w:val="00D55BC2"/>
    <w:rsid w:val="00D5659D"/>
    <w:rsid w:val="00D570F3"/>
    <w:rsid w:val="00D61C85"/>
    <w:rsid w:val="00D624E5"/>
    <w:rsid w:val="00D634A8"/>
    <w:rsid w:val="00D64C3D"/>
    <w:rsid w:val="00D65A1C"/>
    <w:rsid w:val="00D67099"/>
    <w:rsid w:val="00D71939"/>
    <w:rsid w:val="00D72D27"/>
    <w:rsid w:val="00D73317"/>
    <w:rsid w:val="00D743C8"/>
    <w:rsid w:val="00D743DA"/>
    <w:rsid w:val="00D744B5"/>
    <w:rsid w:val="00D745B1"/>
    <w:rsid w:val="00D7478D"/>
    <w:rsid w:val="00D74C5F"/>
    <w:rsid w:val="00D753F3"/>
    <w:rsid w:val="00D772DC"/>
    <w:rsid w:val="00D879AF"/>
    <w:rsid w:val="00D87E67"/>
    <w:rsid w:val="00D9045B"/>
    <w:rsid w:val="00D90EA9"/>
    <w:rsid w:val="00D91E83"/>
    <w:rsid w:val="00D93083"/>
    <w:rsid w:val="00D941C3"/>
    <w:rsid w:val="00D94A99"/>
    <w:rsid w:val="00D95324"/>
    <w:rsid w:val="00D95482"/>
    <w:rsid w:val="00DA0390"/>
    <w:rsid w:val="00DA0B49"/>
    <w:rsid w:val="00DA1940"/>
    <w:rsid w:val="00DA3BBA"/>
    <w:rsid w:val="00DA3C3C"/>
    <w:rsid w:val="00DA7399"/>
    <w:rsid w:val="00DB05EC"/>
    <w:rsid w:val="00DB166E"/>
    <w:rsid w:val="00DB3D8C"/>
    <w:rsid w:val="00DB3E4C"/>
    <w:rsid w:val="00DB43B8"/>
    <w:rsid w:val="00DB7BD1"/>
    <w:rsid w:val="00DB7C8A"/>
    <w:rsid w:val="00DC2DC5"/>
    <w:rsid w:val="00DC341B"/>
    <w:rsid w:val="00DD0E87"/>
    <w:rsid w:val="00DD2BCD"/>
    <w:rsid w:val="00DD2BCF"/>
    <w:rsid w:val="00DD2D55"/>
    <w:rsid w:val="00DD35E7"/>
    <w:rsid w:val="00DD5486"/>
    <w:rsid w:val="00DD650E"/>
    <w:rsid w:val="00DD66E1"/>
    <w:rsid w:val="00DD7968"/>
    <w:rsid w:val="00DE055B"/>
    <w:rsid w:val="00DE0B7E"/>
    <w:rsid w:val="00DE1418"/>
    <w:rsid w:val="00DE2205"/>
    <w:rsid w:val="00DE4203"/>
    <w:rsid w:val="00DE421E"/>
    <w:rsid w:val="00DE5454"/>
    <w:rsid w:val="00DE6831"/>
    <w:rsid w:val="00DE7F41"/>
    <w:rsid w:val="00DF0F50"/>
    <w:rsid w:val="00DF2309"/>
    <w:rsid w:val="00DF28DC"/>
    <w:rsid w:val="00DF3742"/>
    <w:rsid w:val="00DF3915"/>
    <w:rsid w:val="00DF44AC"/>
    <w:rsid w:val="00DF4CE2"/>
    <w:rsid w:val="00E0168F"/>
    <w:rsid w:val="00E12071"/>
    <w:rsid w:val="00E12660"/>
    <w:rsid w:val="00E12838"/>
    <w:rsid w:val="00E15BBF"/>
    <w:rsid w:val="00E15ECD"/>
    <w:rsid w:val="00E230D8"/>
    <w:rsid w:val="00E239E2"/>
    <w:rsid w:val="00E23F00"/>
    <w:rsid w:val="00E253B7"/>
    <w:rsid w:val="00E2599A"/>
    <w:rsid w:val="00E26A0F"/>
    <w:rsid w:val="00E305A0"/>
    <w:rsid w:val="00E318D4"/>
    <w:rsid w:val="00E31F4B"/>
    <w:rsid w:val="00E339EE"/>
    <w:rsid w:val="00E3557A"/>
    <w:rsid w:val="00E4014C"/>
    <w:rsid w:val="00E401FC"/>
    <w:rsid w:val="00E40DFF"/>
    <w:rsid w:val="00E42D1B"/>
    <w:rsid w:val="00E4558E"/>
    <w:rsid w:val="00E46C0B"/>
    <w:rsid w:val="00E46FAB"/>
    <w:rsid w:val="00E474DC"/>
    <w:rsid w:val="00E5155C"/>
    <w:rsid w:val="00E52FF2"/>
    <w:rsid w:val="00E5385B"/>
    <w:rsid w:val="00E55EA9"/>
    <w:rsid w:val="00E56307"/>
    <w:rsid w:val="00E56D55"/>
    <w:rsid w:val="00E56F52"/>
    <w:rsid w:val="00E57D47"/>
    <w:rsid w:val="00E57F76"/>
    <w:rsid w:val="00E60696"/>
    <w:rsid w:val="00E607BC"/>
    <w:rsid w:val="00E6152A"/>
    <w:rsid w:val="00E619D6"/>
    <w:rsid w:val="00E62028"/>
    <w:rsid w:val="00E6393C"/>
    <w:rsid w:val="00E66621"/>
    <w:rsid w:val="00E67187"/>
    <w:rsid w:val="00E67E51"/>
    <w:rsid w:val="00E76BE0"/>
    <w:rsid w:val="00E7790B"/>
    <w:rsid w:val="00E77E1F"/>
    <w:rsid w:val="00E80346"/>
    <w:rsid w:val="00E81714"/>
    <w:rsid w:val="00E91546"/>
    <w:rsid w:val="00E91678"/>
    <w:rsid w:val="00E9206E"/>
    <w:rsid w:val="00E9319D"/>
    <w:rsid w:val="00E93438"/>
    <w:rsid w:val="00E93F64"/>
    <w:rsid w:val="00E94443"/>
    <w:rsid w:val="00E96092"/>
    <w:rsid w:val="00E96737"/>
    <w:rsid w:val="00E96B5C"/>
    <w:rsid w:val="00EA0668"/>
    <w:rsid w:val="00EA127F"/>
    <w:rsid w:val="00EA1F53"/>
    <w:rsid w:val="00EA2C41"/>
    <w:rsid w:val="00EA4376"/>
    <w:rsid w:val="00EA70DC"/>
    <w:rsid w:val="00EA7A84"/>
    <w:rsid w:val="00EB01FF"/>
    <w:rsid w:val="00EB06C6"/>
    <w:rsid w:val="00EB1B47"/>
    <w:rsid w:val="00EB46E1"/>
    <w:rsid w:val="00EB4FED"/>
    <w:rsid w:val="00EB7BD6"/>
    <w:rsid w:val="00EC00B4"/>
    <w:rsid w:val="00EC20FD"/>
    <w:rsid w:val="00EC2EF8"/>
    <w:rsid w:val="00EC3DAC"/>
    <w:rsid w:val="00EC42FF"/>
    <w:rsid w:val="00EC5A73"/>
    <w:rsid w:val="00EC5CF8"/>
    <w:rsid w:val="00ED3B7C"/>
    <w:rsid w:val="00ED3D0C"/>
    <w:rsid w:val="00ED4AEF"/>
    <w:rsid w:val="00ED527A"/>
    <w:rsid w:val="00ED570E"/>
    <w:rsid w:val="00ED5CFE"/>
    <w:rsid w:val="00ED7D8C"/>
    <w:rsid w:val="00EE005A"/>
    <w:rsid w:val="00EE05CF"/>
    <w:rsid w:val="00EE077C"/>
    <w:rsid w:val="00EE10AE"/>
    <w:rsid w:val="00EE2DA2"/>
    <w:rsid w:val="00EE4290"/>
    <w:rsid w:val="00EE472E"/>
    <w:rsid w:val="00EE589E"/>
    <w:rsid w:val="00EE76D0"/>
    <w:rsid w:val="00EE7C89"/>
    <w:rsid w:val="00EE7FB7"/>
    <w:rsid w:val="00EF1185"/>
    <w:rsid w:val="00EF1245"/>
    <w:rsid w:val="00EF754D"/>
    <w:rsid w:val="00F00AA7"/>
    <w:rsid w:val="00F027E9"/>
    <w:rsid w:val="00F0775E"/>
    <w:rsid w:val="00F15BF4"/>
    <w:rsid w:val="00F15F69"/>
    <w:rsid w:val="00F1612D"/>
    <w:rsid w:val="00F173DD"/>
    <w:rsid w:val="00F1746B"/>
    <w:rsid w:val="00F21119"/>
    <w:rsid w:val="00F25164"/>
    <w:rsid w:val="00F277D3"/>
    <w:rsid w:val="00F30997"/>
    <w:rsid w:val="00F32896"/>
    <w:rsid w:val="00F33C08"/>
    <w:rsid w:val="00F35ADB"/>
    <w:rsid w:val="00F41AE7"/>
    <w:rsid w:val="00F41F44"/>
    <w:rsid w:val="00F42D17"/>
    <w:rsid w:val="00F457A0"/>
    <w:rsid w:val="00F46492"/>
    <w:rsid w:val="00F477B5"/>
    <w:rsid w:val="00F47B01"/>
    <w:rsid w:val="00F5057E"/>
    <w:rsid w:val="00F53410"/>
    <w:rsid w:val="00F5358D"/>
    <w:rsid w:val="00F541F8"/>
    <w:rsid w:val="00F5470A"/>
    <w:rsid w:val="00F551E6"/>
    <w:rsid w:val="00F5563D"/>
    <w:rsid w:val="00F56891"/>
    <w:rsid w:val="00F64CD4"/>
    <w:rsid w:val="00F64F37"/>
    <w:rsid w:val="00F65AB2"/>
    <w:rsid w:val="00F73E78"/>
    <w:rsid w:val="00F740C2"/>
    <w:rsid w:val="00F7591E"/>
    <w:rsid w:val="00F75EF9"/>
    <w:rsid w:val="00F77A9B"/>
    <w:rsid w:val="00F83035"/>
    <w:rsid w:val="00F855EC"/>
    <w:rsid w:val="00F866B0"/>
    <w:rsid w:val="00F869EF"/>
    <w:rsid w:val="00F86BE4"/>
    <w:rsid w:val="00F86C7B"/>
    <w:rsid w:val="00F86D61"/>
    <w:rsid w:val="00F905B6"/>
    <w:rsid w:val="00F90B31"/>
    <w:rsid w:val="00F90E8A"/>
    <w:rsid w:val="00F914B2"/>
    <w:rsid w:val="00F926B9"/>
    <w:rsid w:val="00F9541D"/>
    <w:rsid w:val="00F96847"/>
    <w:rsid w:val="00FA0403"/>
    <w:rsid w:val="00FA0CE6"/>
    <w:rsid w:val="00FA35FB"/>
    <w:rsid w:val="00FA5742"/>
    <w:rsid w:val="00FA597D"/>
    <w:rsid w:val="00FA5B9A"/>
    <w:rsid w:val="00FB01B9"/>
    <w:rsid w:val="00FB763A"/>
    <w:rsid w:val="00FB79C0"/>
    <w:rsid w:val="00FC1023"/>
    <w:rsid w:val="00FC2EB8"/>
    <w:rsid w:val="00FC5C43"/>
    <w:rsid w:val="00FC783D"/>
    <w:rsid w:val="00FD1598"/>
    <w:rsid w:val="00FD576E"/>
    <w:rsid w:val="00FD596B"/>
    <w:rsid w:val="00FD6DB9"/>
    <w:rsid w:val="00FE58CC"/>
    <w:rsid w:val="00FE75A9"/>
    <w:rsid w:val="00FF0462"/>
    <w:rsid w:val="00FF058D"/>
    <w:rsid w:val="00FF1D8E"/>
    <w:rsid w:val="00FF2440"/>
    <w:rsid w:val="00FF322C"/>
    <w:rsid w:val="00FF3922"/>
    <w:rsid w:val="00FF7745"/>
    <w:rsid w:val="00FF7BCB"/>
  </w:rsids>
  <m:mathPr>
    <m:mathFont m:val="Cambria Math"/>
    <m:brkBin m:val="before"/>
    <m:brkBinSub m:val="--"/>
    <m:smallFrac m:val="0"/>
    <m:dispDef/>
    <m:lMargin m:val="0"/>
    <m:rMargin m:val="0"/>
    <m:defJc m:val="centerGroup"/>
    <m:wrapIndent m:val="1440"/>
    <m:intLim m:val="subSup"/>
    <m:naryLim m:val="undOvr"/>
  </m:mathPr>
  <w:themeFontLang w:val="ms-MY"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768E8"/>
  <w15:docId w15:val="{BB16303D-D086-4628-A39C-71F039D8D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link w:val="HeaderChar"/>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uiPriority w:val="22"/>
    <w:qFormat/>
    <w:rsid w:val="00335BE8"/>
    <w:rPr>
      <w:rFonts w:cs="Times New Roman"/>
      <w:b/>
      <w:bCs/>
    </w:rPr>
  </w:style>
  <w:style w:type="paragraph" w:styleId="NormalWeb">
    <w:name w:val="Normal (Web)"/>
    <w:basedOn w:val="Normal"/>
    <w:uiPriority w:val="99"/>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uiPriority w:val="34"/>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character" w:customStyle="1" w:styleId="fontstyle01">
    <w:name w:val="fontstyle01"/>
    <w:basedOn w:val="DefaultParagraphFont"/>
    <w:rsid w:val="00F15BF4"/>
    <w:rPr>
      <w:rFonts w:ascii="NimbusRomNo9L-Medi" w:hAnsi="NimbusRomNo9L-Medi" w:hint="default"/>
      <w:b/>
      <w:bCs/>
      <w:i w:val="0"/>
      <w:iCs w:val="0"/>
      <w:color w:val="000000"/>
      <w:sz w:val="20"/>
      <w:szCs w:val="20"/>
    </w:rPr>
  </w:style>
  <w:style w:type="character" w:customStyle="1" w:styleId="fontstyle21">
    <w:name w:val="fontstyle21"/>
    <w:basedOn w:val="DefaultParagraphFont"/>
    <w:rsid w:val="00F15BF4"/>
    <w:rPr>
      <w:rFonts w:ascii="NimbusRomNo9L-Regu" w:hAnsi="NimbusRomNo9L-Regu" w:hint="default"/>
      <w:b w:val="0"/>
      <w:bCs w:val="0"/>
      <w:i w:val="0"/>
      <w:iCs w:val="0"/>
      <w:color w:val="000000"/>
      <w:sz w:val="20"/>
      <w:szCs w:val="20"/>
    </w:rPr>
  </w:style>
  <w:style w:type="character" w:styleId="UnresolvedMention">
    <w:name w:val="Unresolved Mention"/>
    <w:basedOn w:val="DefaultParagraphFont"/>
    <w:uiPriority w:val="99"/>
    <w:semiHidden/>
    <w:unhideWhenUsed/>
    <w:rsid w:val="00E619D6"/>
    <w:rPr>
      <w:color w:val="605E5C"/>
      <w:shd w:val="clear" w:color="auto" w:fill="E1DFDD"/>
    </w:rPr>
  </w:style>
  <w:style w:type="character" w:customStyle="1" w:styleId="HeaderChar">
    <w:name w:val="Header Char"/>
    <w:basedOn w:val="DefaultParagraphFont"/>
    <w:link w:val="Header"/>
    <w:rsid w:val="00981F5C"/>
  </w:style>
  <w:style w:type="character" w:customStyle="1" w:styleId="uxksbf">
    <w:name w:val="uxksbf"/>
    <w:basedOn w:val="DefaultParagraphFont"/>
    <w:rsid w:val="00C65E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331985">
      <w:bodyDiv w:val="1"/>
      <w:marLeft w:val="0"/>
      <w:marRight w:val="0"/>
      <w:marTop w:val="0"/>
      <w:marBottom w:val="0"/>
      <w:divBdr>
        <w:top w:val="none" w:sz="0" w:space="0" w:color="auto"/>
        <w:left w:val="none" w:sz="0" w:space="0" w:color="auto"/>
        <w:bottom w:val="none" w:sz="0" w:space="0" w:color="auto"/>
        <w:right w:val="none" w:sz="0" w:space="0" w:color="auto"/>
      </w:divBdr>
    </w:div>
    <w:div w:id="217479313">
      <w:bodyDiv w:val="1"/>
      <w:marLeft w:val="0"/>
      <w:marRight w:val="0"/>
      <w:marTop w:val="0"/>
      <w:marBottom w:val="0"/>
      <w:divBdr>
        <w:top w:val="none" w:sz="0" w:space="0" w:color="auto"/>
        <w:left w:val="none" w:sz="0" w:space="0" w:color="auto"/>
        <w:bottom w:val="none" w:sz="0" w:space="0" w:color="auto"/>
        <w:right w:val="none" w:sz="0" w:space="0" w:color="auto"/>
      </w:divBdr>
    </w:div>
    <w:div w:id="537087593">
      <w:bodyDiv w:val="1"/>
      <w:marLeft w:val="0"/>
      <w:marRight w:val="0"/>
      <w:marTop w:val="0"/>
      <w:marBottom w:val="0"/>
      <w:divBdr>
        <w:top w:val="none" w:sz="0" w:space="0" w:color="auto"/>
        <w:left w:val="none" w:sz="0" w:space="0" w:color="auto"/>
        <w:bottom w:val="none" w:sz="0" w:space="0" w:color="auto"/>
        <w:right w:val="none" w:sz="0" w:space="0" w:color="auto"/>
      </w:divBdr>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740324375">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671371577">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2.svg"/><Relationship Id="rId39" Type="http://schemas.openxmlformats.org/officeDocument/2006/relationships/fontTable" Target="fontTable.xml"/><Relationship Id="rId21" Type="http://schemas.openxmlformats.org/officeDocument/2006/relationships/image" Target="media/image10.jpe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scholar.google.co.id/citations?user=SyPKlXwAAAAJ&amp;hl=id&amp;oi=ao" TargetMode="External"/><Relationship Id="rId25" Type="http://schemas.openxmlformats.org/officeDocument/2006/relationships/image" Target="media/image11.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hyperlink" Target="https://orcid.org/0000-0003-4296-982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scopus.com/authid/detail.uri?authorId=57192986806" TargetMode="External"/><Relationship Id="rId32" Type="http://schemas.openxmlformats.org/officeDocument/2006/relationships/hyperlink" Target="https://www.webofscience.com/wos/author/record/AEM-7101-2022" TargetMode="External"/><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orcid.org/my-orcid?orcid=0009-0002-6274-4120" TargetMode="External"/><Relationship Id="rId23" Type="http://schemas.openxmlformats.org/officeDocument/2006/relationships/hyperlink" Target="https://scholar.google.com/citations?user=gg23-lQAAAAJ&amp;hl=en&amp;oi=ao" TargetMode="External"/><Relationship Id="rId28" Type="http://schemas.openxmlformats.org/officeDocument/2006/relationships/image" Target="media/image13.pn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hyperlink" Target="https://www.webofscience.com/wos/author/record/PUH-8709-2026" TargetMode="External"/><Relationship Id="rId31" Type="http://schemas.openxmlformats.org/officeDocument/2006/relationships/hyperlink" Target="https://www.scopus.com/authid/detail.uri?authorId=57210969169"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orcid.org/0000-0001-8102-0326" TargetMode="External"/><Relationship Id="rId27" Type="http://schemas.openxmlformats.org/officeDocument/2006/relationships/hyperlink" Target="https://www.webofscience.com/wos/author/record/1966994" TargetMode="External"/><Relationship Id="rId30" Type="http://schemas.openxmlformats.org/officeDocument/2006/relationships/hyperlink" Target="https://scholar.google.com/citations?user=bOwUlW8AAAAJ&amp;hl=id" TargetMode="External"/><Relationship Id="rId35" Type="http://schemas.openxmlformats.org/officeDocument/2006/relationships/footer" Target="footer1.xml"/><Relationship Id="rId8" Type="http://schemas.openxmlformats.org/officeDocument/2006/relationships/hyperlink" Target="https://creativecommons.org/licenses/by-sa/4.0/" TargetMode="External"/><Relationship Id="rId3" Type="http://schemas.openxmlformats.org/officeDocument/2006/relationships/styles" Target="styles.xml"/><Relationship Id="rId41" Type="http://schemas.openxmlformats.org/officeDocument/2006/relationships/comments" Target="comments.xml"/><Relationship Id="rId42" Type="http://schemas.microsoft.com/office/2011/relationships/commentsExtended" Target="commentsExtended.xml"/><Relationship Id="rId43" Type="http://schemas.microsoft.com/office/2016/09/relationships/commentsIds" Target="commentsIds.xml"/><Relationship Id="rId4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72CD02-06E9-4267-BA4D-DBF577F53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9</Pages>
  <Words>4161</Words>
  <Characters>23721</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IAES International Journal of Artificial Intelligence (IJ-AI)</vt:lpstr>
    </vt:vector>
  </TitlesOfParts>
  <Company>IAES | Institute of Advanced Engineering and Science</Company>
  <LinksUpToDate>false</LinksUpToDate>
  <CharactersWithSpaces>27827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IAES International Journal of Artificial Intelligence (IJ-AI)</dc:title>
  <dc:creator>IJ-AI</dc:creator>
  <cp:keywords>AI planning strategies &amp; tools; artificial intelligence (AI); big data; bioinformatics; computational theories of learning; computer vision &amp; speech understanding; data mining &amp; machine learning tools; deep learning; fuzzy logic; intelligence applications; intelligent system architectures; knowledge representation; learning with generative adversarial networks; machine learning; multiagent systems; multimedia &amp; cognitive informatics; natural language processing; neural networks; reasoning &amp; evolution; reinforcement learning; simulated biological evolution algorithms; supervised learning; technology &amp; computing; unsupervised learning;</cp:keywords>
  <dc:description>IJ-AI Template and Guide of Authors</dc:description>
  <cp:lastModifiedBy>Alter Natef</cp:lastModifiedBy>
  <cp:revision>21</cp:revision>
  <cp:lastPrinted>2021-08-05T08:35:00Z</cp:lastPrinted>
  <dcterms:created xsi:type="dcterms:W3CDTF">2026-05-08T13:42:00Z</dcterms:created>
  <dcterms:modified xsi:type="dcterms:W3CDTF">2026-05-25T00:08:00Z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49f8635b6a469c876e56128edf56b45239123ab572ca89cda92473800373f475</vt:lpwstr>
  </property>
</Properties>
</file>