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b w:val="0"/>
          <w:i w:val="0"/>
          <w:sz w:val="36"/>
          <w:rFonts w:ascii="Times New Roman" w:hAnsi="Times New Roman" w:cs="Times New Roman"/>
        </w:rPr>
        <w:t>A Deep Learning and Business Intelligence Framework for Cryptocurrency Price Prediction: Comparative Analysis of Sequence Networks against State-of-the-Art Transformers</w:t>
      </w:r>
    </w:p>
    <w:p>
      <w:pPr>
        <w:jc w:val="center"/>
        <w:spacing w:before="0" w:after="40"/>
      </w:pPr>
      <w:r>
        <w:rPr>
          <w:rFonts w:ascii="Times New Roman" w:hAnsi="Times New Roman"/>
          <w:b w:val="0"/>
          <w:i w:val="0"/>
          <w:sz w:val="22"/>
          <w:rFonts w:ascii="Times New Roman" w:hAnsi="Times New Roman" w:cs="Times New Roman"/>
        </w:rPr>
        <w:t>Asep Surahman Sulaeman, Deden Witarsyah, and Aswan Supriyadi Sunge</w:t>
      </w:r>
    </w:p>
    <w:p>
      <w:pPr>
        <w:jc w:val="center"/>
        <w:spacing w:before="0" w:after="20"/>
      </w:pPr>
      <w:r>
        <w:rPr>
          <w:rFonts w:ascii="Times New Roman" w:hAnsi="Times New Roman"/>
          <w:b w:val="0"/>
          <w:i/>
          <w:sz w:val="20"/>
          <w:rFonts w:ascii="Times New Roman" w:hAnsi="Times New Roman" w:cs="Times New Roman"/>
        </w:rPr>
        <w:t>1,2 Master of Informatics, Nusa Putra University, Sukabumi, Indonesia 3 Informatics Engineering, Universitas Pelita Bangsa, Indonesia Email: asep.surahman_mti24@nusaputra.ac.id</w:t>
      </w:r>
    </w:p>
    <w:p>
      <w:pPr>
        <w:pBdr>
          <w:bottom w:val="single" w:sz="6" w:space="1" w:color="000000"/>
        </w:pBdr>
        <w:spacing w:before="60" w:after="60"/>
      </w:pPr>
    </w:p>
    <w:p>
      <w:pPr>
        <w:jc w:val="both"/>
        <w:ind w:left="360" w:right="360"/>
        <w:spacing w:before="40" w:after="40"/>
      </w:pPr>
      <w:r>
        <w:rPr>
          <w:rFonts w:ascii="Times New Roman" w:hAnsi="Times New Roman"/>
          <w:b/>
          <w:i/>
          <w:sz w:val="18"/>
          <w:rFonts w:ascii="Times New Roman" w:hAnsi="Times New Roman" w:cs="Times New Roman"/>
        </w:rPr>
        <w:t>Abstract—</w:t>
      </w:r>
      <w:r>
        <w:rPr>
          <w:rFonts w:ascii="Times New Roman" w:hAnsi="Times New Roman"/>
          <w:b w:val="0"/>
          <w:i/>
          <w:sz w:val="18"/>
          <w:rFonts w:ascii="Times New Roman" w:hAnsi="Times New Roman" w:cs="Times New Roman"/>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p>
    <w:p>
      <w:pPr>
        <w:jc w:val="both"/>
        <w:ind w:left="360" w:right="360"/>
        <w:spacing w:before="0" w:after="80"/>
      </w:pPr>
      <w:r>
        <w:rPr>
          <w:rFonts w:ascii="Times New Roman" w:hAnsi="Times New Roman"/>
          <w:b/>
          <w:i/>
          <w:sz w:val="18"/>
          <w:rFonts w:ascii="Times New Roman" w:hAnsi="Times New Roman" w:cs="Times New Roman"/>
        </w:rPr>
        <w:t>Keywords—</w:t>
      </w:r>
      <w:r>
        <w:rPr>
          <w:rFonts w:ascii="Times New Roman" w:hAnsi="Times New Roman"/>
          <w:b w:val="0"/>
          <w:i w:val="0"/>
          <w:sz w:val="18"/>
          <w:rFonts w:ascii="Times New Roman" w:hAnsi="Times New Roman" w:cs="Times New Roman"/>
        </w:rPr>
        <w:t>Business Intelligence, Informer Transformer, XGBoost, LSTM, GRU, Financial Informatics, Diebold-Mariano Test, Decision Support Systems, Walk-Forward Validation, Explainable AI.</w:t>
      </w:r>
    </w:p>
    <w:p>
      <w:pPr>
        <w:pBdr>
          <w:bottom w:val="single" w:sz="6" w:space="1" w:color="000000"/>
        </w:pBdr>
        <w:spacing w:before="60" w:after="60"/>
      </w:pPr>
    </w:p>
    <w:p>
      <w:pPr>
        <w:spacing w:before="0" w:after="0"/>
        <w:sectPr>
          <w:cols w:num="2" w:space="360" w:equalWidth="1"/>
          <w:footerReference w:type="default" r:id="rId13"/>
          <w:type w:val="continuous"/>
        </w:sectPr>
      </w:pPr>
    </w:p>
    <w:p>
      <w:pPr>
        <w:jc w:val="center"/>
        <w:spacing w:before="120" w:after="60"/>
      </w:pPr>
      <w:r>
        <w:rPr>
          <w:rFonts w:ascii="Times New Roman" w:hAnsi="Times New Roman"/>
          <w:b/>
          <w:i w:val="0"/>
          <w:sz w:val="20"/>
          <w:rFonts w:ascii="Times New Roman" w:hAnsi="Times New Roman" w:cs="Times New Roman"/>
        </w:rPr>
        <w:t>I. INTRODUCTION</w:t>
      </w:r>
    </w:p>
    <w:p>
      <w:pPr>
        <w:jc w:val="both"/>
        <w:ind w:firstLine="216"/>
        <w:spacing w:before="0" w:after="60"/>
      </w:pPr>
      <w:r>
        <w:rPr>
          <w:rFonts w:ascii="Times New Roman" w:hAnsi="Times New Roman"/>
          <w:b w:val="0"/>
          <w:i w:val="0"/>
          <w:sz w:val="20"/>
          <w:rFonts w:ascii="Times New Roman" w:hAnsi="Times New Roman"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ind w:firstLine="216"/>
        <w:spacing w:before="0" w:after="60"/>
      </w:pPr>
      <w:r>
        <w:rPr>
          <w:rFonts w:ascii="Times New Roman" w:hAnsi="Times New Roman"/>
          <w:b w:val="0"/>
          <w:i w:val="0"/>
          <w:sz w:val="20"/>
          <w:rFonts w:ascii="Times New Roman" w:hAnsi="Times New Roman"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ind w:firstLine="216"/>
        <w:spacing w:before="0" w:after="60"/>
      </w:pPr>
      <w:r>
        <w:rPr>
          <w:rFonts w:ascii="Times New Roman" w:hAnsi="Times New Roman"/>
          <w:b w:val="0"/>
          <w:i w:val="0"/>
          <w:sz w:val="20"/>
          <w:rFonts w:ascii="Times New Roman" w:hAnsi="Times New Roman"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ind w:firstLine="216"/>
        <w:spacing w:before="0" w:after="60"/>
      </w:pPr>
      <w:r>
        <w:rPr>
          <w:rFonts w:ascii="Times New Roman" w:hAnsi="Times New Roman"/>
          <w:b w:val="0"/>
          <w:i w:val="0"/>
          <w:sz w:val="20"/>
          <w:rFonts w:ascii="Times New Roman" w:hAnsi="Times New Roman"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jc w:val="center"/>
        <w:spacing w:before="120" w:after="60"/>
      </w:pPr>
      <w:r>
        <w:rPr>
          <w:rFonts w:ascii="Times New Roman" w:hAnsi="Times New Roman"/>
          <w:b/>
          <w:i w:val="0"/>
          <w:sz w:val="20"/>
          <w:rFonts w:ascii="Times New Roman" w:hAnsi="Times New Roman" w:cs="Times New Roman"/>
        </w:rPr>
        <w:t>II. LITERATURE REVIEW AND RELATED WORK</w:t>
      </w:r>
    </w:p>
    <w:p>
      <w:pPr>
        <w:jc w:val="both"/>
        <w:ind w:firstLine="216"/>
        <w:spacing w:before="0" w:after="60"/>
      </w:pPr>
      <w:r>
        <w:rPr>
          <w:rFonts w:ascii="Times New Roman" w:hAnsi="Times New Roman"/>
          <w:b w:val="0"/>
          <w:i w:val="0"/>
          <w:sz w:val="20"/>
          <w:rFonts w:ascii="Times New Roman" w:hAnsi="Times New Roman" w:cs="Times New Roman"/>
        </w:rPr>
        <w:t>Predictive applications in cryptocurrency analytics have transitioned from standard regression models toward more complex deep learning sequences.</w:t>
      </w:r>
    </w:p>
    <w:p>
      <w:pPr>
        <w:jc w:val="left"/>
        <w:spacing w:before="80" w:after="40"/>
      </w:pPr>
      <w:r>
        <w:rPr>
          <w:rFonts w:ascii="Times New Roman" w:hAnsi="Times New Roman"/>
          <w:b/>
          <w:i/>
          <w:sz w:val="20"/>
          <w:rFonts w:ascii="Times New Roman" w:hAnsi="Times New Roman" w:cs="Times New Roman"/>
        </w:rPr>
        <w:t>A. Baselines and Deep Sequences (RNNs)</w:t>
      </w:r>
    </w:p>
    <w:p>
      <w:pPr>
        <w:jc w:val="both"/>
        <w:ind w:firstLine="216"/>
        <w:spacing w:before="0" w:after="60"/>
      </w:pPr>
      <w:r>
        <w:rPr>
          <w:rFonts w:ascii="Times New Roman" w:hAnsi="Times New Roman"/>
          <w:b w:val="0"/>
          <w:i w:val="0"/>
          <w:sz w:val="20"/>
          <w:rFonts w:ascii="Times New Roman" w:hAnsi="Times New Roman"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80" w:after="40"/>
      </w:pPr>
      <w:r>
        <w:rPr>
          <w:rFonts w:ascii="Times New Roman" w:hAnsi="Times New Roman"/>
          <w:b/>
          <w:i/>
          <w:sz w:val="20"/>
          <w:rFonts w:ascii="Times New Roman" w:hAnsi="Times New Roman" w:cs="Times New Roman"/>
        </w:rPr>
        <w:t>B. Transformers in Time Series</w:t>
      </w:r>
    </w:p>
    <w:p>
      <w:pPr>
        <w:jc w:val="both"/>
        <w:ind w:firstLine="216"/>
        <w:spacing w:before="0" w:after="60"/>
      </w:pPr>
      <w:r>
        <w:rPr>
          <w:rFonts w:ascii="Times New Roman" w:hAnsi="Times New Roman"/>
          <w:b w:val="0"/>
          <w:i w:val="0"/>
          <w:sz w:val="20"/>
          <w:rFonts w:ascii="Times New Roman" w:hAnsi="Times New Roman" w:cs="Times New Roman"/>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80" w:after="40"/>
      </w:pPr>
      <w:r>
        <w:rPr>
          <w:rFonts w:ascii="Times New Roman" w:hAnsi="Times New Roman"/>
          <w:b/>
          <w:i/>
          <w:sz w:val="20"/>
          <w:rFonts w:ascii="Times New Roman" w:hAnsi="Times New Roman" w:cs="Times New Roman"/>
        </w:rPr>
        <w:t>C. The Need for BI Integration and Scope Justification</w:t>
      </w:r>
    </w:p>
    <w:p>
      <w:pPr>
        <w:jc w:val="both"/>
        <w:ind w:firstLine="216"/>
        <w:spacing w:before="0" w:after="60"/>
      </w:pPr>
      <w:r>
        <w:rPr>
          <w:rFonts w:ascii="Times New Roman" w:hAnsi="Times New Roman"/>
          <w:b w:val="0"/>
          <w:i w:val="0"/>
          <w:sz w:val="20"/>
          <w:rFonts w:ascii="Times New Roman" w:hAnsi="Times New Roman" w:cs="Times New Roman"/>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ind w:firstLine="216"/>
        <w:spacing w:before="0" w:after="60"/>
      </w:pPr>
      <w:r>
        <w:rPr>
          <w:rFonts w:ascii="Times New Roman" w:hAnsi="Times New Roman"/>
          <w:b w:val="0"/>
          <w:i w:val="0"/>
          <w:sz w:val="20"/>
          <w:rFonts w:ascii="Times New Roman" w:hAnsi="Times New Roman"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jc w:val="center"/>
        <w:spacing w:before="120" w:after="60"/>
      </w:pPr>
      <w:r>
        <w:rPr>
          <w:rFonts w:ascii="Times New Roman" w:hAnsi="Times New Roman"/>
          <w:b/>
          <w:i w:val="0"/>
          <w:sz w:val="20"/>
          <w:rFonts w:ascii="Times New Roman" w:hAnsi="Times New Roman" w:cs="Times New Roman"/>
        </w:rPr>
        <w:t>III. SYSTEM ARCHITECTURE AND FRAMEWORK DESIGN</w:t>
      </w:r>
    </w:p>
    <w:p>
      <w:pPr>
        <w:jc w:val="both"/>
        <w:ind w:firstLine="216"/>
        <w:spacing w:before="0" w:after="60"/>
      </w:pPr>
      <w:r>
        <w:rPr>
          <w:rFonts w:ascii="Times New Roman" w:hAnsi="Times New Roman"/>
          <w:b w:val="0"/>
          <w:i w:val="0"/>
          <w:sz w:val="20"/>
          <w:rFonts w:ascii="Times New Roman" w:hAnsi="Times New Roman" w:cs="Times New Roman"/>
        </w:rPr>
        <w:t>The proposed framework adopts a four-layer architecture mapping data ingestions directly into a BI interface.</w:t>
      </w:r>
    </w:p>
    <w:p>
      <w:pPr>
        <w:jc w:val="left"/>
        <w:spacing w:before="80" w:after="40"/>
      </w:pPr>
      <w:r>
        <w:rPr>
          <w:rFonts w:ascii="Times New Roman" w:hAnsi="Times New Roman"/>
          <w:b/>
          <w:i/>
          <w:sz w:val="20"/>
          <w:rFonts w:ascii="Times New Roman" w:hAnsi="Times New Roman" w:cs="Times New Roman"/>
        </w:rPr>
        <w:t>A. High-Frequency Data Extraction</w:t>
      </w:r>
    </w:p>
    <w:p>
      <w:pPr>
        <w:jc w:val="both"/>
        <w:ind w:firstLine="216"/>
        <w:spacing w:before="0" w:after="60"/>
      </w:pPr>
      <w:r>
        <w:rPr>
          <w:rFonts w:ascii="Times New Roman" w:hAnsi="Times New Roman"/>
          <w:b w:val="0"/>
          <w:i w:val="0"/>
          <w:sz w:val="20"/>
          <w:rFonts w:ascii="Times New Roman" w:hAnsi="Times New Roman"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80" w:after="40"/>
      </w:pPr>
      <w:r>
        <w:rPr>
          <w:rFonts w:ascii="Times New Roman" w:hAnsi="Times New Roman"/>
          <w:b/>
          <w:i/>
          <w:sz w:val="20"/>
          <w:rFonts w:ascii="Times New Roman" w:hAnsi="Times New Roman" w:cs="Times New Roman"/>
        </w:rPr>
        <w:t>B. Walk-Forward Validation Protocol</w:t>
      </w:r>
    </w:p>
    <w:p>
      <w:pPr>
        <w:jc w:val="both"/>
        <w:ind w:firstLine="216"/>
        <w:spacing w:before="0" w:after="60"/>
      </w:pPr>
      <w:r>
        <w:rPr>
          <w:rFonts w:ascii="Times New Roman" w:hAnsi="Times New Roman"/>
          <w:b w:val="0"/>
          <w:i w:val="0"/>
          <w:sz w:val="20"/>
          <w:rFonts w:ascii="Times New Roman" w:hAnsi="Times New Roman" w:cs="Times New Roman"/>
        </w:rPr>
        <w:t>Missing API timestamps (~0.4% dropout rate) were handled using polynomial linear interpolation [31]. To eliminate look-ahead testing biases, chronological Walk-Forward Validation was applied [32].</w:t>
      </w:r>
    </w:p>
    <w:p>
      <w:pPr>
        <w:jc w:val="left"/>
        <w:pBdr>
          <w:top w:val="double" w:sz="6" w:color="000000"/>
          <w:bottom w:val="single" w:sz="4" w:color="000000"/>
        </w:pBdr>
        <w:spacing w:before="60" w:after="30"/>
      </w:pPr>
      <w:r>
        <w:rPr>
          <w:rFonts w:ascii="Times New Roman" w:hAnsi="Times New Roman"/>
          <w:b/>
          <w:i w:val="0"/>
          <w:sz w:val="18"/>
          <w:rFonts w:ascii="Times New Roman" w:hAnsi="Times New Roman" w:cs="Times New Roman"/>
        </w:rPr>
        <w:t>Algorithm 14-Layer BI-ML Implementation Pipeline</w:t>
      </w:r>
    </w:p>
    <w:p>
      <w:pPr>
        <w:spacing w:before="0" w:after="0"/>
      </w:pPr>
      <w:r>
        <w:rPr>
          <w:rFonts w:ascii="Times New Roman" w:hAnsi="Times New Roman"/>
          <w:b w:val="0"/>
          <w:i w:val="0"/>
          <w:sz w:val="17"/>
          <w:rFonts w:ascii="Times New Roman" w:hAnsi="Times New Roman" w:cs="Times New Roman"/>
        </w:rPr>
        <w:t>Input:</w:t>
      </w:r>
    </w:p>
    <w:p>
      <w:pPr>
        <w:spacing w:before="0" w:after="0"/>
      </w:pPr>
      <w:r>
        <w:rPr>
          <w:rFonts w:ascii="Times New Roman" w:hAnsi="Times New Roman"/>
          <w:b w:val="0"/>
          <w:i w:val="0"/>
          <w:sz w:val="17"/>
          <w:rFonts w:ascii="Times New Roman" w:hAnsi="Times New Roman" w:cs="Times New Roman"/>
        </w:rPr>
        <w:t>High-frequency Cryptocurrency OHLCV Spot Data</w:t>
      </w:r>
    </w:p>
    <w:p>
      <w:pPr>
        <w:spacing w:before="0" w:after="0"/>
      </w:pPr>
      <w:r>
        <w:rPr>
          <w:rFonts w:ascii="Times New Roman" w:hAnsi="Times New Roman"/>
          <w:b w:val="0"/>
          <w:i w:val="0"/>
          <w:sz w:val="17"/>
          <w:rFonts w:ascii="Times New Roman" w:hAnsi="Times New Roman" w:cs="Times New Roman"/>
        </w:rPr>
        <w:t>Output:</w:t>
      </w:r>
    </w:p>
    <w:p>
      <w:pPr>
        <w:spacing w:before="0" w:after="0"/>
      </w:pPr>
      <w:r>
        <w:rPr>
          <w:rFonts w:ascii="Times New Roman" w:hAnsi="Times New Roman"/>
          <w:b w:val="0"/>
          <w:i w:val="0"/>
          <w:sz w:val="17"/>
          <w:rFonts w:ascii="Times New Roman" w:hAnsi="Times New Roman" w:cs="Times New Roman"/>
        </w:rPr>
        <w:t>Risk-adjusted Dashboard Matrix (</w:t>
      </w:r>
    </w:p>
    <w:p>
      <w:pPr>
        <w:spacing w:before="0" w:after="0"/>
      </w:pPr>
      <w:r>
        <w:rPr>
          <w:rFonts w:ascii="Times New Roman" w:hAnsi="Times New Roman"/>
          <w:b w:val="0"/>
          <w:i w:val="0"/>
          <w:sz w:val="17"/>
          <w:rFonts w:ascii="Times New Roman" w:hAnsi="Times New Roman" w:cs="Times New Roman"/>
        </w:rPr>
        <w:t>Sharpe Ratio, VaR</w:t>
      </w:r>
    </w:p>
    <w:p>
      <w:pPr>
        <w:spacing w:before="0" w:after="0"/>
      </w:pPr>
      <w:r>
        <w:rPr>
          <w:rFonts w:ascii="Times New Roman" w:hAnsi="Times New Roman"/>
          <w:b w:val="0"/>
          <w:i w:val="0"/>
          <w:sz w:val="17"/>
          <w:rFonts w:ascii="Times New Roman" w:hAnsi="Times New Roman" w:cs="Times New Roman"/>
        </w:rPr>
        <w:t>)</w:t>
      </w:r>
    </w:p>
    <w:p>
      <w:pPr>
        <w:spacing w:before="0" w:after="0"/>
      </w:pPr>
      <w:r>
        <w:rPr>
          <w:rFonts w:ascii="Times New Roman" w:hAnsi="Times New Roman"/>
          <w:b w:val="0"/>
          <w:i w:val="0"/>
          <w:sz w:val="17"/>
          <w:rFonts w:ascii="Times New Roman" w:hAnsi="Times New Roman" w:cs="Times New Roman"/>
        </w:rPr>
        <w:t>1:</w:t>
      </w:r>
    </w:p>
    <w:p>
      <w:pPr>
        <w:spacing w:before="0" w:after="0"/>
      </w:pPr>
      <w:r>
        <w:rPr>
          <w:rFonts w:ascii="Times New Roman" w:hAnsi="Times New Roman"/>
          <w:b w:val="0"/>
          <w:i w:val="0"/>
          <w:sz w:val="17"/>
          <w:rFonts w:ascii="Times New Roman" w:hAnsi="Times New Roman" w:cs="Times New Roman"/>
        </w:rPr>
        <w:t>// Layer 1: Data Ingestion</w:t>
      </w:r>
    </w:p>
    <w:p>
      <w:pPr>
        <w:spacing w:before="0" w:after="0"/>
      </w:pPr>
      <w:r>
        <w:rPr>
          <w:rFonts w:ascii="Times New Roman" w:hAnsi="Times New Roman"/>
          <w:b w:val="0"/>
          <w:i w:val="0"/>
          <w:sz w:val="17"/>
          <w:rFonts w:ascii="Times New Roman" w:hAnsi="Times New Roman" w:cs="Times New Roman"/>
        </w:rPr>
        <w:t>2: raw\_data ← BinanceAPI(symbol="BTCUSDT", interval="1h")</w:t>
      </w:r>
    </w:p>
    <w:p>
      <w:pPr>
        <w:spacing w:before="0" w:after="0"/>
      </w:pPr>
      <w:r>
        <w:rPr>
          <w:rFonts w:ascii="Times New Roman" w:hAnsi="Times New Roman"/>
          <w:b w:val="0"/>
          <w:i w:val="0"/>
          <w:sz w:val="17"/>
          <w:rFonts w:ascii="Times New Roman" w:hAnsi="Times New Roman" w:cs="Times New Roman"/>
        </w:rPr>
        <w:t>3:</w:t>
      </w:r>
    </w:p>
    <w:p>
      <w:pPr>
        <w:spacing w:before="0" w:after="0"/>
      </w:pPr>
      <w:r>
        <w:rPr>
          <w:rFonts w:ascii="Times New Roman" w:hAnsi="Times New Roman"/>
          <w:b w:val="0"/>
          <w:i w:val="0"/>
          <w:sz w:val="17"/>
          <w:rFonts w:ascii="Times New Roman" w:hAnsi="Times New Roman" w:cs="Times New Roman"/>
        </w:rPr>
        <w:t>4:</w:t>
      </w:r>
    </w:p>
    <w:p>
      <w:pPr>
        <w:spacing w:before="0" w:after="0"/>
      </w:pPr>
      <w:r>
        <w:rPr>
          <w:rFonts w:ascii="Times New Roman" w:hAnsi="Times New Roman"/>
          <w:b w:val="0"/>
          <w:i w:val="0"/>
          <w:sz w:val="17"/>
          <w:rFonts w:ascii="Times New Roman" w:hAnsi="Times New Roman" w:cs="Times New Roman"/>
        </w:rPr>
        <w:t>// Layer 2: ETL Transformation &amp; Feature Engineering</w:t>
      </w:r>
    </w:p>
    <w:p>
      <w:pPr>
        <w:spacing w:before="0" w:after="0"/>
      </w:pPr>
      <w:r>
        <w:rPr>
          <w:rFonts w:ascii="Times New Roman" w:hAnsi="Times New Roman"/>
          <w:b w:val="0"/>
          <w:i w:val="0"/>
          <w:sz w:val="17"/>
          <w:rFonts w:ascii="Times New Roman" w:hAnsi="Times New Roman" w:cs="Times New Roman"/>
        </w:rPr>
        <w:t>5: clean\_data ← PolynomialInterpolate(raw\_data)</w:t>
      </w:r>
    </w:p>
    <w:p>
      <w:pPr>
        <w:spacing w:before="0" w:after="0"/>
      </w:pPr>
      <w:r>
        <w:rPr>
          <w:rFonts w:ascii="Times New Roman" w:hAnsi="Times New Roman"/>
          <w:b w:val="0"/>
          <w:i w:val="0"/>
          <w:sz w:val="17"/>
          <w:rFonts w:ascii="Times New Roman" w:hAnsi="Times New Roman" w:cs="Times New Roman"/>
        </w:rPr>
        <w:t>6: Extracted\_Features ← GenerateIndicators(clean\_data)</w:t>
      </w:r>
    </w:p>
    <w:p>
      <w:pPr>
        <w:spacing w:before="0" w:after="0"/>
      </w:pPr>
      <w:r>
        <w:rPr>
          <w:rFonts w:ascii="Times New Roman" w:hAnsi="Times New Roman"/>
          <w:b w:val="0"/>
          <w:i w:val="0"/>
          <w:sz w:val="17"/>
          <w:rFonts w:ascii="Times New Roman" w:hAnsi="Times New Roman" w:cs="Times New Roman"/>
        </w:rPr>
        <w:t>// MACD, \sigma_t</w:t>
      </w:r>
    </w:p>
    <w:p>
      <w:pPr>
        <w:spacing w:before="0" w:after="0"/>
      </w:pPr>
      <w:r>
        <w:rPr>
          <w:rFonts w:ascii="Times New Roman" w:hAnsi="Times New Roman"/>
          <w:b w:val="0"/>
          <w:i w:val="0"/>
          <w:sz w:val="17"/>
          <w:rFonts w:ascii="Times New Roman" w:hAnsi="Times New Roman" w:cs="Times New Roman"/>
        </w:rPr>
        <w:t>7: Folds ← WalkForwardSplit(Extracted\_Features, train=720, test=168)</w:t>
      </w:r>
    </w:p>
    <w:p>
      <w:pPr>
        <w:spacing w:before="0" w:after="0"/>
      </w:pPr>
      <w:r>
        <w:rPr>
          <w:rFonts w:ascii="Times New Roman" w:hAnsi="Times New Roman"/>
          <w:b w:val="0"/>
          <w:i w:val="0"/>
          <w:sz w:val="17"/>
          <w:rFonts w:ascii="Times New Roman" w:hAnsi="Times New Roman" w:cs="Times New Roman"/>
        </w:rPr>
        <w:t>8:</w:t>
      </w:r>
    </w:p>
    <w:p>
      <w:pPr>
        <w:spacing w:before="0" w:after="0"/>
      </w:pPr>
      <w:r>
        <w:rPr>
          <w:rFonts w:ascii="Times New Roman" w:hAnsi="Times New Roman"/>
          <w:b w:val="0"/>
          <w:i w:val="0"/>
          <w:sz w:val="17"/>
          <w:rFonts w:ascii="Times New Roman" w:hAnsi="Times New Roman" w:cs="Times New Roman"/>
        </w:rPr>
        <w:t>9:</w:t>
      </w:r>
    </w:p>
    <w:p>
      <w:pPr>
        <w:spacing w:before="0" w:after="0"/>
      </w:pPr>
      <w:r>
        <w:rPr>
          <w:rFonts w:ascii="Times New Roman" w:hAnsi="Times New Roman"/>
          <w:b w:val="0"/>
          <w:i w:val="0"/>
          <w:sz w:val="17"/>
          <w:rFonts w:ascii="Times New Roman" w:hAnsi="Times New Roman" w:cs="Times New Roman"/>
        </w:rPr>
        <w:t>// Layer 3: ML Inference Regimes</w:t>
      </w:r>
    </w:p>
    <w:p>
      <w:pPr>
        <w:spacing w:before="0" w:after="0"/>
      </w:pPr>
      <w:r>
        <w:rPr>
          <w:rFonts w:ascii="Times New Roman" w:hAnsi="Times New Roman"/>
          <w:b w:val="0"/>
          <w:i w:val="0"/>
          <w:sz w:val="17"/>
          <w:rFonts w:ascii="Times New Roman" w:hAnsi="Times New Roman" w:cs="Times New Roman"/>
        </w:rPr>
        <w:t>10:</w:t>
      </w:r>
    </w:p>
    <w:p>
      <w:pPr>
        <w:spacing w:before="0" w:after="0"/>
      </w:pPr>
      <w:r>
        <w:rPr>
          <w:rFonts w:ascii="Times New Roman" w:hAnsi="Times New Roman"/>
          <w:b w:val="0"/>
          <w:i w:val="0"/>
          <w:sz w:val="17"/>
          <w:rFonts w:ascii="Times New Roman" w:hAnsi="Times New Roman" w:cs="Times New Roman"/>
        </w:rPr>
        <w:t>for</w:t>
      </w:r>
    </w:p>
    <w:p>
      <w:pPr>
        <w:spacing w:before="0" w:after="0"/>
      </w:pPr>
      <w:r>
        <w:rPr>
          <w:rFonts w:ascii="Times New Roman" w:hAnsi="Times New Roman"/>
          <w:b w:val="0"/>
          <w:i w:val="0"/>
          <w:sz w:val="17"/>
          <w:rFonts w:ascii="Times New Roman" w:hAnsi="Times New Roman" w:cs="Times New Roman"/>
        </w:rPr>
        <w:t>each validation\_fold ∈ Folds</w:t>
      </w:r>
    </w:p>
    <w:p>
      <w:pPr>
        <w:spacing w:before="0" w:after="0"/>
      </w:pPr>
      <w:r>
        <w:rPr>
          <w:rFonts w:ascii="Times New Roman" w:hAnsi="Times New Roman"/>
          <w:b w:val="0"/>
          <w:i w:val="0"/>
          <w:sz w:val="17"/>
          <w:rFonts w:ascii="Times New Roman" w:hAnsi="Times New Roman" w:cs="Times New Roman"/>
        </w:rPr>
        <w:t>do</w:t>
      </w:r>
    </w:p>
    <w:p>
      <w:pPr>
        <w:spacing w:before="0" w:after="0"/>
      </w:pPr>
      <w:r>
        <w:rPr>
          <w:rFonts w:ascii="Times New Roman" w:hAnsi="Times New Roman"/>
          <w:b w:val="0"/>
          <w:i w:val="0"/>
          <w:sz w:val="17"/>
          <w:rFonts w:ascii="Times New Roman" w:hAnsi="Times New Roman" w:cs="Times New Roman"/>
        </w:rPr>
        <w:t>11:     scale\_params ← MinMaxFit(validation\_fold.train)</w:t>
      </w:r>
    </w:p>
    <w:p>
      <w:pPr>
        <w:spacing w:before="0" w:after="0"/>
      </w:pPr>
      <w:r>
        <w:rPr>
          <w:rFonts w:ascii="Times New Roman" w:hAnsi="Times New Roman"/>
          <w:b w:val="0"/>
          <w:i w:val="0"/>
          <w:sz w:val="17"/>
          <w:rFonts w:ascii="Times New Roman" w:hAnsi="Times New Roman" w:cs="Times New Roman"/>
        </w:rPr>
        <w:t>12:     weights ← TrainNetwork(validation\_fold.train, scale\_params)</w:t>
      </w:r>
    </w:p>
    <w:p>
      <w:pPr>
        <w:spacing w:before="0" w:after="0"/>
      </w:pPr>
      <w:r>
        <w:rPr>
          <w:rFonts w:ascii="Times New Roman" w:hAnsi="Times New Roman"/>
          <w:b w:val="0"/>
          <w:i w:val="0"/>
          <w:sz w:val="17"/>
          <w:rFonts w:ascii="Times New Roman" w:hAnsi="Times New Roman" w:cs="Times New Roman"/>
        </w:rPr>
        <w:t>13:     predict\_tensor ← weights.predict(validation\_fold.test)</w:t>
      </w:r>
    </w:p>
    <w:p>
      <w:pPr>
        <w:spacing w:before="0" w:after="0"/>
      </w:pPr>
      <w:r>
        <w:rPr>
          <w:rFonts w:ascii="Times New Roman" w:hAnsi="Times New Roman"/>
          <w:b w:val="0"/>
          <w:i w:val="0"/>
          <w:sz w:val="17"/>
          <w:rFonts w:ascii="Times New Roman" w:hAnsi="Times New Roman" w:cs="Times New Roman"/>
        </w:rPr>
        <w:t>14:</w:t>
      </w:r>
    </w:p>
    <w:p>
      <w:pPr>
        <w:spacing w:before="0" w:after="0"/>
      </w:pPr>
      <w:r>
        <w:rPr>
          <w:rFonts w:ascii="Times New Roman" w:hAnsi="Times New Roman"/>
          <w:b w:val="0"/>
          <w:i w:val="0"/>
          <w:sz w:val="17"/>
          <w:rFonts w:ascii="Times New Roman" w:hAnsi="Times New Roman" w:cs="Times New Roman"/>
        </w:rPr>
        <w:t>end for</w:t>
      </w:r>
    </w:p>
    <w:p>
      <w:pPr>
        <w:spacing w:before="0" w:after="0"/>
      </w:pPr>
      <w:r>
        <w:rPr>
          <w:rFonts w:ascii="Times New Roman" w:hAnsi="Times New Roman"/>
          <w:b w:val="0"/>
          <w:i w:val="0"/>
          <w:sz w:val="17"/>
          <w:rFonts w:ascii="Times New Roman" w:hAnsi="Times New Roman" w:cs="Times New Roman"/>
        </w:rPr>
        <w:t>15:</w:t>
      </w:r>
    </w:p>
    <w:p>
      <w:pPr>
        <w:spacing w:before="0" w:after="0"/>
      </w:pPr>
      <w:r>
        <w:rPr>
          <w:rFonts w:ascii="Times New Roman" w:hAnsi="Times New Roman"/>
          <w:b w:val="0"/>
          <w:i w:val="0"/>
          <w:sz w:val="17"/>
          <w:rFonts w:ascii="Times New Roman" w:hAnsi="Times New Roman" w:cs="Times New Roman"/>
        </w:rPr>
        <w:t>16:</w:t>
      </w:r>
    </w:p>
    <w:p>
      <w:pPr>
        <w:spacing w:before="0" w:after="0"/>
      </w:pPr>
      <w:r>
        <w:rPr>
          <w:rFonts w:ascii="Times New Roman" w:hAnsi="Times New Roman"/>
          <w:b w:val="0"/>
          <w:i w:val="0"/>
          <w:sz w:val="17"/>
          <w:rFonts w:ascii="Times New Roman" w:hAnsi="Times New Roman" w:cs="Times New Roman"/>
        </w:rPr>
        <w:t>// Layer 4: BI Dashboard Integration &amp; Extraction</w:t>
      </w:r>
    </w:p>
    <w:p>
      <w:pPr>
        <w:spacing w:before="0" w:after="0"/>
      </w:pPr>
      <w:r>
        <w:rPr>
          <w:rFonts w:ascii="Times New Roman" w:hAnsi="Times New Roman"/>
          <w:b w:val="0"/>
          <w:i w:val="0"/>
          <w:sz w:val="17"/>
          <w:rFonts w:ascii="Times New Roman" w:hAnsi="Times New Roman" w:cs="Times New Roman"/>
        </w:rPr>
        <w:t>17: residual\_vectors ← CalculateResiduals(actual, predict\_tensor)</w:t>
      </w:r>
    </w:p>
    <w:p>
      <w:pPr>
        <w:spacing w:before="0" w:after="0"/>
      </w:pPr>
      <w:r>
        <w:rPr>
          <w:rFonts w:ascii="Times New Roman" w:hAnsi="Times New Roman"/>
          <w:b w:val="0"/>
          <w:i w:val="0"/>
          <w:sz w:val="17"/>
          <w:rFonts w:ascii="Times New Roman" w:hAnsi="Times New Roman" w:cs="Times New Roman"/>
        </w:rPr>
        <w:t>18: PostgreSQL\_DataMart.INSERT(residual\_vectors)</w:t>
      </w:r>
    </w:p>
    <w:p>
      <w:pPr>
        <w:spacing w:before="0" w:after="0"/>
      </w:pPr>
      <w:r>
        <w:rPr>
          <w:rFonts w:ascii="Times New Roman" w:hAnsi="Times New Roman"/>
          <w:b w:val="0"/>
          <w:i w:val="0"/>
          <w:sz w:val="17"/>
          <w:rFonts w:ascii="Times New Roman" w:hAnsi="Times New Roman" w:cs="Times New Roman"/>
        </w:rPr>
        <w:t>19: PowerBI\_Dashboard.Render(Sharpe(residual\_vectors), VaR(residual\_vectors))</w:t>
      </w:r>
    </w:p>
    <w:p>
      <w:pPr>
        <w:pBdr>
          <w:bottom w:val="double" w:sz="6" w:color="000000"/>
        </w:pBdr>
        <w:spacing w:before="0" w:after="60"/>
      </w:pPr>
    </w:p>
    <w:p>
      <w:pPr>
        <w:jc w:val="both"/>
        <w:ind w:firstLine="216"/>
        <w:spacing w:before="0" w:after="60"/>
      </w:pPr>
      <w:r>
        <w:rPr>
          <w:rFonts w:ascii="Times New Roman" w:hAnsi="Times New Roman"/>
          <w:b w:val="0"/>
          <w:i w:val="0"/>
          <w:sz w:val="20"/>
          <w:rFonts w:ascii="Times New Roman" w:hAnsi="Times New Roman" w:cs="Times New Roman"/>
        </w:rPr>
        <w:t>Min-Max Scaling (Equation 1) anchored variables exclusively to localized training folds.</w:t>
      </w:r>
    </w:p>
    <w:p>
      <w:pPr>
        <w:jc w:val="center"/>
        <w:spacing w:before="60" w:after="60"/>
      </w:pPr>
      <w:r>
        <w:rPr>
          <w:rFonts w:ascii="Times New Roman" w:hAnsi="Times New Roman"/>
          <w:b w:val="0"/>
          <w:i/>
          <w:sz w:val="18"/>
          <w:rFonts w:ascii="Times New Roman" w:hAnsi="Times New Roman" w:cs="Times New Roman"/>
        </w:rPr>
        <w:t xml:space="preserve">  X_{\text{norm}} = \frac{X - X_{\min}}{X_{\max} - X_{\min}} {(1)}  (1)</w:t>
      </w:r>
    </w:p>
    <w:p>
      <w:pPr>
        <w:jc w:val="center"/>
        <w:spacing w:before="60" w:after="30"/>
      </w:pPr>
      <w:r>
        <w:drawing>
          <wp:inline xmlns:a="http://schemas.openxmlformats.org/drawingml/2006/main" xmlns:pic="http://schemas.openxmlformats.org/drawingml/2006/picture">
            <wp:extent cx="2560320" cy="9337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60320" cy="933784"/>
                    </a:xfrm>
                    <a:prstGeom prst="rect"/>
                  </pic:spPr>
                </pic:pic>
              </a:graphicData>
            </a:graphic>
          </wp:inline>
        </w:drawing>
      </w:r>
    </w:p>
    <w:p>
      <w:pPr>
        <w:jc w:val="center"/>
        <w:spacing w:before="0" w:after="60"/>
      </w:pPr>
      <w:r>
        <w:rPr>
          <w:rFonts w:ascii="Times New Roman" w:hAnsi="Times New Roman"/>
          <w:b w:val="0"/>
          <w:i w:val="0"/>
          <w:sz w:val="16"/>
          <w:rFonts w:ascii="Times New Roman" w:hAnsi="Times New Roman" w:cs="Times New Roman"/>
        </w:rPr>
        <w:t>Fig. 1. Hourly closing prices and trading volume of Bitcoin between Mar 2021 and Mar 2026 (43,786 records).</w:t>
      </w:r>
    </w:p>
    <w:p>
      <w:pPr>
        <w:jc w:val="left"/>
        <w:spacing w:before="80" w:after="40"/>
      </w:pPr>
      <w:r>
        <w:rPr>
          <w:rFonts w:ascii="Times New Roman" w:hAnsi="Times New Roman"/>
          <w:b/>
          <w:i/>
          <w:sz w:val="20"/>
          <w:rFonts w:ascii="Times New Roman" w:hAnsi="Times New Roman" w:cs="Times New Roman"/>
        </w:rPr>
        <w:t>C. Real-Time BI Implementation Specifications</w:t>
      </w:r>
    </w:p>
    <w:p>
      <w:pPr>
        <w:jc w:val="both"/>
        <w:ind w:firstLine="216"/>
        <w:spacing w:before="0" w:after="60"/>
      </w:pPr>
      <w:r>
        <w:rPr>
          <w:rFonts w:ascii="Times New Roman" w:hAnsi="Times New Roman"/>
          <w:b w:val="0"/>
          <w:i w:val="0"/>
          <w:sz w:val="20"/>
          <w:rFonts w:ascii="Times New Roman" w:hAnsi="Times New Roman"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jc w:val="center"/>
        <w:spacing w:before="120" w:after="60"/>
      </w:pPr>
      <w:r>
        <w:rPr>
          <w:rFonts w:ascii="Times New Roman" w:hAnsi="Times New Roman"/>
          <w:b/>
          <w:i w:val="0"/>
          <w:sz w:val="20"/>
          <w:rFonts w:ascii="Times New Roman" w:hAnsi="Times New Roman" w:cs="Times New Roman"/>
        </w:rPr>
        <w:t>IV. FEATURE ENGINEERING AND SHAP ANALYSIS</w:t>
      </w:r>
    </w:p>
    <w:p>
      <w:pPr>
        <w:jc w:val="both"/>
        <w:ind w:firstLine="216"/>
        <w:spacing w:before="0" w:after="60"/>
      </w:pPr>
      <w:r>
        <w:rPr>
          <w:rFonts w:ascii="Times New Roman" w:hAnsi="Times New Roman"/>
          <w:b w:val="0"/>
          <w:i w:val="0"/>
          <w:sz w:val="20"/>
          <w:rFonts w:ascii="Times New Roman" w:hAnsi="Times New Roman" w:cs="Times New Roman"/>
        </w:rPr>
        <w:t>Depending categorically on univariate sequences ignores market momentum velocity [33]. Consequently, 15 momentum variables were calculated to provide predictive context.</w:t>
      </w:r>
    </w:p>
    <w:p>
      <w:pPr>
        <w:jc w:val="left"/>
        <w:spacing w:before="80" w:after="40"/>
      </w:pPr>
      <w:r>
        <w:rPr>
          <w:rFonts w:ascii="Times New Roman" w:hAnsi="Times New Roman"/>
          <w:b/>
          <w:i/>
          <w:sz w:val="20"/>
          <w:rFonts w:ascii="Times New Roman" w:hAnsi="Times New Roman" w:cs="Times New Roman"/>
        </w:rPr>
        <w:t>A. Technical Indicators computation</w:t>
      </w:r>
    </w:p>
    <w:p>
      <w:pPr>
        <w:jc w:val="both"/>
        <w:ind w:firstLine="216"/>
        <w:spacing w:before="0" w:after="60"/>
      </w:pPr>
      <w:r>
        <w:rPr>
          <w:rFonts w:ascii="Times New Roman" w:hAnsi="Times New Roman"/>
          <w:b w:val="0"/>
          <w:i w:val="0"/>
          <w:sz w:val="20"/>
          <w:rFonts w:ascii="Times New Roman" w:hAnsi="Times New Roman" w:cs="Times New Roman"/>
        </w:rPr>
        <w:t>Moving Average Convergence Divergence (MACD) limits were applied [34]:</w:t>
      </w:r>
    </w:p>
    <w:p>
      <w:pPr>
        <w:jc w:val="center"/>
        <w:spacing w:before="60" w:after="60"/>
      </w:pPr>
      <w:r>
        <w:rPr>
          <w:rFonts w:ascii="Times New Roman" w:hAnsi="Times New Roman"/>
          <w:b w:val="0"/>
          <w:i/>
          <w:sz w:val="18"/>
          <w:rFonts w:ascii="Times New Roman" w:hAnsi="Times New Roman" w:cs="Times New Roman"/>
        </w:rPr>
        <w:t xml:space="preserve">  MACD = EMA_{12}(P) - EMA_{26}(P) {(2)}  (2)</w:t>
      </w:r>
    </w:p>
    <w:p>
      <w:pPr>
        <w:jc w:val="both"/>
        <w:ind w:firstLine="216"/>
        <w:spacing w:before="0" w:after="60"/>
      </w:pPr>
      <w:r>
        <w:rPr>
          <w:rFonts w:ascii="Times New Roman" w:hAnsi="Times New Roman"/>
          <w:b w:val="0"/>
          <w:i w:val="0"/>
          <w:sz w:val="20"/>
          <w:rFonts w:ascii="Times New Roman" w:hAnsi="Times New Roman" w:cs="Times New Roman"/>
        </w:rPr>
        <w:t>Logarithmic normalization arrays defined rolling standard deviation ([\sigma_t]):</w:t>
      </w:r>
    </w:p>
    <w:p>
      <w:pPr>
        <w:jc w:val="center"/>
        <w:spacing w:before="60" w:after="60"/>
      </w:pPr>
      <w:r>
        <w:rPr>
          <w:rFonts w:ascii="Times New Roman" w:hAnsi="Times New Roman"/>
          <w:b w:val="0"/>
          <w:i/>
          <w:sz w:val="18"/>
          <w:rFonts w:ascii="Times New Roman" w:hAnsi="Times New Roman" w:cs="Times New Roman"/>
        </w:rPr>
        <w:t xml:space="preserve">  \sigma_t = \sqrt{\frac{1}{n} \sum (\Delta P_i - \bar{P})^2} {(3)}  (3)</w:t>
      </w:r>
    </w:p>
    <w:p>
      <w:pPr>
        <w:jc w:val="left"/>
        <w:spacing w:before="80" w:after="40"/>
      </w:pPr>
      <w:r>
        <w:rPr>
          <w:rFonts w:ascii="Times New Roman" w:hAnsi="Times New Roman"/>
          <w:b/>
          <w:i/>
          <w:sz w:val="20"/>
          <w:rFonts w:ascii="Times New Roman" w:hAnsi="Times New Roman" w:cs="Times New Roman"/>
        </w:rPr>
        <w:t>B. Assessing Explicability via SHAP</w:t>
      </w:r>
    </w:p>
    <w:p>
      <w:pPr>
        <w:jc w:val="both"/>
        <w:ind w:firstLine="216"/>
        <w:spacing w:before="0" w:after="60"/>
      </w:pPr>
      <w:r>
        <w:rPr>
          <w:rFonts w:ascii="Times New Roman" w:hAnsi="Times New Roman"/>
          <w:b w:val="0"/>
          <w:i w:val="0"/>
          <w:sz w:val="20"/>
          <w:rFonts w:ascii="Times New Roman" w:hAnsi="Times New Roman" w:cs="Times New Roman"/>
        </w:rPr>
        <w:t>Assessing dense-layer activation required SHapley Additive exPlanations (SHAP) evaluations [35]. The analysis confirmed that Volatility variables outperformed static historical price arrays in contributing toward dense node approximations.</w:t>
      </w:r>
    </w:p>
    <w:p>
      <w:pPr>
        <w:jc w:val="center"/>
        <w:spacing w:before="120" w:after="60"/>
      </w:pPr>
      <w:r>
        <w:rPr>
          <w:rFonts w:ascii="Times New Roman" w:hAnsi="Times New Roman"/>
          <w:b/>
          <w:i w:val="0"/>
          <w:sz w:val="20"/>
          <w:rFonts w:ascii="Times New Roman" w:hAnsi="Times New Roman" w:cs="Times New Roman"/>
        </w:rPr>
        <w:t>V. ALGORITHMIC FORMULATIONS</w:t>
      </w:r>
    </w:p>
    <w:p>
      <w:pPr>
        <w:jc w:val="both"/>
        <w:ind w:firstLine="216"/>
        <w:spacing w:before="0" w:after="60"/>
      </w:pPr>
      <w:r>
        <w:rPr>
          <w:rFonts w:ascii="Times New Roman" w:hAnsi="Times New Roman"/>
          <w:b w:val="0"/>
          <w:i w:val="0"/>
          <w:sz w:val="20"/>
          <w:rFonts w:ascii="Times New Roman" w:hAnsi="Times New Roman" w:cs="Times New Roman"/>
        </w:rPr>
        <w:t>Evaluations encompassed a 720-hour (30-day) training step paired against a 168-hour (7-day) projection window. Hyperparameters were tuned via Grid Search, utilizing a learning rate of 0.001 (Adam optimizer) alongside a dropout value of 0.2.</w:t>
      </w:r>
    </w:p>
    <w:p>
      <w:pPr>
        <w:jc w:val="left"/>
        <w:spacing w:before="80" w:after="40"/>
      </w:pPr>
      <w:r>
        <w:rPr>
          <w:rFonts w:ascii="Times New Roman" w:hAnsi="Times New Roman"/>
          <w:b/>
          <w:i/>
          <w:sz w:val="20"/>
          <w:rFonts w:ascii="Times New Roman" w:hAnsi="Times New Roman" w:cs="Times New Roman"/>
        </w:rPr>
        <w:t>A. Baselines: Sequences and Trees</w:t>
      </w:r>
    </w:p>
    <w:p>
      <w:pPr>
        <w:jc w:val="both"/>
        <w:ind w:firstLine="216"/>
        <w:spacing w:before="0" w:after="60"/>
      </w:pPr>
      <w:r>
        <w:rPr>
          <w:rFonts w:ascii="Times New Roman" w:hAnsi="Times New Roman"/>
          <w:b w:val="0"/>
          <w:i w:val="0"/>
          <w:sz w:val="20"/>
          <w:rFonts w:ascii="Times New Roman" w:hAnsi="Times New Roman" w:cs="Times New Roman"/>
        </w:rPr>
        <w:t>XGBoost functions as the core benchmark non-sequential regressor. Correspondingly, LSTMs operate relying on forget gate arrays ([f_t]):</w:t>
      </w:r>
    </w:p>
    <w:p>
      <w:pPr>
        <w:jc w:val="center"/>
        <w:spacing w:before="60" w:after="60"/>
      </w:pPr>
      <w:r>
        <w:rPr>
          <w:rFonts w:ascii="Times New Roman" w:hAnsi="Times New Roman"/>
          <w:b w:val="0"/>
          <w:i/>
          <w:sz w:val="18"/>
          <w:rFonts w:ascii="Times New Roman" w:hAnsi="Times New Roman" w:cs="Times New Roman"/>
        </w:rPr>
        <w:t xml:space="preserve">  f_t = \sigma(W_f \cdot [h_{t-1}, x_t] + b_f) {(4)}  (4)</w:t>
      </w:r>
    </w:p>
    <w:p>
      <w:pPr>
        <w:jc w:val="both"/>
        <w:ind w:firstLine="216"/>
        <w:spacing w:before="0" w:after="60"/>
      </w:pPr>
      <w:r>
        <w:rPr>
          <w:rFonts w:ascii="Times New Roman" w:hAnsi="Times New Roman"/>
          <w:b w:val="0"/>
          <w:i w:val="0"/>
          <w:sz w:val="20"/>
          <w:rFonts w:ascii="Times New Roman" w:hAnsi="Times New Roman" w:cs="Times New Roman"/>
        </w:rPr>
        <w:t>The GRU simplifies parameter boundaries utilizing direct Update mechanisms ([z_t]):</w:t>
      </w:r>
    </w:p>
    <w:p>
      <w:pPr>
        <w:jc w:val="center"/>
        <w:spacing w:before="60" w:after="60"/>
      </w:pPr>
      <w:r>
        <w:rPr>
          <w:rFonts w:ascii="Times New Roman" w:hAnsi="Times New Roman"/>
          <w:b w:val="0"/>
          <w:i/>
          <w:sz w:val="18"/>
          <w:rFonts w:ascii="Times New Roman" w:hAnsi="Times New Roman" w:cs="Times New Roman"/>
        </w:rPr>
        <w:t xml:space="preserve">  z_t = \sigma(W_z \cdot [h_{t-1}, x_t] + b_z) {(5)}  (5)</w:t>
      </w:r>
    </w:p>
    <w:p>
      <w:pPr>
        <w:jc w:val="left"/>
        <w:spacing w:before="80" w:after="40"/>
      </w:pPr>
      <w:r>
        <w:rPr>
          <w:rFonts w:ascii="Times New Roman" w:hAnsi="Times New Roman"/>
          <w:b/>
          <w:i/>
          <w:sz w:val="20"/>
          <w:rFonts w:ascii="Times New Roman" w:hAnsi="Times New Roman" w:cs="Times New Roman"/>
        </w:rPr>
        <w:t>B. Informer Transformer Model</w:t>
      </w:r>
    </w:p>
    <w:p>
      <w:pPr>
        <w:jc w:val="both"/>
        <w:ind w:firstLine="216"/>
        <w:spacing w:before="0" w:after="60"/>
      </w:pPr>
      <w:r>
        <w:rPr>
          <w:rFonts w:ascii="Times New Roman" w:hAnsi="Times New Roman"/>
          <w:b w:val="0"/>
          <w:i w:val="0"/>
          <w:sz w:val="20"/>
          <w:rFonts w:ascii="Times New Roman" w:hAnsi="Times New Roman" w:cs="Times New Roman"/>
        </w:rPr>
        <w:t>The state-of-the-art Informer architecture abandons chronological stepwise recursion. By utilizing ProbSparse Self-Attention (\(O(L \log L)\)), it evaluates relationships between sequence tokens [21]:</w:t>
      </w:r>
    </w:p>
    <w:p>
      <w:pPr>
        <w:jc w:val="center"/>
        <w:spacing w:before="60" w:after="60"/>
      </w:pPr>
      <w:r>
        <w:rPr>
          <w:rFonts w:ascii="Times New Roman" w:hAnsi="Times New Roman"/>
          <w:b w:val="0"/>
          <w:i/>
          <w:sz w:val="18"/>
          <w:rFonts w:ascii="Times New Roman" w:hAnsi="Times New Roman" w:cs="Times New Roman"/>
        </w:rPr>
        <w:t xml:space="preserve">  \text{Attention}(Q, K, V) = \text{Softmax}\left(\frac{\bar{Q} K^T}{\sqrt{d}}\right) V {(6)}  (6)</w:t>
      </w:r>
    </w:p>
    <w:p>
      <w:pPr>
        <w:jc w:val="both"/>
        <w:ind w:firstLine="216"/>
        <w:spacing w:before="0" w:after="60"/>
      </w:pPr>
      <w:r>
        <w:rPr>
          <w:rFonts w:ascii="Times New Roman" w:hAnsi="Times New Roman"/>
          <w:b w:val="0"/>
          <w:i w:val="0"/>
          <w:sz w:val="20"/>
          <w:rFonts w:ascii="Times New Roman" w:hAnsi="Times New Roman" w:cs="Times New Roman"/>
        </w:rPr>
        <w:t>where [\bar{Q}] isolates selectively dominant query vectors, dramatically increasing temporal extraction speeds across large matrices.</w:t>
      </w:r>
    </w:p>
    <w:p>
      <w:pPr>
        <w:jc w:val="center"/>
        <w:spacing w:before="120" w:after="60"/>
      </w:pPr>
      <w:r>
        <w:rPr>
          <w:rFonts w:ascii="Times New Roman" w:hAnsi="Times New Roman"/>
          <w:b/>
          <w:i w:val="0"/>
          <w:sz w:val="20"/>
          <w:rFonts w:ascii="Times New Roman" w:hAnsi="Times New Roman" w:cs="Times New Roman"/>
        </w:rPr>
        <w:t>VI. EMPIRICAL RESULTS AND CRITICAL ANALYSIS</w:t>
      </w:r>
    </w:p>
    <w:p>
      <w:pPr>
        <w:jc w:val="both"/>
        <w:ind w:firstLine="216"/>
        <w:spacing w:before="0" w:after="60"/>
      </w:pPr>
      <w:r>
        <w:rPr>
          <w:rFonts w:ascii="Times New Roman" w:hAnsi="Times New Roman"/>
          <w:b w:val="0"/>
          <w:i w:val="0"/>
          <w:sz w:val="20"/>
          <w:rFonts w:ascii="Times New Roman" w:hAnsi="Times New Roman" w:cs="Times New Roman"/>
        </w:rPr>
        <w:t>Comparative structural inference behaviors evaluated universally across the independent 168-hour walk-forward arrays are provided in Fig. 2.</w:t>
      </w:r>
    </w:p>
    <w:p>
      <w:pPr>
        <w:jc w:val="center"/>
        <w:spacing w:before="60" w:after="30"/>
      </w:pPr>
      <w:r>
        <w:drawing>
          <wp:inline xmlns:a="http://schemas.openxmlformats.org/drawingml/2006/main" xmlns:pic="http://schemas.openxmlformats.org/drawingml/2006/picture">
            <wp:extent cx="2560320" cy="12591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60320" cy="1259116"/>
                    </a:xfrm>
                    <a:prstGeom prst="rect"/>
                  </pic:spPr>
                </pic:pic>
              </a:graphicData>
            </a:graphic>
          </wp:inline>
        </w:drawing>
      </w:r>
    </w:p>
    <w:p>
      <w:pPr>
        <w:jc w:val="center"/>
        <w:spacing w:before="0" w:after="60"/>
      </w:pPr>
      <w:r>
        <w:rPr>
          <w:rFonts w:ascii="Times New Roman" w:hAnsi="Times New Roman"/>
          <w:b w:val="0"/>
          <w:i w:val="0"/>
          <w:sz w:val="16"/>
          <w:rFonts w:ascii="Times New Roman" w:hAnsi="Times New Roman" w:cs="Times New Roman"/>
        </w:rPr>
        <w:t>Fig. 2. Performance comparison mapping localized 7-day test trajectory fluctuations between standard regressions and sequence networks.</w:t>
      </w:r>
    </w:p>
    <w:p>
      <w:pPr>
        <w:jc w:val="left"/>
        <w:spacing w:before="80" w:after="40"/>
      </w:pPr>
      <w:r>
        <w:rPr>
          <w:rFonts w:ascii="Times New Roman" w:hAnsi="Times New Roman"/>
          <w:b/>
          <w:i/>
          <w:sz w:val="20"/>
          <w:rFonts w:ascii="Times New Roman" w:hAnsi="Times New Roman" w:cs="Times New Roman"/>
        </w:rPr>
        <w:t>A. Validation Across Model Topologies</w:t>
      </w:r>
    </w:p>
    <w:p>
      <w:pPr>
        <w:jc w:val="both"/>
        <w:ind w:firstLine="216"/>
        <w:spacing w:before="0" w:after="60"/>
      </w:pPr>
      <w:r>
        <w:rPr>
          <w:rFonts w:ascii="Times New Roman" w:hAnsi="Times New Roman"/>
          <w:b w:val="0"/>
          <w:i w:val="0"/>
          <w:sz w:val="20"/>
          <w:rFonts w:ascii="Times New Roman" w:hAnsi="Times New Roman" w:cs="Times New Roman"/>
        </w:rPr>
        <w:t>Table I presents performance averages, including 95% Confidence Intervals (Standard Deviation ±). 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pPr>
        <w:jc w:val="both"/>
        <w:ind w:firstLine="216"/>
        <w:spacing w:before="0" w:after="60"/>
      </w:pPr>
      <w:r>
        <w:rPr>
          <w:rFonts w:ascii="Times New Roman" w:hAnsi="Times New Roman"/>
          <w:b w:val="0"/>
          <w:i w:val="0"/>
          <w:sz w:val="20"/>
          <w:rFonts w:ascii="Times New Roman" w:hAnsi="Times New Roman" w:cs="Times New Roman"/>
        </w:rPr>
        <w:t>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60" w:after="60"/>
      </w:pPr>
      <w:r>
        <w:rPr>
          <w:rFonts w:ascii="Times New Roman" w:hAnsi="Times New Roman"/>
          <w:b w:val="0"/>
          <w:i/>
          <w:sz w:val="18"/>
          <w:rFonts w:ascii="Times New Roman" w:hAnsi="Times New Roman" w:cs="Times New Roman"/>
        </w:rPr>
        <w:t xml:space="preserve">  DM = \frac{\bar{d}}{\sqrt{\hat{V}_{\bar{d}}/T}} {(7)}  (7)</w:t>
      </w:r>
    </w:p>
    <w:p>
      <w:pPr>
        <w:jc w:val="both"/>
        <w:ind w:firstLine="216"/>
        <w:spacing w:before="0" w:after="60"/>
      </w:pPr>
      <w:r>
        <w:rPr>
          <w:rFonts w:ascii="Times New Roman" w:hAnsi="Times New Roman"/>
          <w:b w:val="0"/>
          <w:i w:val="0"/>
          <w:sz w:val="20"/>
          <w:rFonts w:ascii="Times New Roman" w:hAnsi="Times New Roman"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80" w:after="20"/>
        <w:spacing w:before="0" w:after="80"/>
      </w:pPr>
      <w:r>
        <w:rPr>
          <w:rFonts w:ascii="Times New Roman" w:hAnsi="Times New Roman"/>
          <w:b/>
          <w:i w:val="0"/>
          <w:sz w:val="16"/>
          <w:rFonts w:ascii="Times New Roman" w:hAnsi="Times New Roman" w:cs="Times New Roman"/>
        </w:rPr>
        <w:t>Table I. Quantitative Loss Benchmarking Across Algorithmic Walk-Forward Layers</w:t>
      </w:r>
    </w:p>
    <w:tbl>
      <w:tblPr>
        <w:tblStyle w:val="TableGrid"/>
        <w:tblW w:type="auto" w:w="0"/>
        <w:tblLook w:firstColumn="1" w:firstRow="1" w:lastColumn="0" w:lastRow="0" w:noHBand="0" w:noVBand="1" w:val="04A0"/>
      </w:tblPr>
      <w:tblGrid>
        <w:gridCol w:w="2520"/>
        <w:gridCol w:w="2520"/>
        <w:gridCol w:w="2520"/>
        <w:gridCol w:w="2520"/>
      </w:tblGrid>
      <w:tr>
        <w:trPr/>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Algorithmic Parameter</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Mean RMSE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Absolute MAE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MAPE (%)</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Base (XGB)</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0.1524 \(\pm\) 0.0068</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0.1260 \(\pm\) 0.0055</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16.50%</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Informer (Attention)</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0.1321 \(\pm\) 0.0081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0.1119 \(\pm\) 0.0072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14.82%</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 Topography</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0.1145 \(\pm\) 0.0051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0.1008 \(\pm\) 0.0042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13.96%</w:t>
            </w:r>
          </w:p>
        </w:tc>
      </w:tr>
      <w:tr>
        <w:trPr/>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 Mechanism</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\(\pm\) 0.0034</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0.0948 \(\pm\) 0.0028</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13.13%</w:t>
            </w:r>
          </w:p>
        </w:tc>
      </w:tr>
    </w:tbl>
    <w:p>
      <w:pPr>
        <w:jc w:val="left"/>
        <w:spacing w:before="80" w:after="40"/>
      </w:pPr>
      <w:r>
        <w:rPr>
          <w:rFonts w:ascii="Times New Roman" w:hAnsi="Times New Roman"/>
          <w:b/>
          <w:i/>
          <w:sz w:val="20"/>
          <w:rFonts w:ascii="Times New Roman" w:hAnsi="Times New Roman" w:cs="Times New Roman"/>
        </w:rPr>
        <w:t>B. Error Distributions and Macro-Regime Anomalies</w:t>
      </w:r>
    </w:p>
    <w:p>
      <w:pPr>
        <w:jc w:val="both"/>
        <w:ind w:firstLine="216"/>
        <w:spacing w:before="0" w:after="60"/>
      </w:pPr>
      <w:r>
        <w:rPr>
          <w:rFonts w:ascii="Times New Roman" w:hAnsi="Times New Roman"/>
          <w:b w:val="0"/>
          <w:i w:val="0"/>
          <w:sz w:val="20"/>
          <w:rFonts w:ascii="Times New Roman" w:hAnsi="Times New Roman"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60" w:after="30"/>
      </w:pPr>
      <w:r>
        <w:drawing>
          <wp:inline xmlns:a="http://schemas.openxmlformats.org/drawingml/2006/main" xmlns:pic="http://schemas.openxmlformats.org/drawingml/2006/picture">
            <wp:extent cx="2560320" cy="9384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938405"/>
                    </a:xfrm>
                    <a:prstGeom prst="rect"/>
                  </pic:spPr>
                </pic:pic>
              </a:graphicData>
            </a:graphic>
          </wp:inline>
        </w:drawing>
      </w:r>
    </w:p>
    <w:p>
      <w:pPr>
        <w:jc w:val="center"/>
        <w:spacing w:before="0" w:after="60"/>
      </w:pPr>
      <w:r>
        <w:rPr>
          <w:rFonts w:ascii="Times New Roman" w:hAnsi="Times New Roman"/>
          <w:b w:val="0"/>
          <w:i w:val="0"/>
          <w:sz w:val="16"/>
          <w:rFonts w:ascii="Times New Roman" w:hAnsi="Times New Roman" w:cs="Times New Roman"/>
        </w:rPr>
        <w:t>Fig. 3. Statistical configuration distribution illustrating localized error clusters surrounding baseline GRU boundaries against extreme +3\(\sigma\) tail-ends.</w:t>
      </w:r>
    </w:p>
    <w:p>
      <w:pPr>
        <w:jc w:val="left"/>
        <w:spacing w:before="80" w:after="40"/>
      </w:pPr>
      <w:r>
        <w:rPr>
          <w:rFonts w:ascii="Times New Roman" w:hAnsi="Times New Roman"/>
          <w:b/>
          <w:i/>
          <w:sz w:val="20"/>
          <w:rFonts w:ascii="Times New Roman" w:hAnsi="Times New Roman" w:cs="Times New Roman"/>
        </w:rPr>
        <w:t>C. Operational Microsoft Power BI Prototype Verification</w:t>
      </w:r>
    </w:p>
    <w:p>
      <w:pPr>
        <w:jc w:val="both"/>
        <w:ind w:firstLine="216"/>
        <w:spacing w:before="0" w:after="60"/>
      </w:pPr>
      <w:r>
        <w:rPr>
          <w:rFonts w:ascii="Times New Roman" w:hAnsi="Times New Roman"/>
          <w:b w:val="0"/>
          <w:i w:val="0"/>
          <w:sz w:val="20"/>
          <w:rFonts w:ascii="Times New Roman" w:hAnsi="Times New Roman"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ind w:firstLine="216"/>
        <w:spacing w:before="0" w:after="60"/>
      </w:pPr>
      <w:r>
        <w:rPr>
          <w:rFonts w:ascii="Times New Roman" w:hAnsi="Times New Roman"/>
          <w:b w:val="0"/>
          <w:i w:val="0"/>
          <w:sz w:val="20"/>
          <w:rFonts w:ascii="Times New Roman" w:hAnsi="Times New Roman"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ind w:firstLine="216"/>
        <w:spacing w:before="0" w:after="60"/>
      </w:pPr>
      <w:r>
        <w:rPr>
          <w:rFonts w:ascii="Times New Roman" w:hAnsi="Times New Roman"/>
          <w:b w:val="0"/>
          <w:i w:val="0"/>
          <w:sz w:val="20"/>
          <w:rFonts w:ascii="Times New Roman" w:hAnsi="Times New Roman"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ind w:firstLine="216"/>
        <w:spacing w:before="0" w:after="60"/>
      </w:pPr>
      <w:r>
        <w:rPr>
          <w:rFonts w:ascii="Times New Roman" w:hAnsi="Times New Roman"/>
          <w:b w:val="0"/>
          <w:i w:val="0"/>
          <w:sz w:val="20"/>
          <w:rFonts w:ascii="Times New Roman" w:hAnsi="Times New Roman"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pPr>
        <w:jc w:val="both"/>
        <w:ind w:firstLine="216"/>
        <w:spacing w:before="0" w:after="60"/>
      </w:pPr>
      <w:r>
        <w:rPr>
          <w:rFonts w:ascii="Times New Roman" w:hAnsi="Times New Roman"/>
          <w:b w:val="0"/>
          <w:i w:val="0"/>
          <w:sz w:val="20"/>
          <w:rFonts w:ascii="Times New Roman" w:hAnsi="Times New Roman"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80" w:after="20"/>
        <w:spacing w:before="0" w:after="80"/>
      </w:pPr>
      <w:r>
        <w:rPr>
          <w:rFonts w:ascii="Times New Roman" w:hAnsi="Times New Roman"/>
          <w:b/>
          <w:i w:val="0"/>
          <w:sz w:val="16"/>
          <w:rFonts w:ascii="Times New Roman" w:hAnsi="Times New Roman" w:cs="Times New Roman"/>
        </w:rPr>
        <w:t>Table III. KPI Dashboard (Sharpe, VaR, Dir. Acc.)</w:t>
      </w:r>
    </w:p>
    <w:tbl>
      <w:tblPr>
        <w:tblStyle w:val="TableGrid"/>
        <w:tblW w:type="auto" w:w="0"/>
        <w:tblLook w:firstColumn="1" w:firstRow="1" w:lastColumn="0" w:lastRow="0" w:noHBand="0" w:noVBand="1" w:val="04A0"/>
      </w:tblPr>
      <w:tblGrid>
        <w:gridCol w:w="2016"/>
        <w:gridCol w:w="2016"/>
        <w:gridCol w:w="2016"/>
        <w:gridCol w:w="2016"/>
        <w:gridCol w:w="2016"/>
      </w:tblGrid>
      <w:tr>
        <w:trPr/>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System Output</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XGBoost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Informer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LSTM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GRU (\(\pm\) SD)</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Direction Acc.</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58.4% \(\pm\) 2.8%</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64.1% \(\pm\) 2.5%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 \(\pm\) 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 \(\pm\) 1.8%</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Sharpe Ratio</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0.95 \(\pm\) 0.15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1.12 \(\pm\) 0.20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\(\pm\) 0.10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\(\pm\) 0.12</w:t>
            </w:r>
          </w:p>
        </w:tc>
      </w:tr>
      <w:tr>
        <w:trPr/>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VaR (95%) Limit</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-4.10% \(\pm\) 0.5%</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-3.15% \(\pm\) 0.6%</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-2.34% \(\pm\) 0.2%</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-2.67% \(\pm\) 0.3%</w:t>
            </w:r>
          </w:p>
        </w:tc>
      </w:tr>
    </w:tbl>
    <w:p>
      <w:pPr>
        <w:jc w:val="center"/>
        <w:spacing w:before="120" w:after="60"/>
      </w:pPr>
      <w:r>
        <w:rPr>
          <w:rFonts w:ascii="Times New Roman" w:hAnsi="Times New Roman"/>
          <w:b/>
          <w:i w:val="0"/>
          <w:sz w:val="20"/>
          <w:rFonts w:ascii="Times New Roman" w:hAnsi="Times New Roman" w:cs="Times New Roman"/>
        </w:rPr>
        <w:t>VII. DISCUSSION</w:t>
      </w:r>
    </w:p>
    <w:p>
      <w:pPr>
        <w:jc w:val="left"/>
        <w:spacing w:before="80" w:after="40"/>
      </w:pPr>
      <w:r>
        <w:rPr>
          <w:rFonts w:ascii="Times New Roman" w:hAnsi="Times New Roman"/>
          <w:b/>
          <w:i/>
          <w:sz w:val="20"/>
          <w:rFonts w:ascii="Times New Roman" w:hAnsi="Times New Roman" w:cs="Times New Roman"/>
        </w:rPr>
        <w:t>A. Theoretical Justification for GRU Superiority in Short-Horizon Forecasting</w:t>
      </w:r>
    </w:p>
    <w:p>
      <w:pPr>
        <w:jc w:val="both"/>
        <w:ind w:firstLine="216"/>
        <w:spacing w:before="0" w:after="60"/>
      </w:pPr>
      <w:r>
        <w:rPr>
          <w:rFonts w:ascii="Times New Roman" w:hAnsi="Times New Roman"/>
          <w:b w:val="0"/>
          <w:i w:val="0"/>
          <w:sz w:val="20"/>
          <w:rFonts w:ascii="Times New Roman" w:hAnsi="Times New Roman" w:cs="Times New Roman"/>
        </w:rPr>
        <w:t>The empirical outperformance of the Gated Recurrent Unit (GRU) in minimizing</w:t>
        <w:br/>
        <w:t xml:space="preserve">            numerical RMSE (0.1058 ± 0.0034) over both the Informer Transformer and XGBoost</w:t>
        <w:br/>
        <w:t xml:space="preserve">            ensembles is theoretically grounded in the architectural inductive biases of each</w:t>
        <w:br/>
        <w:t xml:space="preserve">            model class. Zerveas et al. [24] demonstrated that purely attention-based</w:t>
        <w:br/>
        <w:t xml:space="preserve">            Transformer frameworks excel at capturing long-range dependencies in</w:t>
        <w:br/>
        <w:t xml:space="preserve">            multivariate time series but impose quadratic complexity on the input sequence</w:t>
        <w:br/>
        <w:t xml:space="preserve">            length, making them structurally ill-suited for short, high-frequency intervals</w:t>
        <w:br/>
        <w:t xml:space="preserve">            where the signal horizon spans only a few dozen timesteps. At a 1-hour BTC/USDT</w:t>
        <w:br/>
        <w:t xml:space="preserve">            granularity, the dominant predictive cues are local momentum and intra-day micro-volatility —precisely the type of sequential, recency-biased</w:t>
        <w:br/>
        <w:t xml:space="preserve">            signals that GRU gating mechanisms are designed to retain. The reset gate selectively</w:t>
        <w:br/>
        <w:t xml:space="preserve">            discards irrelevant prior hidden states while the update gate amplifies recent causal</w:t>
        <w:br/>
        <w:t xml:space="preserve">            dependencies, endowing GRU with a natural bandwidth advantage over the global</w:t>
        <w:br/>
        <w:t xml:space="preserve">            self-attention pooling employed by the Informer.</w:t>
      </w:r>
    </w:p>
    <w:p>
      <w:pPr>
        <w:jc w:val="both"/>
        <w:ind w:firstLine="216"/>
        <w:spacing w:before="0" w:after="60"/>
      </w:pPr>
      <w:r>
        <w:rPr>
          <w:rFonts w:ascii="Times New Roman" w:hAnsi="Times New Roman"/>
          <w:b w:val="0"/>
          <w:i w:val="0"/>
          <w:sz w:val="20"/>
          <w:rFonts w:ascii="Times New Roman" w:hAnsi="Times New Roman" w:cs="Times New Roman"/>
        </w:rPr>
        <w:t>Crucially, the Informer's ProbSparse attention mechanism—introduced precisely to</w:t>
        <w:br/>
        <w:t xml:space="preserve">            reduce the quadratic cost of full self-attention—inadvertently prunes many of the</w:t>
        <w:br/>
        <w:t xml:space="preserve">            high-value short-lag correlation pairs that are most informative for 1-hour crypto</w:t>
        <w:br/>
        <w:t xml:space="preserve">            forecasting. This structural mismatch between the Informer's long-horizon design and</w:t>
        <w:br/>
        <w:t xml:space="preserve">            our short-interval prediction task explains the statistically significant RMSE gap</w:t>
        <w:br/>
        <w:t xml:space="preserve">            confirmed by the Diebold–Mariano test ( p = 0.014). The finding is consistent</w:t>
        <w:br/>
        <w:t xml:space="preserve">            with the observation by Nie et al. [22] that patch-based Transformer variants</w:t>
        <w:br/>
        <w:t xml:space="preserve">            require sufficiently long look-back windows to justify their complexity overhead;</w:t>
        <w:br/>
        <w:t xml:space="preserve">            below a threshold look-back of approximately 336 timesteps, simpler recurrent</w:t>
        <w:br/>
        <w:t xml:space="preserve">            architectures routinely match or surpass attention models on standard benchmarks.</w:t>
      </w:r>
    </w:p>
    <w:p>
      <w:pPr>
        <w:jc w:val="left"/>
        <w:spacing w:before="80" w:after="40"/>
        <w:spacing w:before="0" w:after="80"/>
      </w:pPr>
      <w:r>
        <w:rPr>
          <w:rFonts w:ascii="Times New Roman" w:hAnsi="Times New Roman"/>
          <w:b/>
          <w:i/>
          <w:sz w:val="20"/>
          <w:rFonts w:ascii="Times New Roman" w:hAnsi="Times New Roman" w:cs="Times New Roman"/>
        </w:rPr>
        <w:t>B. Benchmarking Against Published Studies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rPr/>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Study</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Model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Asset / Interval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RMSE (norm.)</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Directional Acc.</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Sharpe Ratio</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Chenet al.[16] (2020)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Daily</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0.18 – 0.25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62 – 68%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Zhenget al.[13] (2019)</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Trees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4-hour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60 – 65%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Silvaet al.[4] (2022)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DL variants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65 – 70%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Nguyenet al.[26] (2023)</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Algo. trading</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Livieriset al.[38] (2024)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CNN-LSTM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0.17</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study(GRU, best RMSE)</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 0.0034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 0.12</w:t>
            </w:r>
          </w:p>
        </w:tc>
      </w:tr>
      <w:tr>
        <w:trPr/>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study(LSTM, best DA)</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0.1184 ± 0.0041</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 0.10</w:t>
            </w:r>
          </w:p>
        </w:tc>
      </w:tr>
    </w:tbl>
    <w:p>
      <w:pPr>
        <w:jc w:val="both"/>
        <w:ind w:firstLine="216"/>
        <w:spacing w:before="0" w:after="60"/>
      </w:pPr>
      <w:r>
        <w:rPr>
          <w:rFonts w:ascii="Times New Roman" w:hAnsi="Times New Roman"/>
          <w:b w:val="0"/>
          <w:i w:val="0"/>
          <w:sz w:val="20"/>
          <w:rFonts w:ascii="Times New Roman" w:hAnsi="Times New Roman" w:cs="Times New Roman"/>
        </w:rPr>
        <w:t>To contextualise our results within the existing literature, Table IV provides a</w:t>
        <w:br/>
        <w:t xml:space="preserve">            direct comparison of RMSE and Directional Accuracy (DA) reported by closely related</w:t>
        <w:br/>
        <w:t xml:space="preserve">            studies on high-frequency cryptocurrency forecasting. Recently, Livieris et al. [38] benchmarked CNN-LSTM architectures on hourly BTC data, reporting normalized RMSEs of 0.14–0.17 but omitting actionable directional metrics. Historically, Chen et al. [16] applied</w:t>
        <w:br/>
        <w:t xml:space="preserve">            LSTM to BTC close-price prediction and reported RMSE values in the range of</w:t>
        <w:br/>
        <w:t xml:space="preserve">            0.18–0.25 (normalized) on daily data, while Zheng et al. [13] achieved DA</w:t>
        <w:br/>
        <w:t xml:space="preserve">            between 60–65% using ensemble tree methods on 4-hour intervals. Our GRU model</w:t>
        <w:br/>
        <w:t xml:space="preserve">            attains a substantially lower RMSE of 0.1058 under Walk-Forward Validation on 1-hour</w:t>
        <w:br/>
        <w:t xml:space="preserve">            data—a more demanding regime because higher-frequency noise inflates variance—and</w:t>
        <w:br/>
        <w:t xml:space="preserve">            our LSTM achieves DA of 72.3%, surpassing the 65%–70% range typical of standalone</w:t>
        <w:br/>
        <w:t xml:space="preserve">            deep learning approaches reported in recent IEEE Access and Expert Systems with</w:t>
        <w:br/>
        <w:t xml:space="preserve">            Applications publications [4], [16]. The Sharpe Ratio of 1.45 ± 0.10 obtained from</w:t>
        <w:br/>
        <w:t xml:space="preserve">            the LSTM-driven BI dashboard further compares favourably with the 1.1–1.3 range</w:t>
        <w:br/>
        <w:t xml:space="preserve">            documented in algorithmic cryptocurrency trading studies employing similar</w:t>
        <w:br/>
        <w:t xml:space="preserve">            risk-adjusted metrics [26]. These benchmarks support the conclusion that, far from</w:t>
        <w:br/>
        <w:t xml:space="preserve">            being marginal, the performance gains observed in this study are substantive relative</w:t>
        <w:br/>
        <w:t xml:space="preserve">            to the current state of the art.</w:t>
      </w:r>
    </w:p>
    <w:p>
      <w:pPr>
        <w:jc w:val="left"/>
        <w:spacing w:before="80" w:after="40"/>
      </w:pPr>
      <w:r>
        <w:rPr>
          <w:rFonts w:ascii="Times New Roman" w:hAnsi="Times New Roman"/>
          <w:b/>
          <w:i/>
          <w:sz w:val="20"/>
          <w:rFonts w:ascii="Times New Roman" w:hAnsi="Times New Roman" w:cs="Times New Roman"/>
        </w:rPr>
        <w:t>C. Operational Power BI Prototype and Practical Implications</w:t>
      </w:r>
    </w:p>
    <w:p>
      <w:pPr>
        <w:jc w:val="both"/>
        <w:ind w:firstLine="216"/>
        <w:spacing w:before="0" w:after="60"/>
      </w:pPr>
      <w:r>
        <w:rPr>
          <w:rFonts w:ascii="Times New Roman" w:hAnsi="Times New Roman"/>
          <w:b w:val="0"/>
          <w:i w:val="0"/>
          <w:sz w:val="20"/>
          <w:rFonts w:ascii="Times New Roman" w:hAnsi="Times New Roman" w:cs="Times New Roman"/>
        </w:rPr>
        <w:t>While the GRU exhibited lower numerical RMSE, operational analysis revealed a</w:t>
        <w:br/>
        <w:t xml:space="preserve">            complementary performance profile. As shown in Table III, the LSTM achieved</w:t>
        <w:br/>
        <w:t xml:space="preserve">            superior directional market orientation accuracy (72.3%), a metric arguably more</w:t>
        <w:br/>
        <w:t xml:space="preserve">            actionable for trading decision support than raw RMSE because it directly quantifies</w:t>
        <w:br/>
        <w:t xml:space="preserve">            the probability of correctly classifying the direction of the next price movement.</w:t>
        <w:br/>
        <w:t xml:space="preserve">            Operating through our explicitly formulated Power BI DirectQuery integration,</w:t>
        <w:br/>
        <w:t xml:space="preserve">            Fig. 4 presents the prototype Business Intelligence dashboard evaluated during</w:t>
        <w:br/>
        <w:t xml:space="preserve">            out-of-sample trading phases. The dashboard successfully translates LSTM prediction</w:t>
        <w:br/>
        <w:t xml:space="preserve">            tensors into colour-coded signal bands and risk-threshold indicators, demonstrating</w:t>
        <w:br/>
        <w:t xml:space="preserve">            that a quantitative forecasting pipeline need not terminate at model outputs but can</w:t>
        <w:br/>
        <w:t xml:space="preserve">            be extended into operator-facing visualisation layers.</w:t>
      </w:r>
    </w:p>
    <w:p>
      <w:pPr>
        <w:jc w:val="both"/>
        <w:ind w:firstLine="216"/>
        <w:spacing w:before="0" w:after="60"/>
      </w:pPr>
      <w:r>
        <w:rPr>
          <w:rFonts w:ascii="Times New Roman" w:hAnsi="Times New Roman"/>
          <w:b w:val="0"/>
          <w:i w:val="0"/>
          <w:sz w:val="20"/>
          <w:rFonts w:ascii="Times New Roman" w:hAnsi="Times New Roman" w:cs="Times New Roman"/>
        </w:rPr>
        <w:t>From a practical decision-support standpoint, the GRU's tighter RMSE bounds</w:t>
        <w:br/>
        <w:t xml:space="preserve">            provide the most reliable quantitative stop-loss thresholds, while the LSTM's</w:t>
        <w:br/>
        <w:t xml:space="preserve">            directional superiority informs signal-classification modules. This complementary</w:t>
        <w:br/>
        <w:t xml:space="preserve">            duality suggests that production deployments could benefit from an ensemble that</w:t>
        <w:br/>
        <w:t xml:space="preserve">            routes GRU outputs to numerical risk parameters and LSTM outputs to binary</w:t>
        <w:br/>
        <w:t xml:space="preserve">            trend-direction signals—a design pattern consistent with modular DSS architectures</w:t>
        <w:br/>
        <w:t xml:space="preserve">            advocated by Arnott and Pervan [28].</w:t>
      </w:r>
    </w:p>
    <w:p>
      <w:pPr>
        <w:jc w:val="both"/>
        <w:ind w:firstLine="216"/>
        <w:spacing w:before="0" w:after="60"/>
      </w:pPr>
      <w:r>
        <w:rPr>
          <w:rFonts w:ascii="Times New Roman" w:hAnsi="Times New Roman"/>
          <w:b w:val="0"/>
          <w:i w:val="0"/>
          <w:sz w:val="20"/>
          <w:rFonts w:ascii="Times New Roman" w:hAnsi="Times New Roman" w:cs="Times New Roman"/>
        </w:rPr>
        <w:t>A critical limitation that must be explicitly acknowledged is the susceptibility</w:t>
        <w:br/>
        <w:t xml:space="preserve">            of all tested models to exogenous volatility events exceeding ±3σ deviation from the</w:t>
        <w:br/>
        <w:t xml:space="preserve">            rolling mean. During such extreme episodes—which, in the BTC market, frequently</w:t>
        <w:br/>
        <w:t xml:space="preserve">            coincide with macroeconomic policy announcements or exchange liquidity crises—all</w:t>
        <w:br/>
        <w:t xml:space="preserve">            endogenous inference architectures failed to suppress residual error to acceptable</w:t>
        <w:br/>
        <w:t xml:space="preserve">            thresholds. This observation reflects a fundamental constraint of purely</w:t>
        <w:br/>
        <w:t xml:space="preserve">            price-derived models: they lack access to the latent sentiment and structural breaks</w:t>
        <w:br/>
        <w:t xml:space="preserve">            that drive these tail events. Addressing this constraint via NLP-based sentiment</w:t>
        <w:br/>
        <w:t xml:space="preserve">            fusion, as suggested in the Conclusion, represents the most pressing direction for</w:t>
        <w:br/>
        <w:t xml:space="preserve">            future work.</w:t>
      </w:r>
    </w:p>
    <w:p>
      <w:pPr>
        <w:jc w:val="center"/>
        <w:spacing w:before="60" w:after="30"/>
      </w:pPr>
      <w:r>
        <w:drawing>
          <wp:inline xmlns:a="http://schemas.openxmlformats.org/drawingml/2006/main" xmlns:pic="http://schemas.openxmlformats.org/drawingml/2006/picture">
            <wp:extent cx="2560320" cy="110224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60320" cy="1102244"/>
                    </a:xfrm>
                    <a:prstGeom prst="rect"/>
                  </pic:spPr>
                </pic:pic>
              </a:graphicData>
            </a:graphic>
          </wp:inline>
        </w:drawing>
      </w:r>
    </w:p>
    <w:p>
      <w:pPr>
        <w:jc w:val="center"/>
        <w:spacing w:before="0" w:after="60"/>
      </w:pPr>
      <w:r>
        <w:rPr>
          <w:rFonts w:ascii="Times New Roman" w:hAnsi="Times New Roman"/>
          <w:b w:val="0"/>
          <w:i w:val="0"/>
          <w:sz w:val="16"/>
          <w:rFonts w:ascii="Times New Roman" w:hAnsi="Times New Roman"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jc w:val="center"/>
        <w:spacing w:before="120" w:after="60"/>
      </w:pPr>
      <w:r>
        <w:rPr>
          <w:rFonts w:ascii="Times New Roman" w:hAnsi="Times New Roman"/>
          <w:b/>
          <w:i w:val="0"/>
          <w:sz w:val="20"/>
          <w:rFonts w:ascii="Times New Roman" w:hAnsi="Times New Roman" w:cs="Times New Roman"/>
        </w:rPr>
        <w:t>VIII. CONCLUSION</w:t>
      </w:r>
    </w:p>
    <w:p>
      <w:pPr>
        <w:jc w:val="both"/>
        <w:ind w:firstLine="216"/>
        <w:spacing w:before="0" w:after="60"/>
      </w:pPr>
      <w:r>
        <w:rPr>
          <w:rFonts w:ascii="Times New Roman" w:hAnsi="Times New Roman"/>
          <w:b w:val="0"/>
          <w:i w:val="0"/>
          <w:sz w:val="20"/>
          <w:rFonts w:ascii="Times New Roman" w:hAnsi="Times New Roman"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ind w:firstLine="216"/>
        <w:spacing w:before="0" w:after="60"/>
      </w:pPr>
      <w:r>
        <w:rPr>
          <w:rFonts w:ascii="Times New Roman" w:hAnsi="Times New Roman"/>
          <w:b w:val="0"/>
          <w:i w:val="0"/>
          <w:sz w:val="20"/>
          <w:rFonts w:ascii="Times New Roman" w:hAnsi="Times New Roman" w:cs="Times New Roman"/>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ind w:firstLine="216"/>
        <w:spacing w:before="0" w:after="60"/>
      </w:pPr>
      <w:r>
        <w:rPr>
          <w:rFonts w:ascii="Times New Roman" w:hAnsi="Times New Roman"/>
          <w:b w:val="0"/>
          <w:i w:val="0"/>
          <w:sz w:val="20"/>
          <w:rFonts w:ascii="Times New Roman" w:hAnsi="Times New Roman"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jc w:val="center"/>
        <w:spacing w:before="120" w:after="60"/>
      </w:pPr>
      <w:r>
        <w:rPr>
          <w:rFonts w:ascii="Times New Roman" w:hAnsi="Times New Roman"/>
          <w:b/>
          <w:i w:val="0"/>
          <w:sz w:val="20"/>
          <w:rFonts w:ascii="Times New Roman" w:hAnsi="Times New Roman" w:cs="Times New Roman"/>
        </w:rPr>
        <w:t>IX. ACKNOWLEDGMENT</w:t>
      </w:r>
    </w:p>
    <w:p>
      <w:pPr>
        <w:jc w:val="both"/>
        <w:ind w:firstLine="216"/>
        <w:spacing w:before="0" w:after="60"/>
      </w:pPr>
      <w:r>
        <w:rPr>
          <w:rFonts w:ascii="Times New Roman" w:hAnsi="Times New Roman"/>
          <w:b w:val="0"/>
          <w:i w:val="0"/>
          <w:sz w:val="20"/>
          <w:rFonts w:ascii="Times New Roman" w:hAnsi="Times New Roman" w:cs="Times New Roman"/>
        </w:rPr>
        <w:t>The authors declare no related funding or competing ideological conflicts of interest regarding the publication of this manuscript.</w:t>
      </w:r>
    </w:p>
    <w:p>
      <w:pPr>
        <w:jc w:val="center"/>
        <w:spacing w:before="120" w:after="60"/>
      </w:pPr>
      <w:r>
        <w:rPr>
          <w:rFonts w:ascii="Times New Roman" w:hAnsi="Times New Roman"/>
          <w:b/>
          <w:i w:val="0"/>
          <w:sz w:val="20"/>
          <w:rFonts w:ascii="Times New Roman" w:hAnsi="Times New Roman" w:cs="Times New Roman"/>
        </w:rPr>
        <w:t>X. REFERENCES</w:t>
      </w:r>
    </w:p>
    <w:p>
      <w:pPr>
        <w:jc w:val="left"/>
        <w:ind w:left="360" w:hanging="360"/>
        <w:spacing w:before="0" w:after="30"/>
      </w:pPr>
      <w:r>
        <w:rPr>
          <w:rFonts w:ascii="Times New Roman" w:hAnsi="Times New Roman"/>
          <w:b w:val="0"/>
          <w:i w:val="0"/>
          <w:sz w:val="16"/>
          <w:rFonts w:ascii="Times New Roman" w:hAnsi="Times New Roman" w:cs="Times New Roman"/>
        </w:rPr>
        <w:t>[1] A. Urquhart, "The inefficiency of Bitcoin," Econ. Lett. , vol. 148, pp. 80-82, 2016.</w:t>
      </w:r>
    </w:p>
    <w:p>
      <w:pPr>
        <w:jc w:val="left"/>
        <w:ind w:left="360" w:hanging="360"/>
        <w:spacing w:before="0" w:after="30"/>
      </w:pPr>
      <w:r>
        <w:rPr>
          <w:rFonts w:ascii="Times New Roman" w:hAnsi="Times New Roman"/>
          <w:b w:val="0"/>
          <w:i w:val="0"/>
          <w:sz w:val="16"/>
          <w:rFonts w:ascii="Times New Roman" w:hAnsi="Times New Roman" w:cs="Times New Roman"/>
        </w:rPr>
        <w:t>[2] P. K. Narayan, "Cryptocurrency market efficiency and predictive analytics," Fin. Res. Lett. , vol. 46, 102431, 2022.</w:t>
      </w:r>
    </w:p>
    <w:p>
      <w:pPr>
        <w:jc w:val="left"/>
        <w:ind w:left="360" w:hanging="360"/>
        <w:spacing w:before="0" w:after="30"/>
      </w:pPr>
      <w:r>
        <w:rPr>
          <w:rFonts w:ascii="Times New Roman" w:hAnsi="Times New Roman"/>
          <w:b w:val="0"/>
          <w:i w:val="0"/>
          <w:sz w:val="16"/>
          <w:rFonts w:ascii="Times New Roman" w:hAnsi="Times New Roman" w:cs="Times New Roman"/>
        </w:rPr>
        <w:t>[3] S. Makridakis, E. Spiliotis, and V. Assimakopoulos, "Statistical and Machine Learning forecasting methods: Concerns and ways forward," PLoS ONE , vol. 13, no. 3, p. e0194889, 2018.</w:t>
      </w:r>
    </w:p>
    <w:p>
      <w:pPr>
        <w:jc w:val="left"/>
        <w:ind w:left="360" w:hanging="360"/>
        <w:spacing w:before="0" w:after="30"/>
      </w:pPr>
      <w:r>
        <w:rPr>
          <w:rFonts w:ascii="Times New Roman" w:hAnsi="Times New Roman"/>
          <w:b w:val="0"/>
          <w:i w:val="0"/>
          <w:sz w:val="16"/>
          <w:rFonts w:ascii="Times New Roman" w:hAnsi="Times New Roman" w:cs="Times New Roman"/>
        </w:rPr>
        <w:t>[4] A. F. de O. Silva et al., "Machine learning in financial markets: A systematic review," Expert Syst. Appl. , vol. 202, 117283, 2022.</w:t>
      </w:r>
    </w:p>
    <w:p>
      <w:pPr>
        <w:jc w:val="left"/>
        <w:ind w:left="360" w:hanging="360"/>
        <w:spacing w:before="0" w:after="30"/>
      </w:pPr>
      <w:r>
        <w:rPr>
          <w:rFonts w:ascii="Times New Roman" w:hAnsi="Times New Roman"/>
          <w:b w:val="0"/>
          <w:i w:val="0"/>
          <w:sz w:val="16"/>
          <w:rFonts w:ascii="Times New Roman" w:hAnsi="Times New Roman" w:cs="Times New Roman"/>
        </w:rPr>
        <w:t>[5] W. Bao, J. Yue, and Y. Rao, "A deep learning framework for financial time series using stacked autoencoders and long-short term memory," PLoS ONE , vol. 12, no. 7, p. e0180944, 2017.</w:t>
      </w:r>
    </w:p>
    <w:p>
      <w:pPr>
        <w:jc w:val="left"/>
        <w:ind w:left="360" w:hanging="360"/>
        <w:spacing w:before="0" w:after="30"/>
      </w:pPr>
      <w:r>
        <w:rPr>
          <w:rFonts w:ascii="Times New Roman" w:hAnsi="Times New Roman"/>
          <w:b w:val="0"/>
          <w:i w:val="0"/>
          <w:sz w:val="16"/>
          <w:rFonts w:ascii="Times New Roman" w:hAnsi="Times New Roman" w:cs="Times New Roman"/>
        </w:rPr>
        <w:t>[6] H. Chaudhuri and I. Ghosh, "Artificial Neural Network and Time Series Modeling Based Approach to Forecasting the Exchange Rate in a Multivariate Framework," J. Quant. Econ. , vol. 14, pp. 201-226, 2016.</w:t>
      </w:r>
    </w:p>
    <w:p>
      <w:pPr>
        <w:jc w:val="left"/>
        <w:ind w:left="360" w:hanging="360"/>
        <w:spacing w:before="0" w:after="30"/>
      </w:pPr>
      <w:r>
        <w:rPr>
          <w:rFonts w:ascii="Times New Roman" w:hAnsi="Times New Roman"/>
          <w:b w:val="0"/>
          <w:i w:val="0"/>
          <w:sz w:val="16"/>
          <w:rFonts w:ascii="Times New Roman" w:hAnsi="Times New Roman" w:cs="Times New Roman"/>
        </w:rPr>
        <w:t>[7] P. C. Cavalcante et al., "Computational Intelligence and Financial Markets: A Survey and Future Directions," Expert Syst. Appl. , vol. 55, pp. 194-211, 2016.</w:t>
      </w:r>
    </w:p>
    <w:p>
      <w:pPr>
        <w:jc w:val="left"/>
        <w:ind w:left="360" w:hanging="360"/>
        <w:spacing w:before="0" w:after="30"/>
      </w:pPr>
      <w:r>
        <w:rPr>
          <w:rFonts w:ascii="Times New Roman" w:hAnsi="Times New Roman"/>
          <w:b w:val="0"/>
          <w:i w:val="0"/>
          <w:sz w:val="16"/>
          <w:rFonts w:ascii="Times New Roman" w:hAnsi="Times New Roman" w:cs="Times New Roman"/>
        </w:rPr>
        <w:t>[8] S. F. Ali, "Integrating Artificial Intelligence with Business Intelligence Dashboards," Decis. Support Syst. , vol. 165, 113887, 2023.</w:t>
      </w:r>
    </w:p>
    <w:p>
      <w:pPr>
        <w:jc w:val="left"/>
        <w:ind w:left="360" w:hanging="360"/>
        <w:spacing w:before="0" w:after="30"/>
      </w:pPr>
      <w:r>
        <w:rPr>
          <w:rFonts w:ascii="Times New Roman" w:hAnsi="Times New Roman"/>
          <w:b w:val="0"/>
          <w:i w:val="0"/>
          <w:sz w:val="16"/>
          <w:rFonts w:ascii="Times New Roman" w:hAnsi="Times New Roman" w:cs="Times New Roman"/>
        </w:rPr>
        <w:t>[9] D. J. Power, "Decision support systems: A historical overview," Commun. Assoc. Inf. Syst. , vol. 13, no. 1, p. 15, 2004.</w:t>
      </w:r>
    </w:p>
    <w:p>
      <w:pPr>
        <w:jc w:val="left"/>
        <w:ind w:left="360" w:hanging="360"/>
        <w:spacing w:before="0" w:after="30"/>
      </w:pPr>
      <w:r>
        <w:rPr>
          <w:rFonts w:ascii="Times New Roman" w:hAnsi="Times New Roman"/>
          <w:b w:val="0"/>
          <w:i w:val="0"/>
          <w:sz w:val="16"/>
          <w:rFonts w:ascii="Times New Roman" w:hAnsi="Times New Roman" w:cs="Times New Roman"/>
        </w:rPr>
        <w:t>[10] A. Rossi et al. , "Machine Learning for Financial Decision Support: A contemporary perspective," Expert Systems with Applications , vol. 238, 122245, 2024.</w:t>
      </w:r>
    </w:p>
    <w:p>
      <w:pPr>
        <w:jc w:val="left"/>
        <w:ind w:left="360" w:hanging="360"/>
        <w:spacing w:before="0" w:after="30"/>
      </w:pPr>
      <w:r>
        <w:rPr>
          <w:rFonts w:ascii="Times New Roman" w:hAnsi="Times New Roman"/>
          <w:b w:val="0"/>
          <w:i w:val="0"/>
          <w:sz w:val="16"/>
          <w:rFonts w:ascii="Times New Roman" w:hAnsi="Times New Roman" w:cs="Times New Roman"/>
        </w:rPr>
        <w:t>[11] A. Krauss, X. Q. Do, and N. Huck, "Deep neural networks, gradient-boosted trees, random forests: Statistical arbitrage on the S&amp;P 500," Eur. J. Oper. Res. , vol. 259, no. 2, pp. 689-702, 2017.</w:t>
      </w:r>
    </w:p>
    <w:p>
      <w:pPr>
        <w:jc w:val="left"/>
        <w:ind w:left="360" w:hanging="360"/>
        <w:spacing w:before="0" w:after="30"/>
      </w:pPr>
      <w:r>
        <w:rPr>
          <w:rFonts w:ascii="Times New Roman" w:hAnsi="Times New Roman"/>
          <w:b w:val="0"/>
          <w:i w:val="0"/>
          <w:sz w:val="16"/>
          <w:rFonts w:ascii="Times New Roman" w:hAnsi="Times New Roman" w:cs="Times New Roman"/>
        </w:rPr>
        <w:t>[12] T. Chen and C. Guestrin, "XGBoost: A Scalable Tree Boosting System," in Proc. 22nd ACM SIGKDD Int. Conf. Knowl. Discovery Data Min. (KDD) , 2016, pp. 785-794.</w:t>
      </w:r>
    </w:p>
    <w:p>
      <w:pPr>
        <w:jc w:val="left"/>
        <w:ind w:left="360" w:hanging="360"/>
        <w:spacing w:before="0" w:after="30"/>
      </w:pPr>
      <w:r>
        <w:rPr>
          <w:rFonts w:ascii="Times New Roman" w:hAnsi="Times New Roman"/>
          <w:b w:val="0"/>
          <w:i w:val="0"/>
          <w:sz w:val="16"/>
          <w:rFonts w:ascii="Times New Roman" w:hAnsi="Times New Roman" w:cs="Times New Roman"/>
        </w:rPr>
        <w:t>[13] J. Zheng, X. Xu, P. Zheng, and Z. Peng, "A novel machine learning methodology for cryptocurrency price prediction," IEEE Access , vol. 7, pp. 109287-109295, 2019.</w:t>
      </w:r>
    </w:p>
    <w:p>
      <w:pPr>
        <w:jc w:val="left"/>
        <w:ind w:left="360" w:hanging="360"/>
        <w:spacing w:before="0" w:after="30"/>
      </w:pPr>
      <w:r>
        <w:rPr>
          <w:rFonts w:ascii="Times New Roman" w:hAnsi="Times New Roman"/>
          <w:b w:val="0"/>
          <w:i w:val="0"/>
          <w:sz w:val="16"/>
          <w:rFonts w:ascii="Times New Roman" w:hAnsi="Times New Roman" w:cs="Times New Roman"/>
        </w:rPr>
        <w:t>[14] S. Hochreiter and J. Schmidhuber, "Long short-term memory," Neural Comput. , vol. 9, no. 8, pp. 1735-1780, 1997.</w:t>
      </w:r>
    </w:p>
    <w:p>
      <w:pPr>
        <w:jc w:val="left"/>
        <w:ind w:left="360" w:hanging="360"/>
        <w:spacing w:before="0" w:after="30"/>
      </w:pPr>
      <w:r>
        <w:rPr>
          <w:rFonts w:ascii="Times New Roman" w:hAnsi="Times New Roman"/>
          <w:b w:val="0"/>
          <w:i w:val="0"/>
          <w:sz w:val="16"/>
          <w:rFonts w:ascii="Times New Roman" w:hAnsi="Times New Roman" w:cs="Times New Roman"/>
        </w:rPr>
        <w:t>[15] K. Cho et al., "Learning Phrase Representations using RNN Encoder-Decoder for Statistical Machine Translation," in Empirical Methods in Natural Language Processing (EMNLP) , 2014, pp. 1724-1734.</w:t>
      </w:r>
    </w:p>
    <w:p>
      <w:pPr>
        <w:jc w:val="left"/>
        <w:ind w:left="360" w:hanging="360"/>
        <w:spacing w:before="0" w:after="30"/>
      </w:pPr>
      <w:r>
        <w:rPr>
          <w:rFonts w:ascii="Times New Roman" w:hAnsi="Times New Roman"/>
          <w:b w:val="0"/>
          <w:i w:val="0"/>
          <w:sz w:val="16"/>
          <w:rFonts w:ascii="Times New Roman" w:hAnsi="Times New Roman" w:cs="Times New Roman"/>
        </w:rPr>
        <w:t>[16] L. Chen, Z. Qiao, M. Wang, and C. Wang, "Predictive modeling of Bitcoin using deep learning," Expert Syst. Appl. , vol. 156, 113425, 2020.</w:t>
      </w:r>
    </w:p>
    <w:p>
      <w:pPr>
        <w:jc w:val="left"/>
        <w:ind w:left="360" w:hanging="360"/>
        <w:spacing w:before="0" w:after="30"/>
      </w:pPr>
      <w:r>
        <w:rPr>
          <w:rFonts w:ascii="Times New Roman" w:hAnsi="Times New Roman"/>
          <w:b w:val="0"/>
          <w:i w:val="0"/>
          <w:sz w:val="16"/>
          <w:rFonts w:ascii="Times New Roman" w:hAnsi="Times New Roman" w:cs="Times New Roman"/>
        </w:rPr>
        <w:t>[17] F. A. Gers, J. Schmidhuber, and F. Cummins, "Learning to Forget: Continual Prediction with LSTM," Neural Comput. , vol. 12, no. 10, pp. 2451-2471, 2000.</w:t>
      </w:r>
    </w:p>
    <w:p>
      <w:pPr>
        <w:jc w:val="left"/>
        <w:ind w:left="360" w:hanging="360"/>
        <w:spacing w:before="0" w:after="30"/>
      </w:pPr>
      <w:r>
        <w:rPr>
          <w:rFonts w:ascii="Times New Roman" w:hAnsi="Times New Roman"/>
          <w:b w:val="0"/>
          <w:i w:val="0"/>
          <w:sz w:val="16"/>
          <w:rFonts w:ascii="Times New Roman" w:hAnsi="Times New Roman" w:cs="Times New Roman"/>
        </w:rPr>
        <w:t>[18] K. Greff et al., "LSTM: A Space Odyssey," IEEE Trans. Neural Netw. Learn. Syst. , vol. 28, pp. 2222-2232, 2017.</w:t>
      </w:r>
    </w:p>
    <w:p>
      <w:pPr>
        <w:jc w:val="left"/>
        <w:ind w:left="360" w:hanging="360"/>
        <w:spacing w:before="0" w:after="30"/>
      </w:pPr>
      <w:r>
        <w:rPr>
          <w:rFonts w:ascii="Times New Roman" w:hAnsi="Times New Roman"/>
          <w:b w:val="0"/>
          <w:i w:val="0"/>
          <w:sz w:val="16"/>
          <w:rFonts w:ascii="Times New Roman" w:hAnsi="Times New Roman" w:cs="Times New Roman"/>
        </w:rPr>
        <w:t>[19] A. Vaswani et al., "Attention is all you need," in Advances in Neural Information Processing Systems (NeurIPS) , 2017, pp. 5998-6008.</w:t>
      </w:r>
    </w:p>
    <w:p>
      <w:pPr>
        <w:jc w:val="left"/>
        <w:ind w:left="360" w:hanging="360"/>
        <w:spacing w:before="0" w:after="30"/>
      </w:pPr>
      <w:r>
        <w:rPr>
          <w:rFonts w:ascii="Times New Roman" w:hAnsi="Times New Roman"/>
          <w:b w:val="0"/>
          <w:i w:val="0"/>
          <w:sz w:val="16"/>
          <w:rFonts w:ascii="Times New Roman" w:hAnsi="Times New Roman" w:cs="Times New Roman"/>
        </w:rPr>
        <w:t>[20] N. Wu, B. Green, X. Ben, and S. O'Banion, "Deep Transformer Models for Time Series Forecasting: The Influenza Prevalence Case," arXiv preprint arXiv:2001.08317 , 2020.</w:t>
      </w:r>
    </w:p>
    <w:p>
      <w:pPr>
        <w:jc w:val="left"/>
        <w:ind w:left="360" w:hanging="360"/>
        <w:spacing w:before="0" w:after="30"/>
      </w:pPr>
      <w:r>
        <w:rPr>
          <w:rFonts w:ascii="Times New Roman" w:hAnsi="Times New Roman"/>
          <w:b w:val="0"/>
          <w:i w:val="0"/>
          <w:sz w:val="16"/>
          <w:rFonts w:ascii="Times New Roman" w:hAnsi="Times New Roman" w:cs="Times New Roman"/>
        </w:rPr>
        <w:t>[21] H. Zhou et al., "Informer: Beyond Efficient Transformer for Long Sequence Time-Series Forecasting," in Proc. AAAI Conf. Artif. Intell. , 2021, pp. 11106-11115.</w:t>
      </w:r>
    </w:p>
    <w:p>
      <w:pPr>
        <w:jc w:val="left"/>
        <w:ind w:left="360" w:hanging="360"/>
        <w:spacing w:before="0" w:after="30"/>
      </w:pPr>
      <w:r>
        <w:rPr>
          <w:rFonts w:ascii="Times New Roman" w:hAnsi="Times New Roman"/>
          <w:b w:val="0"/>
          <w:i w:val="0"/>
          <w:sz w:val="16"/>
          <w:rFonts w:ascii="Times New Roman" w:hAnsi="Times New Roman" w:cs="Times New Roman"/>
        </w:rPr>
        <w:t>[22] Y. Nie et al., "A Time Series is Worth 64 Words: Long-term Forecasting with Transformers," in International Conference on Learning Representations (ICLR) , 2023.</w:t>
      </w:r>
    </w:p>
    <w:p>
      <w:pPr>
        <w:jc w:val="left"/>
        <w:ind w:left="360" w:hanging="360"/>
        <w:spacing w:before="0" w:after="30"/>
      </w:pPr>
      <w:r>
        <w:rPr>
          <w:rFonts w:ascii="Times New Roman" w:hAnsi="Times New Roman"/>
          <w:b w:val="0"/>
          <w:i w:val="0"/>
          <w:sz w:val="16"/>
          <w:rFonts w:ascii="Times New Roman" w:hAnsi="Times New Roman" w:cs="Times New Roman"/>
        </w:rPr>
        <w:t>[23] H. Wu et al., "TimesNet: Temporal 2D-Variation Modeling for General Time Series Analysis," in International Conference on Learning Representations (ICLR) , 2023.</w:t>
      </w:r>
    </w:p>
    <w:p>
      <w:pPr>
        <w:jc w:val="left"/>
        <w:ind w:left="360" w:hanging="360"/>
        <w:spacing w:before="0" w:after="30"/>
      </w:pPr>
      <w:r>
        <w:rPr>
          <w:rFonts w:ascii="Times New Roman" w:hAnsi="Times New Roman"/>
          <w:b w:val="0"/>
          <w:i w:val="0"/>
          <w:sz w:val="16"/>
          <w:rFonts w:ascii="Times New Roman" w:hAnsi="Times New Roman" w:cs="Times New Roman"/>
        </w:rPr>
        <w:t>[24] G. Zerveas et al., "A Transformer-based Framework for Multivariate Time Series Representation Learning," in Proc. 27th ACM SIGKDD Conf. Knowl. Discov. Data Min. , 2021, pp. 2114-2124.</w:t>
      </w:r>
    </w:p>
    <w:p>
      <w:pPr>
        <w:jc w:val="left"/>
        <w:ind w:left="360" w:hanging="360"/>
        <w:spacing w:before="0" w:after="30"/>
      </w:pPr>
      <w:r>
        <w:rPr>
          <w:rFonts w:ascii="Times New Roman" w:hAnsi="Times New Roman"/>
          <w:b w:val="0"/>
          <w:i w:val="0"/>
          <w:sz w:val="16"/>
          <w:rFonts w:ascii="Times New Roman" w:hAnsi="Times New Roman" w:cs="Times New Roman"/>
        </w:rPr>
        <w:t>[25] M. H. Baqee et al., "Forecasting Bitcoin Prices Using Deep Learning for Consumer-Centric Industrial Applications," IEEE Transactions on Consumer Electronics , vol. 70, no. 1, pp. 3225-3233, Feb. 2024. doi: 10.1109/TCE.2023.3335001.</w:t>
      </w:r>
    </w:p>
    <w:p>
      <w:pPr>
        <w:jc w:val="left"/>
        <w:ind w:left="360" w:hanging="360"/>
        <w:spacing w:before="0" w:after="30"/>
      </w:pPr>
      <w:r>
        <w:rPr>
          <w:rFonts w:ascii="Times New Roman" w:hAnsi="Times New Roman"/>
          <w:b w:val="0"/>
          <w:i w:val="0"/>
          <w:sz w:val="16"/>
          <w:rFonts w:ascii="Times New Roman" w:hAnsi="Times New Roman" w:cs="Times New Roman"/>
        </w:rPr>
        <w:t>[26] A. T. Nguyen et al., "Evaluating high-frequency non-stationary algorithmic assets," Econ. Modelling , vol. 119, 106159, 2023.</w:t>
      </w:r>
    </w:p>
    <w:p>
      <w:pPr>
        <w:jc w:val="left"/>
        <w:ind w:left="360" w:hanging="360"/>
        <w:spacing w:before="0" w:after="30"/>
      </w:pPr>
      <w:r>
        <w:rPr>
          <w:rFonts w:ascii="Times New Roman" w:hAnsi="Times New Roman"/>
          <w:b w:val="0"/>
          <w:i w:val="0"/>
          <w:sz w:val="16"/>
          <w:rFonts w:ascii="Times New Roman" w:hAnsi="Times New Roman" w:cs="Times New Roman"/>
        </w:rPr>
        <w:t>[27] R. Sharda, D. Delen, and E. Turban, Business Intelligence, Analytics, and Data Science: A Managerial Perspective , 4th ed. Pearson, 2017.</w:t>
      </w:r>
    </w:p>
    <w:p>
      <w:pPr>
        <w:jc w:val="left"/>
        <w:ind w:left="360" w:hanging="360"/>
        <w:spacing w:before="0" w:after="30"/>
      </w:pPr>
      <w:r>
        <w:rPr>
          <w:rFonts w:ascii="Times New Roman" w:hAnsi="Times New Roman"/>
          <w:b w:val="0"/>
          <w:i w:val="0"/>
          <w:sz w:val="16"/>
          <w:rFonts w:ascii="Times New Roman" w:hAnsi="Times New Roman" w:cs="Times New Roman"/>
        </w:rPr>
        <w:t>[28] D. Arnott and G. Pervan, "A critical analysis of decision support systems research revisited: The rise of design science," J. Inf. Technol. , vol. 29, no. 4, pp. 269-293, 2014.</w:t>
      </w:r>
    </w:p>
    <w:p>
      <w:pPr>
        <w:jc w:val="left"/>
        <w:ind w:left="360" w:hanging="360"/>
        <w:spacing w:before="0" w:after="30"/>
      </w:pPr>
      <w:r>
        <w:rPr>
          <w:rFonts w:ascii="Times New Roman" w:hAnsi="Times New Roman"/>
          <w:b w:val="0"/>
          <w:i w:val="0"/>
          <w:sz w:val="16"/>
          <w:rFonts w:ascii="Times New Roman" w:hAnsi="Times New Roman" w:cs="Times New Roman"/>
        </w:rPr>
        <w:t>[29] P. Jorion, Value at Risk: The New Benchmark for Managing Financial Risk , 3rd ed. New York, NY, USA: McGraw-Hill Education, 2006.</w:t>
      </w:r>
    </w:p>
    <w:p>
      <w:pPr>
        <w:jc w:val="left"/>
        <w:ind w:left="360" w:hanging="360"/>
        <w:spacing w:before="0" w:after="30"/>
      </w:pPr>
      <w:r>
        <w:rPr>
          <w:rFonts w:ascii="Times New Roman" w:hAnsi="Times New Roman"/>
          <w:b w:val="0"/>
          <w:i w:val="0"/>
          <w:sz w:val="16"/>
          <w:rFonts w:ascii="Times New Roman" w:hAnsi="Times New Roman" w:cs="Times New Roman"/>
        </w:rPr>
        <w:t>[30] Binance, "Binance Spot API Documentation," Binance Technical Engineering, 2024. [Online]. Available: https://binance-docs.github.io/apidocs/spot/en/.</w:t>
      </w:r>
    </w:p>
    <w:p>
      <w:pPr>
        <w:jc w:val="left"/>
        <w:ind w:left="360" w:hanging="360"/>
        <w:spacing w:before="0" w:after="30"/>
      </w:pPr>
      <w:r>
        <w:rPr>
          <w:rFonts w:ascii="Times New Roman" w:hAnsi="Times New Roman"/>
          <w:b w:val="0"/>
          <w:i w:val="0"/>
          <w:sz w:val="16"/>
          <w:rFonts w:ascii="Times New Roman" w:hAnsi="Times New Roman" w:cs="Times New Roman"/>
        </w:rPr>
        <w:t>[31] J. Han, M. Kamber, and J. Pei, Data Mining: Concepts and Techniques , 3rd ed. Waltham, MA, USA: Morgan Kaufmann, 2011.</w:t>
      </w:r>
    </w:p>
    <w:p>
      <w:pPr>
        <w:jc w:val="left"/>
        <w:ind w:left="360" w:hanging="360"/>
        <w:spacing w:before="0" w:after="30"/>
      </w:pPr>
      <w:r>
        <w:rPr>
          <w:rFonts w:ascii="Times New Roman" w:hAnsi="Times New Roman"/>
          <w:b w:val="0"/>
          <w:i w:val="0"/>
          <w:sz w:val="16"/>
          <w:rFonts w:ascii="Times New Roman" w:hAnsi="Times New Roman" w:cs="Times New Roman"/>
        </w:rPr>
        <w:t>[32] R. J. Hyndman and G. Athanasopoulos, Forecasting: Principles and Practice , 3rd ed. Melbourne, Australia: OTexts, 2021.</w:t>
      </w:r>
    </w:p>
    <w:p>
      <w:pPr>
        <w:jc w:val="left"/>
        <w:ind w:left="360" w:hanging="360"/>
        <w:spacing w:before="0" w:after="30"/>
      </w:pPr>
      <w:r>
        <w:rPr>
          <w:rFonts w:ascii="Times New Roman" w:hAnsi="Times New Roman"/>
          <w:b w:val="0"/>
          <w:i w:val="0"/>
          <w:sz w:val="16"/>
          <w:rFonts w:ascii="Times New Roman" w:hAnsi="Times New Roman" w:cs="Times New Roman"/>
        </w:rPr>
        <w:t>[33] R. S. Tsay, Analysis of Financial Time Series , 3rd ed. Hoboken, NJ, USA: John Wiley &amp; Sons, 2010.</w:t>
      </w:r>
    </w:p>
    <w:p>
      <w:pPr>
        <w:jc w:val="left"/>
        <w:ind w:left="360" w:hanging="360"/>
        <w:spacing w:before="0" w:after="30"/>
      </w:pPr>
      <w:r>
        <w:rPr>
          <w:rFonts w:ascii="Times New Roman" w:hAnsi="Times New Roman"/>
          <w:b w:val="0"/>
          <w:i w:val="0"/>
          <w:sz w:val="16"/>
          <w:rFonts w:ascii="Times New Roman" w:hAnsi="Times New Roman" w:cs="Times New Roman"/>
        </w:rPr>
        <w:t>[34] M. L. de Prado, Advances in Financial Machine Learning . Hoboken, NJ, USA: John Wiley &amp; Sons, 2018.</w:t>
      </w:r>
    </w:p>
    <w:p>
      <w:pPr>
        <w:jc w:val="left"/>
        <w:ind w:left="360" w:hanging="360"/>
        <w:spacing w:before="0" w:after="30"/>
      </w:pPr>
      <w:r>
        <w:rPr>
          <w:rFonts w:ascii="Times New Roman" w:hAnsi="Times New Roman"/>
          <w:b w:val="0"/>
          <w:i w:val="0"/>
          <w:sz w:val="16"/>
          <w:rFonts w:ascii="Times New Roman" w:hAnsi="Times New Roman" w:cs="Times New Roman"/>
        </w:rPr>
        <w:t>[35] S. M. Lundberg and S. I. Lee, "A Unified Approach to Interpreting Model Predictions," in Advances in Neural Information Processing Systems (NeurIPS) , 2017, pp. 4765-4774.</w:t>
      </w:r>
    </w:p>
    <w:p>
      <w:pPr>
        <w:jc w:val="left"/>
        <w:ind w:left="360" w:hanging="360"/>
        <w:spacing w:before="0" w:after="30"/>
      </w:pPr>
      <w:r>
        <w:rPr>
          <w:rFonts w:ascii="Times New Roman" w:hAnsi="Times New Roman"/>
          <w:b w:val="0"/>
          <w:i w:val="0"/>
          <w:sz w:val="16"/>
          <w:rFonts w:ascii="Times New Roman" w:hAnsi="Times New Roman" w:cs="Times New Roman"/>
        </w:rPr>
        <w:t>[36] F. Diebold and R. Mariano, "Comparing Predictive Accuracy," J. Bus. Econ. Stat. , vol. 13, pp. 253-263, 1995.</w:t>
      </w:r>
    </w:p>
    <w:p>
      <w:pPr>
        <w:jc w:val="left"/>
        <w:ind w:left="360" w:hanging="360"/>
        <w:spacing w:before="0" w:after="30"/>
      </w:pPr>
      <w:r>
        <w:rPr>
          <w:rFonts w:ascii="Times New Roman" w:hAnsi="Times New Roman"/>
          <w:b w:val="0"/>
          <w:i w:val="0"/>
          <w:sz w:val="16"/>
          <w:rFonts w:ascii="Times New Roman" w:hAnsi="Times New Roman" w:cs="Times New Roman"/>
        </w:rPr>
        <w:t>[37] J. Bollen, H. Mao, and X. Zeng, "Twitter mood predicts the stock market," J. Comput. Sci. , vol. 2, no. 1, pp. 1-8, 2011.</w:t>
      </w:r>
    </w:p>
    <w:p>
      <w:pPr>
        <w:jc w:val="left"/>
        <w:ind w:left="360" w:hanging="360"/>
        <w:spacing w:before="0" w:after="30"/>
      </w:pPr>
      <w:r>
        <w:rPr>
          <w:rFonts w:ascii="Times New Roman" w:hAnsi="Times New Roman"/>
          <w:b w:val="0"/>
          <w:i w:val="0"/>
          <w:sz w:val="16"/>
          <w:rFonts w:ascii="Times New Roman" w:hAnsi="Times New Roman" w:cs="Times New Roman"/>
        </w:rPr>
        <w:t>[38] I. E. Livieris et al., "Attention-based CNN-LSTM for high-frequency multiple cryptocurrency trend prediction," Expert Systems with Applications , vol. 213, 119208, 2024. doi: 10.1016/j.eswa.2022.119208.</w:t>
      </w:r>
    </w:p>
    <w:p>
      <w:pPr>
        <w:jc w:val="left"/>
        <w:ind w:left="360" w:hanging="360"/>
        <w:spacing w:before="0" w:after="30"/>
      </w:pPr>
      <w:r>
        <w:rPr>
          <w:rFonts w:ascii="Times New Roman" w:hAnsi="Times New Roman"/>
          <w:b w:val="0"/>
          <w:i w:val="0"/>
          <w:sz w:val="16"/>
          <w:rFonts w:ascii="Times New Roman" w:hAnsi="Times New Roman" w:cs="Times New Roman"/>
        </w:rPr>
        <w:t>[39] J. Brooke, "SUS: A 'Quick and Dirty' Usability Scale," in Usability Evaluation in Industry , P. W. Jordan et al. , Eds. London, UK: Taylor &amp; Francis, 1996, pp. 189-194.</w:t>
      </w:r>
    </w:p>
    <w:p>
      <w:pPr>
        <w:jc w:val="left"/>
        <w:ind w:left="360" w:hanging="360"/>
        <w:spacing w:before="0" w:after="30"/>
      </w:pPr>
      <w:r>
        <w:rPr>
          <w:rFonts w:ascii="Times New Roman" w:hAnsi="Times New Roman"/>
          <w:b w:val="0"/>
          <w:i w:val="0"/>
          <w:sz w:val="16"/>
          <w:rFonts w:ascii="Times New Roman" w:hAnsi="Times New Roman" w:cs="Times New Roman"/>
        </w:rPr>
        <w:t>[40] A. Bangor, P. T. Kortum, and J. T. Miller, "Determining what individual SUS scores mean: Adding an adjective rating scale," Journal of Usability Studies , vol. 4, no. 3, pp. 114-123, 2009.</w:t>
      </w:r>
    </w:p>
    <w:sectPr w:rsidR="00FC693F" w:rsidRPr="0006063C"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