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E03F" w14:textId="77777777" w:rsidR="004C511C" w:rsidRDefault="00751A67">
      <w:pPr>
        <w:spacing w:after="120"/>
        <w:jc w:val="center"/>
      </w:pPr>
      <w:r>
        <w:rPr>
          <w:rFonts w:cs="Times New Roman"/>
          <w:b/>
          <w:sz w:val="32"/>
        </w:rPr>
        <w:t>A Deep Learning and Business Intelligence Framework for Cryptocurrency Price Prediction: Comparative Analysis of Sequence Networks against State-of-the-Art Transformers</w:t>
      </w:r>
    </w:p>
    <w:p w14:paraId="7423991D" w14:textId="77777777" w:rsidR="004C511C" w:rsidRDefault="00751A67">
      <w:pPr>
        <w:spacing w:after="40"/>
        <w:jc w:val="center"/>
      </w:pPr>
      <w:proofErr w:type="spellStart"/>
      <w:r>
        <w:rPr>
          <w:rFonts w:cs="Times New Roman"/>
        </w:rPr>
        <w:t>Asep</w:t>
      </w:r>
      <w:proofErr w:type="spellEnd"/>
      <w:r>
        <w:rPr>
          <w:rFonts w:cs="Times New Roman"/>
        </w:rPr>
        <w:t xml:space="preserve"> </w:t>
      </w:r>
      <w:proofErr w:type="spellStart"/>
      <w:r>
        <w:rPr>
          <w:rFonts w:cs="Times New Roman"/>
        </w:rPr>
        <w:t>Surahman</w:t>
      </w:r>
      <w:proofErr w:type="spellEnd"/>
      <w:r>
        <w:rPr>
          <w:rFonts w:cs="Times New Roman"/>
        </w:rPr>
        <w:t xml:space="preserve"> Sulaeman, Deden </w:t>
      </w:r>
      <w:proofErr w:type="spellStart"/>
      <w:r>
        <w:rPr>
          <w:rFonts w:cs="Times New Roman"/>
        </w:rPr>
        <w:t>Witarsyah</w:t>
      </w:r>
      <w:proofErr w:type="spellEnd"/>
      <w:r>
        <w:rPr>
          <w:rFonts w:cs="Times New Roman"/>
        </w:rPr>
        <w:t xml:space="preserve">, and Aswan Supriyadi </w:t>
      </w:r>
      <w:proofErr w:type="spellStart"/>
      <w:r>
        <w:rPr>
          <w:rFonts w:cs="Times New Roman"/>
        </w:rPr>
        <w:t>Sunge</w:t>
      </w:r>
      <w:proofErr w:type="spellEnd"/>
    </w:p>
    <w:p w14:paraId="14B5F1A3" w14:textId="77777777" w:rsidR="004C511C" w:rsidRDefault="00751A67">
      <w:pPr>
        <w:spacing w:after="20"/>
        <w:jc w:val="center"/>
      </w:pPr>
      <w:r>
        <w:rPr>
          <w:rFonts w:cs="Times New Roman"/>
          <w:i/>
          <w:sz w:val="16"/>
        </w:rPr>
        <w:t xml:space="preserve">1,2 Master of Informatics, Nusa Putra University, </w:t>
      </w:r>
      <w:proofErr w:type="spellStart"/>
      <w:r>
        <w:rPr>
          <w:rFonts w:cs="Times New Roman"/>
          <w:i/>
          <w:sz w:val="16"/>
        </w:rPr>
        <w:t>Sukabumi</w:t>
      </w:r>
      <w:proofErr w:type="spellEnd"/>
      <w:r>
        <w:rPr>
          <w:rFonts w:cs="Times New Roman"/>
          <w:i/>
          <w:sz w:val="16"/>
        </w:rPr>
        <w:t xml:space="preserve">, Indonesia 3 Informatics Engineering, Universitas Pelita </w:t>
      </w:r>
      <w:proofErr w:type="spellStart"/>
      <w:r>
        <w:rPr>
          <w:rFonts w:cs="Times New Roman"/>
          <w:i/>
          <w:sz w:val="16"/>
        </w:rPr>
        <w:t>Bangsa</w:t>
      </w:r>
      <w:proofErr w:type="spellEnd"/>
      <w:r>
        <w:rPr>
          <w:rFonts w:cs="Times New Roman"/>
          <w:i/>
          <w:sz w:val="16"/>
        </w:rPr>
        <w:t>, Indonesia Email: asep.surahman_mti24@nusaputra.ac.id</w:t>
      </w:r>
    </w:p>
    <w:p w14:paraId="2303B6AF" w14:textId="77777777" w:rsidR="004C511C" w:rsidRDefault="004C511C">
      <w:pPr>
        <w:pBdr>
          <w:bottom w:val="single" w:sz="6" w:space="1" w:color="000000"/>
        </w:pBdr>
        <w:spacing w:before="60" w:after="60"/>
      </w:pPr>
    </w:p>
    <w:p w14:paraId="60842174" w14:textId="77777777" w:rsidR="004C511C" w:rsidRDefault="00751A67">
      <w:pPr>
        <w:spacing w:before="40" w:after="40"/>
        <w:ind w:left="360" w:right="360"/>
        <w:jc w:val="both"/>
      </w:pPr>
      <w:r>
        <w:t xml:space="preserve">Abstract—Cryptocurrency markets' inherent volatility complicates predictive modeling, demanding methods that link deep learning with enterprise Decision Support Systems (DSS). This study proposes an automated, four-layer Business Intelligence (BI) pipeline embedding Recurrent and Transformer inferences into an enterprise DSS to dynamically compute Risk-adjusted metrics like Sharpe Ratio and Value-at-Risk. Analyzing 43,786 hourly BTC/USDT records (2021–2026), we evaluated </w:t>
      </w:r>
      <w:proofErr w:type="spellStart"/>
      <w:r>
        <w:t>XGBoost</w:t>
      </w:r>
      <w:proofErr w:type="spellEnd"/>
      <w:r>
        <w:t>, LSTM, GRU, and the Informer Transformer. Walk-Forward Validation established GRU as the most accurate model (RMSE: 0.1058; p &lt; 0.001). However, the BI integration revealed a critical trade-off: despite higher RMSE, LSTM achieved superior Directional Accuracy (72.3%) and Sharpe Ratio (1.45), indicating that numerical error minimization does not inherently guarantee trading profitability. The prototype Microsoft Power BI dashboard demonstrated operational feasibility with an Excellent 86.4 System Usability Scale (SUS) score, verifying that high-frequency neural forecasts can successfully drive real-world institutional risk management tools.</w:t>
      </w:r>
    </w:p>
    <w:p w14:paraId="48043CBA" w14:textId="77777777" w:rsidR="004C511C" w:rsidRDefault="00751A67">
      <w:pPr>
        <w:spacing w:after="80"/>
        <w:ind w:left="360" w:right="360"/>
        <w:jc w:val="both"/>
      </w:pPr>
      <w:r>
        <w:rPr>
          <w:rFonts w:cs="Times New Roman"/>
          <w:b/>
          <w:i/>
        </w:rPr>
        <w:t>Keywords—</w:t>
      </w:r>
      <w:r>
        <w:rPr>
          <w:rFonts w:cs="Times New Roman"/>
        </w:rPr>
        <w:t xml:space="preserve">Business Intelligence, Informer Transformer, </w:t>
      </w:r>
      <w:proofErr w:type="spellStart"/>
      <w:r>
        <w:rPr>
          <w:rFonts w:cs="Times New Roman"/>
        </w:rPr>
        <w:t>XGBoost</w:t>
      </w:r>
      <w:proofErr w:type="spellEnd"/>
      <w:r>
        <w:rPr>
          <w:rFonts w:cs="Times New Roman"/>
        </w:rPr>
        <w:t>, LSTM, GRU, Financial Informatics, Diebold-Mariano Test, Decision Support Systems, Walk-Forward Validation, Explainable AI.</w:t>
      </w:r>
    </w:p>
    <w:p w14:paraId="659A8063" w14:textId="77777777" w:rsidR="004C511C" w:rsidRDefault="004C511C">
      <w:pPr>
        <w:pBdr>
          <w:bottom w:val="single" w:sz="6" w:space="1" w:color="000000"/>
        </w:pBdr>
        <w:spacing w:before="60" w:after="60"/>
      </w:pPr>
    </w:p>
    <w:p w14:paraId="733C477A" w14:textId="77777777" w:rsidR="004C511C" w:rsidRDefault="004C511C">
      <w:pPr>
        <w:spacing w:after="0"/>
        <w:sectPr w:rsidR="004C511C">
          <w:footerReference w:type="default" r:id="rId8"/>
          <w:type w:val="continuous"/>
          <w:pgSz w:w="11906" w:h="16838"/>
          <w:pgMar w:top="1417" w:right="1417" w:bottom="1417" w:left="1701" w:header="720" w:footer="720" w:gutter="0"/>
          <w:cols w:space="360"/>
        </w:sectPr>
      </w:pPr>
    </w:p>
    <w:p w14:paraId="6A8F1AA3" w14:textId="77777777" w:rsidR="004C511C" w:rsidRDefault="00751A67">
      <w:pPr>
        <w:spacing w:before="120" w:after="60"/>
      </w:pPr>
      <w:r>
        <w:rPr>
          <w:b/>
        </w:rPr>
        <w:lastRenderedPageBreak/>
        <w:t>1. INTRODUCTION</w:t>
      </w:r>
    </w:p>
    <w:p w14:paraId="0EFDE138" w14:textId="77777777" w:rsidR="004C511C" w:rsidRDefault="00751A67">
      <w:pPr>
        <w:spacing w:after="60"/>
        <w:ind w:firstLine="216"/>
        <w:jc w:val="both"/>
      </w:pPr>
      <w:r>
        <w:rPr>
          <w:rFonts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14:paraId="3CB5DA71" w14:textId="77777777" w:rsidR="004C511C" w:rsidRDefault="00751A67">
      <w:pPr>
        <w:spacing w:after="60"/>
        <w:ind w:firstLine="216"/>
        <w:jc w:val="both"/>
      </w:pPr>
      <w:r>
        <w:rPr>
          <w:rFonts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14:paraId="2789E443" w14:textId="77777777" w:rsidR="004C511C" w:rsidRDefault="00751A67">
      <w:pPr>
        <w:spacing w:after="60"/>
        <w:ind w:firstLine="216"/>
        <w:jc w:val="both"/>
      </w:pPr>
      <w:r>
        <w:rPr>
          <w:rFonts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14:paraId="7006B58E" w14:textId="77777777" w:rsidR="004C511C" w:rsidRDefault="00751A67">
      <w:pPr>
        <w:spacing w:after="60"/>
        <w:ind w:firstLine="216"/>
        <w:jc w:val="both"/>
      </w:pPr>
      <w:r>
        <w:rPr>
          <w:rFonts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w:t>
      </w:r>
      <w:proofErr w:type="spellStart"/>
      <w:r>
        <w:rPr>
          <w:rFonts w:cs="Times New Roman"/>
        </w:rPr>
        <w:t>XGBoost</w:t>
      </w:r>
      <w:proofErr w:type="spellEnd"/>
      <w:r>
        <w:rPr>
          <w:rFonts w:cs="Times New Roman"/>
        </w:rPr>
        <w:t>), sequence-based networks (LSTM and GRU), and the state-of-the-art Informer Transformer on high-frequency hourly cryptocurrency data.</w:t>
      </w:r>
    </w:p>
    <w:p w14:paraId="4C6FF2E9" w14:textId="77777777" w:rsidR="004C511C" w:rsidRDefault="00751A67">
      <w:pPr>
        <w:spacing w:before="120" w:after="60"/>
      </w:pPr>
      <w:r>
        <w:rPr>
          <w:b/>
        </w:rPr>
        <w:t>2. LITERATURE REVIEW AND RELATED WORK</w:t>
      </w:r>
    </w:p>
    <w:p w14:paraId="7DC6A4E4" w14:textId="77777777" w:rsidR="004C511C" w:rsidRDefault="00751A67">
      <w:pPr>
        <w:spacing w:after="60"/>
        <w:ind w:firstLine="216"/>
        <w:jc w:val="both"/>
      </w:pPr>
      <w:r>
        <w:rPr>
          <w:rFonts w:cs="Times New Roman"/>
        </w:rPr>
        <w:t>Predictive applications in cryptocurrency analytics have transitioned from standard regression models toward more complex deep learning sequences.</w:t>
      </w:r>
    </w:p>
    <w:p w14:paraId="48B0AD46" w14:textId="77777777" w:rsidR="004C511C" w:rsidRDefault="00751A67">
      <w:pPr>
        <w:spacing w:before="80" w:after="40"/>
      </w:pPr>
      <w:r>
        <w:rPr>
          <w:b/>
        </w:rPr>
        <w:t>2.1. Baselines and Deep Sequences (RNNs)</w:t>
      </w:r>
    </w:p>
    <w:p w14:paraId="3CF42661" w14:textId="77777777" w:rsidR="004C511C" w:rsidRDefault="00751A67">
      <w:pPr>
        <w:spacing w:after="60"/>
        <w:ind w:firstLine="216"/>
        <w:jc w:val="both"/>
      </w:pPr>
      <w:r>
        <w:rPr>
          <w:rFonts w:cs="Times New Roman"/>
        </w:rPr>
        <w:t>Tree-based machine learning models, notably Extreme Gradient Boosting (</w:t>
      </w:r>
      <w:proofErr w:type="spellStart"/>
      <w:r>
        <w:rPr>
          <w:rFonts w:cs="Times New Roman"/>
        </w:rPr>
        <w:t>XGBoost</w:t>
      </w:r>
      <w:proofErr w:type="spellEnd"/>
      <w:r>
        <w:rPr>
          <w:rFonts w:cs="Times New Roman"/>
        </w:rPr>
        <w:t xml:space="preserve">),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w:t>
      </w:r>
      <w:proofErr w:type="spellStart"/>
      <w:r>
        <w:rPr>
          <w:rFonts w:cs="Times New Roman"/>
        </w:rPr>
        <w:t>Schmidhuber</w:t>
      </w:r>
      <w:proofErr w:type="spellEnd"/>
      <w:r>
        <w:rPr>
          <w:rFonts w:cs="Times New Roman"/>
        </w:rPr>
        <w:t xml:space="preserve">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w:t>
      </w:r>
      <w:proofErr w:type="gramStart"/>
      <w:r>
        <w:rPr>
          <w:rFonts w:cs="Times New Roman"/>
        </w:rPr>
        <w:t>–[</w:t>
      </w:r>
      <w:proofErr w:type="gramEnd"/>
      <w:r>
        <w:rPr>
          <w:rFonts w:cs="Times New Roman"/>
        </w:rPr>
        <w:t>18].</w:t>
      </w:r>
    </w:p>
    <w:p w14:paraId="7D7129CE" w14:textId="77777777" w:rsidR="004C511C" w:rsidRDefault="00751A67">
      <w:pPr>
        <w:spacing w:before="80" w:after="40"/>
      </w:pPr>
      <w:r>
        <w:rPr>
          <w:b/>
        </w:rPr>
        <w:t>2.2. Transformers in Time Series</w:t>
      </w:r>
    </w:p>
    <w:p w14:paraId="795DCA7B" w14:textId="21C0B9AB" w:rsidR="004C511C" w:rsidRDefault="00751A67">
      <w:pPr>
        <w:spacing w:after="60"/>
        <w:ind w:firstLine="216"/>
        <w:jc w:val="both"/>
      </w:pPr>
      <w:r>
        <w:rPr>
          <w:rFonts w:cs="Times New Roman"/>
        </w:rPr>
        <w:t>Transformer architectures, relying on Attention mechanisms [19], have increasingly been adapted for Time-Series forecasting [20]. The Informer Transformer [21], which utilizes sparse probabilistic self-attention (</w:t>
      </w:r>
      <m:oMath>
        <m:r>
          <w:rPr>
            <w:rFonts w:ascii="Cambria Math" w:hAnsi="Cambria Math"/>
          </w:rPr>
          <m:t>O(L</m:t>
        </m:r>
        <m:r>
          <m:rPr>
            <m:sty m:val="p"/>
          </m:rPr>
          <w:rPr>
            <w:rFonts w:ascii="Cambria Math" w:hAnsi="Cambria Math"/>
          </w:rPr>
          <m:t>log</m:t>
        </m:r>
        <m:r>
          <w:rPr>
            <w:rFonts w:ascii="Cambria Math" w:hAnsi="Cambria Math"/>
          </w:rPr>
          <m:t>L)</m:t>
        </m:r>
      </m:oMath>
      <w:r>
        <w:rPr>
          <w:rFonts w:cs="Times New Roman"/>
        </w:rPr>
        <w:t xml:space="preserve">),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w:t>
      </w:r>
      <w:proofErr w:type="spellStart"/>
      <w:r>
        <w:rPr>
          <w:rFonts w:cs="Times New Roman"/>
        </w:rPr>
        <w:t>Zerveas</w:t>
      </w:r>
      <w:proofErr w:type="spellEnd"/>
      <w:r>
        <w:rPr>
          <w:rFonts w:cs="Times New Roman"/>
        </w:rPr>
        <w:t xml:space="preserve"> et al. [24] noted that Transformers often excel at multi-variate modeling across extended horizons but may suffer from overfitting or severe computational latency during chaotic, short-horizon environments, such as 1-hour intervals [25], [26].</w:t>
      </w:r>
    </w:p>
    <w:p w14:paraId="1E2DBA43" w14:textId="77777777" w:rsidR="004C511C" w:rsidRDefault="00751A67">
      <w:pPr>
        <w:spacing w:before="80" w:after="40"/>
      </w:pPr>
      <w:r>
        <w:rPr>
          <w:b/>
        </w:rPr>
        <w:t>2.3. The Need for BI Integration and Scope Justification</w:t>
      </w:r>
    </w:p>
    <w:p w14:paraId="5B4F4D44" w14:textId="77777777" w:rsidR="004C511C" w:rsidRDefault="00751A67">
      <w:pPr>
        <w:spacing w:after="60"/>
        <w:ind w:firstLine="216"/>
        <w:jc w:val="both"/>
      </w:pPr>
      <w:r>
        <w:rPr>
          <w:rFonts w:cs="Times New Roman"/>
        </w:rPr>
        <w:t xml:space="preserve">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w:t>
      </w:r>
      <w:r>
        <w:rPr>
          <w:rFonts w:cs="Times New Roman"/>
        </w:rPr>
        <w:lastRenderedPageBreak/>
        <w:t>into BI dashboards that compute Sharpe Ratios and Value-at-Risk (</w:t>
      </w:r>
      <w:proofErr w:type="spellStart"/>
      <w:r>
        <w:rPr>
          <w:rFonts w:cs="Times New Roman"/>
        </w:rPr>
        <w:t>VaR</w:t>
      </w:r>
      <w:proofErr w:type="spellEnd"/>
      <w:r>
        <w:rPr>
          <w:rFonts w:cs="Times New Roman"/>
        </w:rPr>
        <w:t>)—metrics directly actionable in risk management—represents the principal novelty of this study [29].</w:t>
      </w:r>
    </w:p>
    <w:p w14:paraId="0C541B00" w14:textId="77777777" w:rsidR="004C511C" w:rsidRDefault="00751A67">
      <w:pPr>
        <w:spacing w:after="60"/>
        <w:ind w:firstLine="216"/>
        <w:jc w:val="both"/>
      </w:pPr>
      <w:r>
        <w:rPr>
          <w:rFonts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14:paraId="119C74B1" w14:textId="77777777" w:rsidR="004C511C" w:rsidRDefault="00751A67">
      <w:pPr>
        <w:spacing w:before="120" w:after="60"/>
      </w:pPr>
      <w:r>
        <w:rPr>
          <w:b/>
        </w:rPr>
        <w:t>3. SYSTEM ARCHITECTURE AND FRAMEWORK DESIGN</w:t>
      </w:r>
    </w:p>
    <w:p w14:paraId="3A356BCA" w14:textId="77777777" w:rsidR="004C511C" w:rsidRDefault="00751A67">
      <w:pPr>
        <w:spacing w:after="60"/>
        <w:ind w:firstLine="216"/>
        <w:jc w:val="both"/>
      </w:pPr>
      <w:r>
        <w:rPr>
          <w:rFonts w:cs="Times New Roman"/>
        </w:rPr>
        <w:t xml:space="preserve">The proposed framework adopts </w:t>
      </w:r>
      <w:proofErr w:type="gramStart"/>
      <w:r>
        <w:rPr>
          <w:rFonts w:cs="Times New Roman"/>
        </w:rPr>
        <w:t>a four-layer architecture mapping data ingestions</w:t>
      </w:r>
      <w:proofErr w:type="gramEnd"/>
      <w:r>
        <w:rPr>
          <w:rFonts w:cs="Times New Roman"/>
        </w:rPr>
        <w:t xml:space="preserve"> directly into a BI interface.</w:t>
      </w:r>
    </w:p>
    <w:p w14:paraId="2E74F4C8" w14:textId="77777777" w:rsidR="004C511C" w:rsidRDefault="00751A67">
      <w:pPr>
        <w:spacing w:before="80" w:after="40"/>
      </w:pPr>
      <w:r>
        <w:rPr>
          <w:b/>
        </w:rPr>
        <w:t>3.1. High-Frequency Data Extraction</w:t>
      </w:r>
    </w:p>
    <w:p w14:paraId="57DF72AC" w14:textId="02B1D8B9" w:rsidR="004C511C" w:rsidRDefault="00751A67">
      <w:pPr>
        <w:spacing w:after="60"/>
        <w:ind w:firstLine="216"/>
        <w:jc w:val="both"/>
      </w:pPr>
      <w:r>
        <w:rPr>
          <w:rFonts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w:t>
      </w:r>
      <m:oMath>
        <m:r>
          <w:rPr>
            <w:rFonts w:ascii="Cambria Math" w:hAnsi="Cambria Math"/>
          </w:rPr>
          <m:t>p&lt;0.05</m:t>
        </m:r>
      </m:oMath>
      <w:r>
        <w:rPr>
          <w:rFonts w:cs="Times New Roman"/>
        </w:rPr>
        <w:t>) and ensuring compliance with stationarity preconditions required for reliable sequential deep learning inference.</w:t>
      </w:r>
    </w:p>
    <w:p w14:paraId="323F1E68" w14:textId="77777777" w:rsidR="004C511C" w:rsidRDefault="00751A67">
      <w:pPr>
        <w:spacing w:before="80" w:after="40"/>
      </w:pPr>
      <w:r>
        <w:rPr>
          <w:b/>
        </w:rPr>
        <w:t>3.2. Walk-Forward Validation Protocol</w:t>
      </w:r>
    </w:p>
    <w:p w14:paraId="3A7E412A" w14:textId="77777777" w:rsidR="004C511C" w:rsidRDefault="00751A67">
      <w:pPr>
        <w:spacing w:after="60"/>
        <w:ind w:firstLine="216"/>
        <w:jc w:val="both"/>
      </w:pPr>
      <w:r>
        <w:rPr>
          <w:rFonts w:cs="Times New Roman"/>
        </w:rPr>
        <w:t>Missing API timestamps (~0.4% dropout rate) were handled using polynomial linear interpolation [31]. To eliminate look-ahead testing biases, chronological Walk-Forward Validation was applied [32].</w:t>
      </w:r>
    </w:p>
    <w:p w14:paraId="1896C9BE" w14:textId="77777777" w:rsidR="004C511C" w:rsidRDefault="00751A67">
      <w:pPr>
        <w:pBdr>
          <w:top w:val="double" w:sz="6" w:space="0" w:color="000000"/>
          <w:bottom w:val="single" w:sz="4" w:space="0" w:color="000000"/>
        </w:pBdr>
        <w:spacing w:before="60" w:after="30"/>
        <w:jc w:val="both"/>
      </w:pPr>
      <w:r>
        <w:rPr>
          <w:rFonts w:cs="Times New Roman"/>
          <w:b/>
        </w:rPr>
        <w:t>Algorithm 14-Layer BI-ML Implementation Pipeline</w:t>
      </w:r>
    </w:p>
    <w:p w14:paraId="6BC63D8F" w14:textId="77777777" w:rsidR="004C511C" w:rsidRDefault="00751A67">
      <w:pPr>
        <w:spacing w:after="0"/>
        <w:jc w:val="both"/>
      </w:pPr>
      <w:r>
        <w:rPr>
          <w:rFonts w:cs="Times New Roman"/>
        </w:rPr>
        <w:t>Input:</w:t>
      </w:r>
    </w:p>
    <w:p w14:paraId="2F34985A" w14:textId="77777777" w:rsidR="004C511C" w:rsidRDefault="00751A67">
      <w:pPr>
        <w:spacing w:after="0"/>
        <w:jc w:val="both"/>
      </w:pPr>
      <w:r>
        <w:rPr>
          <w:rFonts w:cs="Times New Roman"/>
        </w:rPr>
        <w:t>High-frequency Cryptocurrency OHLCV Spot Data</w:t>
      </w:r>
    </w:p>
    <w:p w14:paraId="0FC582D9" w14:textId="77777777" w:rsidR="004C511C" w:rsidRDefault="00751A67">
      <w:pPr>
        <w:spacing w:after="0"/>
        <w:jc w:val="both"/>
      </w:pPr>
      <w:r>
        <w:rPr>
          <w:rFonts w:cs="Times New Roman"/>
        </w:rPr>
        <w:t>Output:</w:t>
      </w:r>
    </w:p>
    <w:p w14:paraId="2739839E" w14:textId="77777777" w:rsidR="004C511C" w:rsidRDefault="00751A67">
      <w:pPr>
        <w:spacing w:after="0"/>
        <w:jc w:val="both"/>
      </w:pPr>
      <w:r>
        <w:rPr>
          <w:rFonts w:cs="Times New Roman"/>
        </w:rPr>
        <w:t>Risk-adjusted Dashboard Matrix (</w:t>
      </w:r>
    </w:p>
    <w:p w14:paraId="647B147F" w14:textId="77777777" w:rsidR="004C511C" w:rsidRDefault="00751A67">
      <w:pPr>
        <w:spacing w:after="0"/>
        <w:jc w:val="both"/>
      </w:pPr>
      <w:r>
        <w:rPr>
          <w:rFonts w:cs="Times New Roman"/>
        </w:rPr>
        <w:t xml:space="preserve">Sharpe Ratio, </w:t>
      </w:r>
      <w:proofErr w:type="spellStart"/>
      <w:r>
        <w:rPr>
          <w:rFonts w:cs="Times New Roman"/>
        </w:rPr>
        <w:t>VaR</w:t>
      </w:r>
      <w:proofErr w:type="spellEnd"/>
    </w:p>
    <w:p w14:paraId="60CE2CA5" w14:textId="77777777" w:rsidR="004C511C" w:rsidRDefault="00751A67">
      <w:pPr>
        <w:spacing w:after="0"/>
        <w:jc w:val="both"/>
      </w:pPr>
      <w:r>
        <w:rPr>
          <w:rFonts w:cs="Times New Roman"/>
        </w:rPr>
        <w:t>)</w:t>
      </w:r>
    </w:p>
    <w:p w14:paraId="60938DFB" w14:textId="77777777" w:rsidR="004C511C" w:rsidRDefault="00751A67">
      <w:pPr>
        <w:spacing w:after="0"/>
        <w:jc w:val="both"/>
      </w:pPr>
      <w:r>
        <w:rPr>
          <w:rFonts w:cs="Times New Roman"/>
        </w:rPr>
        <w:t>1:</w:t>
      </w:r>
    </w:p>
    <w:p w14:paraId="17BAC06F" w14:textId="77777777" w:rsidR="004C511C" w:rsidRDefault="00751A67">
      <w:pPr>
        <w:spacing w:after="0"/>
        <w:jc w:val="both"/>
      </w:pPr>
      <w:r>
        <w:rPr>
          <w:rFonts w:cs="Times New Roman"/>
        </w:rPr>
        <w:t>// Layer 1: Data Ingestion</w:t>
      </w:r>
    </w:p>
    <w:p w14:paraId="72752B87" w14:textId="77777777" w:rsidR="004C511C" w:rsidRDefault="00751A67">
      <w:pPr>
        <w:spacing w:after="0"/>
        <w:jc w:val="both"/>
      </w:pPr>
      <w:r>
        <w:rPr>
          <w:rFonts w:cs="Times New Roman"/>
        </w:rPr>
        <w:t xml:space="preserve">2: raw\_data ← </w:t>
      </w:r>
      <w:proofErr w:type="spellStart"/>
      <w:proofErr w:type="gramStart"/>
      <w:r>
        <w:rPr>
          <w:rFonts w:cs="Times New Roman"/>
        </w:rPr>
        <w:t>BinanceAPI</w:t>
      </w:r>
      <w:proofErr w:type="spellEnd"/>
      <w:r>
        <w:rPr>
          <w:rFonts w:cs="Times New Roman"/>
        </w:rPr>
        <w:t>(</w:t>
      </w:r>
      <w:proofErr w:type="gramEnd"/>
      <w:r>
        <w:rPr>
          <w:rFonts w:cs="Times New Roman"/>
        </w:rPr>
        <w:t>symbol="BTCUSDT", interval="1h")</w:t>
      </w:r>
    </w:p>
    <w:p w14:paraId="1413C5A5" w14:textId="77777777" w:rsidR="004C511C" w:rsidRDefault="00751A67">
      <w:pPr>
        <w:spacing w:after="0"/>
        <w:jc w:val="both"/>
      </w:pPr>
      <w:r>
        <w:rPr>
          <w:rFonts w:cs="Times New Roman"/>
        </w:rPr>
        <w:t>3:</w:t>
      </w:r>
    </w:p>
    <w:p w14:paraId="5591F81F" w14:textId="77777777" w:rsidR="004C511C" w:rsidRDefault="00751A67">
      <w:pPr>
        <w:spacing w:after="0"/>
        <w:jc w:val="both"/>
      </w:pPr>
      <w:r>
        <w:rPr>
          <w:rFonts w:cs="Times New Roman"/>
        </w:rPr>
        <w:t>4:</w:t>
      </w:r>
    </w:p>
    <w:p w14:paraId="5BE8AB68" w14:textId="77777777" w:rsidR="004C511C" w:rsidRDefault="00751A67">
      <w:pPr>
        <w:spacing w:after="0"/>
        <w:jc w:val="both"/>
      </w:pPr>
      <w:r>
        <w:rPr>
          <w:rFonts w:cs="Times New Roman"/>
        </w:rPr>
        <w:t>// Layer 2: ETL Transformation &amp; Feature Engineering</w:t>
      </w:r>
    </w:p>
    <w:p w14:paraId="08048F13" w14:textId="77777777" w:rsidR="004C511C" w:rsidRDefault="00751A67">
      <w:pPr>
        <w:spacing w:after="0"/>
        <w:jc w:val="both"/>
      </w:pPr>
      <w:r>
        <w:rPr>
          <w:rFonts w:cs="Times New Roman"/>
        </w:rPr>
        <w:t xml:space="preserve">5: clean\_data ← </w:t>
      </w:r>
      <w:proofErr w:type="spellStart"/>
      <w:r>
        <w:rPr>
          <w:rFonts w:cs="Times New Roman"/>
        </w:rPr>
        <w:t>PolynomialInterpolate</w:t>
      </w:r>
      <w:proofErr w:type="spellEnd"/>
      <w:r>
        <w:rPr>
          <w:rFonts w:cs="Times New Roman"/>
        </w:rPr>
        <w:t>(raw\_data)</w:t>
      </w:r>
    </w:p>
    <w:p w14:paraId="31F17AA9" w14:textId="77777777" w:rsidR="004C511C" w:rsidRDefault="00751A67">
      <w:pPr>
        <w:spacing w:after="0"/>
        <w:jc w:val="both"/>
      </w:pPr>
      <w:r>
        <w:rPr>
          <w:rFonts w:cs="Times New Roman"/>
        </w:rPr>
        <w:t xml:space="preserve">6: Extracted\_Features ← </w:t>
      </w:r>
      <w:proofErr w:type="spellStart"/>
      <w:r>
        <w:rPr>
          <w:rFonts w:cs="Times New Roman"/>
        </w:rPr>
        <w:t>GenerateIndicators</w:t>
      </w:r>
      <w:proofErr w:type="spellEnd"/>
      <w:r>
        <w:rPr>
          <w:rFonts w:cs="Times New Roman"/>
        </w:rPr>
        <w:t>(clean\_data)</w:t>
      </w:r>
    </w:p>
    <w:p w14:paraId="17FB660F" w14:textId="77777777" w:rsidR="004C511C" w:rsidRDefault="00751A67">
      <w:pPr>
        <w:spacing w:after="0"/>
        <w:jc w:val="both"/>
      </w:pPr>
      <w:r>
        <w:rPr>
          <w:rFonts w:cs="Times New Roman"/>
        </w:rPr>
        <w:t>// MACD, \</w:t>
      </w:r>
      <w:proofErr w:type="spellStart"/>
      <w:r>
        <w:rPr>
          <w:rFonts w:cs="Times New Roman"/>
        </w:rPr>
        <w:t>sigma_t</w:t>
      </w:r>
      <w:proofErr w:type="spellEnd"/>
    </w:p>
    <w:p w14:paraId="22871DED" w14:textId="77777777" w:rsidR="004C511C" w:rsidRDefault="00751A67">
      <w:pPr>
        <w:spacing w:after="0"/>
        <w:jc w:val="both"/>
      </w:pPr>
      <w:r>
        <w:rPr>
          <w:rFonts w:cs="Times New Roman"/>
        </w:rPr>
        <w:t xml:space="preserve">7: Folds ← </w:t>
      </w:r>
      <w:proofErr w:type="spellStart"/>
      <w:proofErr w:type="gramStart"/>
      <w:r>
        <w:rPr>
          <w:rFonts w:cs="Times New Roman"/>
        </w:rPr>
        <w:t>WalkForwardSplit</w:t>
      </w:r>
      <w:proofErr w:type="spellEnd"/>
      <w:r>
        <w:rPr>
          <w:rFonts w:cs="Times New Roman"/>
        </w:rPr>
        <w:t>(</w:t>
      </w:r>
      <w:proofErr w:type="gramEnd"/>
      <w:r>
        <w:rPr>
          <w:rFonts w:cs="Times New Roman"/>
        </w:rPr>
        <w:t>Extracted\_Features, train=720, test=168)</w:t>
      </w:r>
    </w:p>
    <w:p w14:paraId="3493C3B9" w14:textId="77777777" w:rsidR="004C511C" w:rsidRDefault="00751A67">
      <w:pPr>
        <w:spacing w:after="0"/>
        <w:jc w:val="both"/>
      </w:pPr>
      <w:r>
        <w:rPr>
          <w:rFonts w:cs="Times New Roman"/>
        </w:rPr>
        <w:t>8:</w:t>
      </w:r>
    </w:p>
    <w:p w14:paraId="23C853A5" w14:textId="77777777" w:rsidR="004C511C" w:rsidRDefault="00751A67">
      <w:pPr>
        <w:spacing w:after="0"/>
        <w:jc w:val="both"/>
      </w:pPr>
      <w:r>
        <w:rPr>
          <w:rFonts w:cs="Times New Roman"/>
        </w:rPr>
        <w:t>9:</w:t>
      </w:r>
    </w:p>
    <w:p w14:paraId="573DA6B3" w14:textId="77777777" w:rsidR="004C511C" w:rsidRDefault="00751A67">
      <w:pPr>
        <w:spacing w:after="0"/>
        <w:jc w:val="both"/>
      </w:pPr>
      <w:r>
        <w:rPr>
          <w:rFonts w:cs="Times New Roman"/>
        </w:rPr>
        <w:t>// Layer 3: ML Inference Regimes</w:t>
      </w:r>
    </w:p>
    <w:p w14:paraId="7330FEFC" w14:textId="77777777" w:rsidR="004C511C" w:rsidRDefault="00751A67">
      <w:pPr>
        <w:spacing w:after="0"/>
        <w:jc w:val="both"/>
      </w:pPr>
      <w:r>
        <w:rPr>
          <w:rFonts w:cs="Times New Roman"/>
        </w:rPr>
        <w:t>10:</w:t>
      </w:r>
    </w:p>
    <w:p w14:paraId="39B30135" w14:textId="77777777" w:rsidR="004C511C" w:rsidRDefault="00751A67">
      <w:pPr>
        <w:spacing w:after="0"/>
        <w:jc w:val="both"/>
      </w:pPr>
      <w:r>
        <w:rPr>
          <w:rFonts w:cs="Times New Roman"/>
        </w:rPr>
        <w:t>for</w:t>
      </w:r>
    </w:p>
    <w:p w14:paraId="23422B3E" w14:textId="77777777" w:rsidR="004C511C" w:rsidRDefault="00751A67">
      <w:pPr>
        <w:spacing w:after="0"/>
        <w:jc w:val="both"/>
      </w:pPr>
      <w:r>
        <w:rPr>
          <w:rFonts w:cs="Times New Roman"/>
        </w:rPr>
        <w:lastRenderedPageBreak/>
        <w:t>each validation\_fold ∈ Folds</w:t>
      </w:r>
    </w:p>
    <w:p w14:paraId="3C81ACF6" w14:textId="77777777" w:rsidR="004C511C" w:rsidRDefault="00751A67">
      <w:pPr>
        <w:spacing w:after="0"/>
        <w:jc w:val="both"/>
      </w:pPr>
      <w:r>
        <w:rPr>
          <w:rFonts w:cs="Times New Roman"/>
        </w:rPr>
        <w:t>do</w:t>
      </w:r>
    </w:p>
    <w:p w14:paraId="55D51F20" w14:textId="77777777" w:rsidR="004C511C" w:rsidRDefault="00751A67">
      <w:pPr>
        <w:spacing w:after="0"/>
        <w:jc w:val="both"/>
      </w:pPr>
      <w:r>
        <w:rPr>
          <w:rFonts w:cs="Times New Roman"/>
        </w:rPr>
        <w:t xml:space="preserve">11:     scale\_params ← </w:t>
      </w:r>
      <w:proofErr w:type="spellStart"/>
      <w:r>
        <w:rPr>
          <w:rFonts w:cs="Times New Roman"/>
        </w:rPr>
        <w:t>MinMaxFit</w:t>
      </w:r>
      <w:proofErr w:type="spellEnd"/>
      <w:r>
        <w:rPr>
          <w:rFonts w:cs="Times New Roman"/>
        </w:rPr>
        <w:t>(validation\_</w:t>
      </w:r>
      <w:proofErr w:type="spellStart"/>
      <w:r>
        <w:rPr>
          <w:rFonts w:cs="Times New Roman"/>
        </w:rPr>
        <w:t>fold.train</w:t>
      </w:r>
      <w:proofErr w:type="spellEnd"/>
      <w:r>
        <w:rPr>
          <w:rFonts w:cs="Times New Roman"/>
        </w:rPr>
        <w:t>)</w:t>
      </w:r>
    </w:p>
    <w:p w14:paraId="6C17EC95" w14:textId="77777777" w:rsidR="004C511C" w:rsidRDefault="00751A67">
      <w:pPr>
        <w:spacing w:after="0"/>
        <w:jc w:val="both"/>
      </w:pPr>
      <w:r>
        <w:rPr>
          <w:rFonts w:cs="Times New Roman"/>
        </w:rPr>
        <w:t xml:space="preserve">12:     weights ← </w:t>
      </w:r>
      <w:proofErr w:type="spellStart"/>
      <w:proofErr w:type="gramStart"/>
      <w:r>
        <w:rPr>
          <w:rFonts w:cs="Times New Roman"/>
        </w:rPr>
        <w:t>TrainNetwork</w:t>
      </w:r>
      <w:proofErr w:type="spellEnd"/>
      <w:r>
        <w:rPr>
          <w:rFonts w:cs="Times New Roman"/>
        </w:rPr>
        <w:t>(</w:t>
      </w:r>
      <w:proofErr w:type="gramEnd"/>
      <w:r>
        <w:rPr>
          <w:rFonts w:cs="Times New Roman"/>
        </w:rPr>
        <w:t>validation\_</w:t>
      </w:r>
      <w:proofErr w:type="spellStart"/>
      <w:r>
        <w:rPr>
          <w:rFonts w:cs="Times New Roman"/>
        </w:rPr>
        <w:t>fold.train</w:t>
      </w:r>
      <w:proofErr w:type="spellEnd"/>
      <w:r>
        <w:rPr>
          <w:rFonts w:cs="Times New Roman"/>
        </w:rPr>
        <w:t>, scale\_params)</w:t>
      </w:r>
    </w:p>
    <w:p w14:paraId="6CDC07C9" w14:textId="77777777" w:rsidR="004C511C" w:rsidRDefault="00751A67">
      <w:pPr>
        <w:spacing w:after="0"/>
        <w:jc w:val="both"/>
      </w:pPr>
      <w:r>
        <w:rPr>
          <w:rFonts w:cs="Times New Roman"/>
        </w:rPr>
        <w:t xml:space="preserve">13:     predict\_tensor ← </w:t>
      </w:r>
      <w:proofErr w:type="spellStart"/>
      <w:proofErr w:type="gramStart"/>
      <w:r>
        <w:rPr>
          <w:rFonts w:cs="Times New Roman"/>
        </w:rPr>
        <w:t>weights.predict</w:t>
      </w:r>
      <w:proofErr w:type="spellEnd"/>
      <w:proofErr w:type="gramEnd"/>
      <w:r>
        <w:rPr>
          <w:rFonts w:cs="Times New Roman"/>
        </w:rPr>
        <w:t>(validation\_</w:t>
      </w:r>
      <w:proofErr w:type="spellStart"/>
      <w:r>
        <w:rPr>
          <w:rFonts w:cs="Times New Roman"/>
        </w:rPr>
        <w:t>fold.test</w:t>
      </w:r>
      <w:proofErr w:type="spellEnd"/>
      <w:r>
        <w:rPr>
          <w:rFonts w:cs="Times New Roman"/>
        </w:rPr>
        <w:t>)</w:t>
      </w:r>
    </w:p>
    <w:p w14:paraId="5023AD5E" w14:textId="77777777" w:rsidR="004C511C" w:rsidRDefault="00751A67">
      <w:pPr>
        <w:spacing w:after="0"/>
        <w:jc w:val="both"/>
      </w:pPr>
      <w:r>
        <w:rPr>
          <w:rFonts w:cs="Times New Roman"/>
        </w:rPr>
        <w:t>14:</w:t>
      </w:r>
    </w:p>
    <w:p w14:paraId="03BED907" w14:textId="77777777" w:rsidR="004C511C" w:rsidRDefault="00751A67">
      <w:pPr>
        <w:spacing w:after="0"/>
        <w:jc w:val="both"/>
      </w:pPr>
      <w:r>
        <w:rPr>
          <w:rFonts w:cs="Times New Roman"/>
        </w:rPr>
        <w:t>end for</w:t>
      </w:r>
    </w:p>
    <w:p w14:paraId="4B9887E8" w14:textId="77777777" w:rsidR="004C511C" w:rsidRDefault="00751A67">
      <w:pPr>
        <w:spacing w:after="0"/>
        <w:jc w:val="both"/>
      </w:pPr>
      <w:r>
        <w:rPr>
          <w:rFonts w:cs="Times New Roman"/>
        </w:rPr>
        <w:t>15:</w:t>
      </w:r>
    </w:p>
    <w:p w14:paraId="35A2A91F" w14:textId="77777777" w:rsidR="004C511C" w:rsidRDefault="00751A67">
      <w:pPr>
        <w:spacing w:after="0"/>
        <w:jc w:val="both"/>
      </w:pPr>
      <w:r>
        <w:rPr>
          <w:rFonts w:cs="Times New Roman"/>
        </w:rPr>
        <w:t>16:</w:t>
      </w:r>
    </w:p>
    <w:p w14:paraId="3C3EDBEF" w14:textId="77777777" w:rsidR="004C511C" w:rsidRDefault="00751A67">
      <w:pPr>
        <w:spacing w:after="0"/>
        <w:jc w:val="both"/>
      </w:pPr>
      <w:r>
        <w:rPr>
          <w:rFonts w:cs="Times New Roman"/>
        </w:rPr>
        <w:t>// Layer 4: BI Dashboard Integration &amp; Extraction</w:t>
      </w:r>
    </w:p>
    <w:p w14:paraId="52883936" w14:textId="77777777" w:rsidR="004C511C" w:rsidRDefault="00751A67">
      <w:pPr>
        <w:spacing w:after="0"/>
        <w:jc w:val="both"/>
      </w:pPr>
      <w:r>
        <w:rPr>
          <w:rFonts w:cs="Times New Roman"/>
        </w:rPr>
        <w:t xml:space="preserve">17: residual\_vectors ← </w:t>
      </w:r>
      <w:proofErr w:type="spellStart"/>
      <w:proofErr w:type="gramStart"/>
      <w:r>
        <w:rPr>
          <w:rFonts w:cs="Times New Roman"/>
        </w:rPr>
        <w:t>CalculateResiduals</w:t>
      </w:r>
      <w:proofErr w:type="spellEnd"/>
      <w:r>
        <w:rPr>
          <w:rFonts w:cs="Times New Roman"/>
        </w:rPr>
        <w:t>(</w:t>
      </w:r>
      <w:proofErr w:type="gramEnd"/>
      <w:r>
        <w:rPr>
          <w:rFonts w:cs="Times New Roman"/>
        </w:rPr>
        <w:t>actual, predict\_tensor)</w:t>
      </w:r>
    </w:p>
    <w:p w14:paraId="4F07C134" w14:textId="77777777" w:rsidR="004C511C" w:rsidRDefault="00751A67">
      <w:pPr>
        <w:spacing w:after="0"/>
        <w:jc w:val="both"/>
      </w:pPr>
      <w:r>
        <w:rPr>
          <w:rFonts w:cs="Times New Roman"/>
        </w:rPr>
        <w:t>18: PostgreSQL\_</w:t>
      </w:r>
      <w:proofErr w:type="spellStart"/>
      <w:r>
        <w:rPr>
          <w:rFonts w:cs="Times New Roman"/>
        </w:rPr>
        <w:t>DataMart.INSERT</w:t>
      </w:r>
      <w:proofErr w:type="spellEnd"/>
      <w:r>
        <w:rPr>
          <w:rFonts w:cs="Times New Roman"/>
        </w:rPr>
        <w:t>(residual\_vectors)</w:t>
      </w:r>
    </w:p>
    <w:p w14:paraId="778BDA01" w14:textId="77777777" w:rsidR="004C511C" w:rsidRDefault="00751A67">
      <w:pPr>
        <w:spacing w:after="0"/>
        <w:jc w:val="both"/>
      </w:pPr>
      <w:r>
        <w:rPr>
          <w:rFonts w:cs="Times New Roman"/>
        </w:rPr>
        <w:t xml:space="preserve">19: </w:t>
      </w:r>
      <w:proofErr w:type="spellStart"/>
      <w:proofErr w:type="gramStart"/>
      <w:r>
        <w:rPr>
          <w:rFonts w:cs="Times New Roman"/>
        </w:rPr>
        <w:t>PowerBI</w:t>
      </w:r>
      <w:proofErr w:type="spellEnd"/>
      <w:r>
        <w:rPr>
          <w:rFonts w:cs="Times New Roman"/>
        </w:rPr>
        <w:t>\_</w:t>
      </w:r>
      <w:proofErr w:type="spellStart"/>
      <w:r>
        <w:rPr>
          <w:rFonts w:cs="Times New Roman"/>
        </w:rPr>
        <w:t>Dashboard.Render</w:t>
      </w:r>
      <w:proofErr w:type="spellEnd"/>
      <w:r>
        <w:rPr>
          <w:rFonts w:cs="Times New Roman"/>
        </w:rPr>
        <w:t>(</w:t>
      </w:r>
      <w:proofErr w:type="gramEnd"/>
      <w:r>
        <w:rPr>
          <w:rFonts w:cs="Times New Roman"/>
        </w:rPr>
        <w:t xml:space="preserve">Sharpe(residual\_vectors), </w:t>
      </w:r>
      <w:proofErr w:type="spellStart"/>
      <w:r>
        <w:rPr>
          <w:rFonts w:cs="Times New Roman"/>
        </w:rPr>
        <w:t>VaR</w:t>
      </w:r>
      <w:proofErr w:type="spellEnd"/>
      <w:r>
        <w:rPr>
          <w:rFonts w:cs="Times New Roman"/>
        </w:rPr>
        <w:t>(residual\_vectors))</w:t>
      </w:r>
    </w:p>
    <w:p w14:paraId="4B374AB4" w14:textId="77777777" w:rsidR="004C511C" w:rsidRDefault="004C511C">
      <w:pPr>
        <w:pBdr>
          <w:bottom w:val="double" w:sz="6" w:space="0" w:color="000000"/>
        </w:pBdr>
        <w:spacing w:after="60"/>
      </w:pPr>
    </w:p>
    <w:p w14:paraId="2339BC6D" w14:textId="77777777" w:rsidR="004C511C" w:rsidRDefault="00751A67">
      <w:pPr>
        <w:spacing w:after="60"/>
        <w:ind w:firstLine="216"/>
        <w:jc w:val="both"/>
      </w:pPr>
      <w:r>
        <w:rPr>
          <w:rFonts w:cs="Times New Roman"/>
        </w:rPr>
        <w:t>Min-Max Scaling (Equation 1) anchored variables exclusively to localized training folds.</w:t>
      </w:r>
    </w:p>
    <w:p w14:paraId="78FE5DB0" w14:textId="1A8BF0C7" w:rsidR="004C511C" w:rsidRDefault="0038424D">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515D1CB3" w14:textId="77777777" w:rsidR="004C511C" w:rsidRDefault="00751A67">
      <w:pPr>
        <w:spacing w:before="60" w:after="30"/>
        <w:jc w:val="center"/>
      </w:pPr>
      <w:r>
        <w:rPr>
          <w:noProof/>
        </w:rPr>
        <w:drawing>
          <wp:inline distT="0" distB="0" distL="0" distR="0" wp14:anchorId="5FA42962" wp14:editId="37D47410">
            <wp:extent cx="2560320" cy="933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60320" cy="933784"/>
                    </a:xfrm>
                    <a:prstGeom prst="rect">
                      <a:avLst/>
                    </a:prstGeom>
                  </pic:spPr>
                </pic:pic>
              </a:graphicData>
            </a:graphic>
          </wp:inline>
        </w:drawing>
      </w:r>
    </w:p>
    <w:p w14:paraId="7C22F14A" w14:textId="77777777" w:rsidR="004C511C" w:rsidRDefault="00751A67">
      <w:pPr>
        <w:spacing w:after="60"/>
        <w:jc w:val="center"/>
      </w:pPr>
      <w:r>
        <w:rPr>
          <w:rFonts w:cs="Times New Roman"/>
        </w:rPr>
        <w:t>Fig. 1. Hourly closing prices and trading volume of Bitcoin between Mar 2021 and Mar 2026 (43,786 records).</w:t>
      </w:r>
    </w:p>
    <w:p w14:paraId="638FA428" w14:textId="77777777" w:rsidR="004C511C" w:rsidRDefault="00751A67">
      <w:pPr>
        <w:spacing w:before="80" w:after="40"/>
      </w:pPr>
      <w:r>
        <w:rPr>
          <w:b/>
        </w:rPr>
        <w:t>3.3. Real-Time BI Implementation Specifications</w:t>
      </w:r>
    </w:p>
    <w:p w14:paraId="1899918A" w14:textId="77777777" w:rsidR="004C511C" w:rsidRDefault="00751A67">
      <w:pPr>
        <w:spacing w:after="60"/>
        <w:ind w:firstLine="216"/>
        <w:jc w:val="both"/>
      </w:pPr>
      <w:r>
        <w:rPr>
          <w:rFonts w:cs="Times New Roman"/>
        </w:rPr>
        <w:t xml:space="preserve">Algorithm 1 models the architecture transitioning network test folds into a PostgreSQL Data Mart framework. The Business Intelligence interface was prototyped utilizing Microsoft Power BI, connected via </w:t>
      </w:r>
      <w:proofErr w:type="spellStart"/>
      <w:r>
        <w:rPr>
          <w:rFonts w:cs="Times New Roman"/>
        </w:rPr>
        <w:t>DirectQuery</w:t>
      </w:r>
      <w:proofErr w:type="spellEnd"/>
      <w:r>
        <w:rPr>
          <w:rFonts w:cs="Times New Roman"/>
        </w:rPr>
        <w:t xml:space="preserve"> to the PostgreSQL server. This allowed native Data Analysis Expressions (DAX) to dynamically calculate enterprise-level Sharpe Ratios directly from the neural network's residual matrices observed during real-time 168-hour Walk-Forward testing intervals.</w:t>
      </w:r>
    </w:p>
    <w:p w14:paraId="56710A09" w14:textId="77777777" w:rsidR="004C511C" w:rsidRDefault="00751A67">
      <w:pPr>
        <w:spacing w:before="120" w:after="60"/>
      </w:pPr>
      <w:r>
        <w:rPr>
          <w:b/>
        </w:rPr>
        <w:t>4. FEATURE ENGINEERING AND SHAP ANALYSIS</w:t>
      </w:r>
    </w:p>
    <w:p w14:paraId="499AF03B" w14:textId="77777777" w:rsidR="004C511C" w:rsidRDefault="00751A67">
      <w:pPr>
        <w:spacing w:after="60"/>
        <w:ind w:firstLine="216"/>
        <w:jc w:val="both"/>
      </w:pPr>
      <w:r>
        <w:rPr>
          <w:rFonts w:cs="Times New Roman"/>
        </w:rPr>
        <w:t>Depending categorically on univariate sequences ignores market momentum velocity [33]. Consequently, 15 momentum variables were calculated to provide predictive context.</w:t>
      </w:r>
    </w:p>
    <w:p w14:paraId="57FEF607" w14:textId="77777777" w:rsidR="004C511C" w:rsidRDefault="00751A67">
      <w:pPr>
        <w:spacing w:before="80" w:after="40"/>
      </w:pPr>
      <w:r>
        <w:rPr>
          <w:b/>
        </w:rPr>
        <w:t>4.1. Technical Indicators computation</w:t>
      </w:r>
    </w:p>
    <w:p w14:paraId="6B314847" w14:textId="77777777" w:rsidR="004C511C" w:rsidRDefault="00751A67">
      <w:pPr>
        <w:spacing w:after="60"/>
        <w:ind w:firstLine="216"/>
        <w:jc w:val="both"/>
      </w:pPr>
      <w:r>
        <w:rPr>
          <w:rFonts w:cs="Times New Roman"/>
        </w:rPr>
        <w:t>Moving Average Convergence Divergence (MACD) limits were applied [34]:</w:t>
      </w:r>
    </w:p>
    <w:p w14:paraId="5CAEAE8C" w14:textId="7D12674E" w:rsidR="004C511C" w:rsidRDefault="00751A67">
      <w:pPr>
        <w:spacing w:before="60" w:after="60"/>
        <w:jc w:val="center"/>
      </w:pPr>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oMath>
      </m:oMathPara>
    </w:p>
    <w:p w14:paraId="346B1A49" w14:textId="6DE0633A" w:rsidR="004C511C" w:rsidRDefault="00751A67">
      <w:pPr>
        <w:spacing w:after="60"/>
        <w:ind w:firstLine="216"/>
        <w:jc w:val="both"/>
      </w:pPr>
      <w:r>
        <w:rPr>
          <w:rFonts w:cs="Times New Roman"/>
        </w:rPr>
        <w:t>Logarithmic normalization arrays defined rolling standard deviation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rPr>
          <w:rFonts w:cs="Times New Roman"/>
        </w:rPr>
        <w:t>):</w:t>
      </w:r>
    </w:p>
    <w:p w14:paraId="0BDC2BCE" w14:textId="5541DB96" w:rsidR="004C511C" w:rsidRDefault="0038424D">
      <w:pPr>
        <w:spacing w:before="60" w:after="60"/>
        <w:jc w:val="center"/>
      </w:pP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bar>
                <m:barPr>
                  <m:pos m:val="top"/>
                  <m:ctrlPr>
                    <w:rPr>
                      <w:rFonts w:ascii="Cambria Math" w:hAnsi="Cambria Math"/>
                    </w:rPr>
                  </m:ctrlPr>
                </m:barPr>
                <m:e>
                  <m:r>
                    <w:rPr>
                      <w:rFonts w:ascii="Cambria Math" w:hAnsi="Cambria Math"/>
                    </w:rPr>
                    <m:t>P</m:t>
                  </m:r>
                </m:e>
              </m:ba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188923AD" w14:textId="77777777" w:rsidR="004C511C" w:rsidRDefault="00751A67">
      <w:pPr>
        <w:spacing w:before="80" w:after="40"/>
      </w:pPr>
      <w:r>
        <w:rPr>
          <w:b/>
        </w:rPr>
        <w:t>4.2. Assessing Explicability via SHAP</w:t>
      </w:r>
    </w:p>
    <w:p w14:paraId="602A7345" w14:textId="77777777" w:rsidR="004C511C" w:rsidRDefault="00751A67">
      <w:pPr>
        <w:spacing w:after="60"/>
        <w:ind w:firstLine="216"/>
        <w:jc w:val="both"/>
      </w:pPr>
      <w:r>
        <w:rPr>
          <w:rFonts w:cs="Times New Roman"/>
        </w:rPr>
        <w:t xml:space="preserve">Assessing dense-layer activation required </w:t>
      </w:r>
      <w:proofErr w:type="spellStart"/>
      <w:r>
        <w:rPr>
          <w:rFonts w:cs="Times New Roman"/>
        </w:rPr>
        <w:t>SHapley</w:t>
      </w:r>
      <w:proofErr w:type="spellEnd"/>
      <w:r>
        <w:rPr>
          <w:rFonts w:cs="Times New Roman"/>
        </w:rPr>
        <w:t xml:space="preserve"> Additive </w:t>
      </w:r>
      <w:proofErr w:type="spellStart"/>
      <w:r>
        <w:rPr>
          <w:rFonts w:cs="Times New Roman"/>
        </w:rPr>
        <w:t>exPlanations</w:t>
      </w:r>
      <w:proofErr w:type="spellEnd"/>
      <w:r>
        <w:rPr>
          <w:rFonts w:cs="Times New Roman"/>
        </w:rPr>
        <w:t xml:space="preserve"> (SHAP) evaluations [35]. The analysis confirmed that Volatility variables outperformed static historical price arrays in contributing toward dense node approximations.</w:t>
      </w:r>
    </w:p>
    <w:p w14:paraId="57950C96" w14:textId="77777777" w:rsidR="004C511C" w:rsidRDefault="00751A67">
      <w:pPr>
        <w:spacing w:before="120" w:after="60"/>
      </w:pPr>
      <w:r>
        <w:rPr>
          <w:b/>
        </w:rPr>
        <w:t>5. ALGORITHMIC FORMULATIONS</w:t>
      </w:r>
    </w:p>
    <w:p w14:paraId="0C10AD43" w14:textId="77777777" w:rsidR="004C511C" w:rsidRDefault="00751A67">
      <w:pPr>
        <w:spacing w:after="60"/>
        <w:ind w:firstLine="216"/>
        <w:jc w:val="both"/>
      </w:pPr>
      <w:r>
        <w:rPr>
          <w:rFonts w:cs="Times New Roman"/>
        </w:rPr>
        <w:t>Evaluations encompassed a 720-hour (30-day) training step paired against a 168-hour (7-day) projection window. Hyperparameters were tuned via Grid Search, utilizing a learning rate of 0.001 (Adam optimizer) alongside a dropout value of 0.2.</w:t>
      </w:r>
    </w:p>
    <w:p w14:paraId="76D3A3DA" w14:textId="77777777" w:rsidR="004C511C" w:rsidRDefault="00751A67">
      <w:pPr>
        <w:spacing w:before="80" w:after="40"/>
      </w:pPr>
      <w:r>
        <w:rPr>
          <w:b/>
        </w:rPr>
        <w:lastRenderedPageBreak/>
        <w:t>5.1. Baselines: Sequences and Trees</w:t>
      </w:r>
    </w:p>
    <w:p w14:paraId="3041CB19" w14:textId="5703B88A" w:rsidR="004C511C" w:rsidRDefault="00751A67">
      <w:pPr>
        <w:spacing w:after="60"/>
        <w:ind w:firstLine="216"/>
        <w:jc w:val="both"/>
      </w:pPr>
      <w:proofErr w:type="spellStart"/>
      <w:r>
        <w:rPr>
          <w:rFonts w:cs="Times New Roman"/>
        </w:rPr>
        <w:t>XGBoost</w:t>
      </w:r>
      <w:proofErr w:type="spellEnd"/>
      <w:r>
        <w:rPr>
          <w:rFonts w:cs="Times New Roman"/>
        </w:rPr>
        <w:t xml:space="preserve"> functions as the core benchmark non-sequential regressor. Correspondingly, LSTMs operate relying on forget gate arrays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cs="Times New Roman"/>
        </w:rPr>
        <w:t>):</w:t>
      </w:r>
    </w:p>
    <w:p w14:paraId="67193CF2" w14:textId="1B476957" w:rsidR="004C511C" w:rsidRDefault="0038424D">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4E43F8F7" w14:textId="1518A6A7" w:rsidR="004C511C" w:rsidRDefault="00751A67">
      <w:pPr>
        <w:spacing w:after="60"/>
        <w:ind w:firstLine="216"/>
        <w:jc w:val="both"/>
      </w:pPr>
      <w:r>
        <w:rPr>
          <w:rFonts w:cs="Times New Roman"/>
        </w:rPr>
        <w:t>The GRU simplifies parameter boundaries utilizing direct Update mechanisms (</w:t>
      </w:r>
      <m:oMath>
        <m:sSub>
          <m:sSubPr>
            <m:ctrlPr>
              <w:rPr>
                <w:rFonts w:ascii="Cambria Math" w:hAnsi="Cambria Math"/>
              </w:rPr>
            </m:ctrlPr>
          </m:sSubPr>
          <m:e>
            <m:r>
              <w:rPr>
                <w:rFonts w:ascii="Cambria Math" w:hAnsi="Cambria Math"/>
              </w:rPr>
              <m:t>z</m:t>
            </m:r>
          </m:e>
          <m:sub>
            <m:r>
              <w:rPr>
                <w:rFonts w:ascii="Cambria Math" w:hAnsi="Cambria Math"/>
              </w:rPr>
              <m:t>t</m:t>
            </m:r>
          </m:sub>
        </m:sSub>
      </m:oMath>
      <w:r>
        <w:rPr>
          <w:rFonts w:cs="Times New Roman"/>
        </w:rPr>
        <w:t>):</w:t>
      </w:r>
    </w:p>
    <w:p w14:paraId="20B2E889" w14:textId="146AA9FD" w:rsidR="004C511C" w:rsidRDefault="0038424D">
      <w:pPr>
        <w:spacing w:before="60" w:after="60"/>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w:rPr>
              <w:rFonts w:ascii="Cambria Math" w:hAnsi="Cambria Math"/>
            </w:rPr>
            <m:t>)</m:t>
          </m:r>
        </m:oMath>
      </m:oMathPara>
    </w:p>
    <w:p w14:paraId="0A8F8A38" w14:textId="77777777" w:rsidR="004C511C" w:rsidRDefault="00751A67">
      <w:pPr>
        <w:spacing w:before="80" w:after="40"/>
      </w:pPr>
      <w:r>
        <w:rPr>
          <w:b/>
        </w:rPr>
        <w:t>5.2. Informer Transformer Model</w:t>
      </w:r>
    </w:p>
    <w:p w14:paraId="3FB62D88" w14:textId="5CAAEA2D" w:rsidR="004C511C" w:rsidRDefault="00751A67">
      <w:pPr>
        <w:spacing w:after="60"/>
        <w:ind w:firstLine="216"/>
        <w:jc w:val="both"/>
      </w:pPr>
      <w:r>
        <w:rPr>
          <w:rFonts w:cs="Times New Roman"/>
        </w:rPr>
        <w:t xml:space="preserve">The state-of-the-art Informer architecture abandons chronological stepwise recursion. By utilizing </w:t>
      </w:r>
      <w:proofErr w:type="spellStart"/>
      <w:r>
        <w:rPr>
          <w:rFonts w:cs="Times New Roman"/>
        </w:rPr>
        <w:t>ProbSparse</w:t>
      </w:r>
      <w:proofErr w:type="spellEnd"/>
      <w:r>
        <w:rPr>
          <w:rFonts w:cs="Times New Roman"/>
        </w:rPr>
        <w:t xml:space="preserve"> Self-Attention (</w:t>
      </w:r>
      <m:oMath>
        <m:r>
          <w:rPr>
            <w:rFonts w:ascii="Cambria Math" w:hAnsi="Cambria Math"/>
          </w:rPr>
          <m:t>O(L</m:t>
        </m:r>
        <m:r>
          <m:rPr>
            <m:sty m:val="p"/>
          </m:rPr>
          <w:rPr>
            <w:rFonts w:ascii="Cambria Math" w:hAnsi="Cambria Math"/>
          </w:rPr>
          <m:t>log</m:t>
        </m:r>
        <m:r>
          <w:rPr>
            <w:rFonts w:ascii="Cambria Math" w:hAnsi="Cambria Math"/>
          </w:rPr>
          <m:t>L)</m:t>
        </m:r>
      </m:oMath>
      <w:r>
        <w:rPr>
          <w:rFonts w:cs="Times New Roman"/>
        </w:rPr>
        <w:t>), it evaluates relationships between sequence tokens [21]:</w:t>
      </w:r>
    </w:p>
    <w:p w14:paraId="4AFD942C" w14:textId="602CA5A8" w:rsidR="004C511C" w:rsidRDefault="00751A67">
      <w:pPr>
        <w:spacing w:before="60" w:after="60"/>
        <w:jc w:val="cente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7D2A26AF" w14:textId="74B155A6" w:rsidR="004C511C" w:rsidRDefault="00751A67">
      <w:pPr>
        <w:spacing w:after="60"/>
        <w:ind w:firstLine="216"/>
        <w:jc w:val="both"/>
      </w:pPr>
      <w:r>
        <w:rPr>
          <w:rFonts w:cs="Times New Roman"/>
        </w:rPr>
        <w:t xml:space="preserve">where </w:t>
      </w:r>
      <m:oMath>
        <m:bar>
          <m:barPr>
            <m:pos m:val="top"/>
            <m:ctrlPr>
              <w:rPr>
                <w:rFonts w:ascii="Cambria Math" w:hAnsi="Cambria Math"/>
              </w:rPr>
            </m:ctrlPr>
          </m:barPr>
          <m:e>
            <m:r>
              <w:rPr>
                <w:rFonts w:ascii="Cambria Math" w:hAnsi="Cambria Math"/>
              </w:rPr>
              <m:t>Q</m:t>
            </m:r>
          </m:e>
        </m:bar>
      </m:oMath>
      <w:r>
        <w:rPr>
          <w:rFonts w:cs="Times New Roman"/>
        </w:rPr>
        <w:t xml:space="preserve"> isolates selectively dominant query vectors, dramatically increasing temporal extraction speeds across large matrices.</w:t>
      </w:r>
    </w:p>
    <w:p w14:paraId="551B0B72" w14:textId="77777777" w:rsidR="004C511C" w:rsidRDefault="00751A67">
      <w:pPr>
        <w:spacing w:before="120" w:after="60"/>
      </w:pPr>
      <w:r>
        <w:rPr>
          <w:b/>
        </w:rPr>
        <w:t>6. EMPIRICAL RESULTS AND CRITICAL ANALYSIS</w:t>
      </w:r>
    </w:p>
    <w:p w14:paraId="099308A2" w14:textId="77777777" w:rsidR="004C511C" w:rsidRDefault="00751A67">
      <w:pPr>
        <w:spacing w:after="60"/>
        <w:ind w:firstLine="216"/>
        <w:jc w:val="both"/>
      </w:pPr>
      <w:r>
        <w:rPr>
          <w:rFonts w:cs="Times New Roman"/>
        </w:rPr>
        <w:t>Comparative structural inference behaviors evaluated universally across the independent 168-hour walk-forward arrays are provided in Fig. 2.</w:t>
      </w:r>
    </w:p>
    <w:p w14:paraId="68BED7C3" w14:textId="77777777" w:rsidR="004C511C" w:rsidRDefault="00751A67">
      <w:pPr>
        <w:spacing w:before="60" w:after="30"/>
        <w:jc w:val="center"/>
      </w:pPr>
      <w:r>
        <w:rPr>
          <w:noProof/>
        </w:rPr>
        <w:drawing>
          <wp:inline distT="0" distB="0" distL="0" distR="0" wp14:anchorId="6C754D05" wp14:editId="6B18B665">
            <wp:extent cx="2560320" cy="1259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560320" cy="1259116"/>
                    </a:xfrm>
                    <a:prstGeom prst="rect">
                      <a:avLst/>
                    </a:prstGeom>
                  </pic:spPr>
                </pic:pic>
              </a:graphicData>
            </a:graphic>
          </wp:inline>
        </w:drawing>
      </w:r>
    </w:p>
    <w:p w14:paraId="7C68346B" w14:textId="77777777" w:rsidR="004C511C" w:rsidRDefault="00751A67">
      <w:pPr>
        <w:spacing w:after="60"/>
        <w:jc w:val="center"/>
      </w:pPr>
      <w:r>
        <w:rPr>
          <w:rFonts w:cs="Times New Roman"/>
        </w:rPr>
        <w:t>Fig. 2. Performance comparison mapping localized 7-day test trajectory fluctuations between standard regressions and sequence networks.</w:t>
      </w:r>
    </w:p>
    <w:p w14:paraId="44AFF23E" w14:textId="77777777" w:rsidR="004C511C" w:rsidRDefault="00751A67">
      <w:pPr>
        <w:spacing w:before="80" w:after="40"/>
      </w:pPr>
      <w:r>
        <w:rPr>
          <w:b/>
        </w:rPr>
        <w:t>6.1. Validation Across Model Topologies</w:t>
      </w:r>
    </w:p>
    <w:p w14:paraId="2CED1AA7" w14:textId="498640B9" w:rsidR="004C511C" w:rsidRDefault="00751A67">
      <w:pPr>
        <w:spacing w:after="60"/>
        <w:ind w:firstLine="216"/>
        <w:jc w:val="both"/>
      </w:pPr>
      <w:r>
        <w:rPr>
          <w:rFonts w:cs="Times New Roman"/>
        </w:rPr>
        <w:t xml:space="preserve">Table I presents performance averages, including 95% Confidence Intervals (Standard Deviation ±). </w:t>
      </w:r>
      <w:proofErr w:type="spellStart"/>
      <w:r>
        <w:rPr>
          <w:rFonts w:cs="Times New Roman"/>
        </w:rPr>
        <w:t>XGBoost</w:t>
      </w:r>
      <w:proofErr w:type="spellEnd"/>
      <w:r>
        <w:rPr>
          <w:rFonts w:cs="Times New Roman"/>
        </w:rPr>
        <w:t xml:space="preserve"> exhibited higher bounding deviations, reinforcing classical limitations with multi-step prediction stability. Conversely, the Informer Transformer yielded an elevated RMSE (0.1321 </w:t>
      </w:r>
      <m:oMath>
        <m:r>
          <w:rPr>
            <w:rFonts w:ascii="Cambria Math" w:hAnsi="Cambria Math"/>
          </w:rPr>
          <m:t>±</m:t>
        </m:r>
      </m:oMath>
      <w:r>
        <w:rPr>
          <w:rFonts w:cs="Times New Roman"/>
        </w:rPr>
        <w:t xml:space="preserve"> 0.0081). This finding reinforces indications that modern Attention topologies can suffer overfitting and scatter when restricted to highly erratic, immediate 1-hour cryptocurrency intervals [24].</w:t>
      </w:r>
    </w:p>
    <w:p w14:paraId="1F244240" w14:textId="085DF480" w:rsidR="004C511C" w:rsidRDefault="00751A67">
      <w:pPr>
        <w:spacing w:after="60"/>
        <w:ind w:firstLine="216"/>
        <w:jc w:val="both"/>
      </w:pPr>
      <w:r>
        <w:rPr>
          <w:rFonts w:cs="Times New Roman"/>
        </w:rPr>
        <w:t xml:space="preserve">The GRU effectively secured the lowest nominal trace mapping (RMSE 0.1058 </w:t>
      </w:r>
      <m:oMath>
        <m:r>
          <w:rPr>
            <w:rFonts w:ascii="Cambria Math" w:hAnsi="Cambria Math"/>
          </w:rPr>
          <m:t>±</m:t>
        </m:r>
      </m:oMath>
      <w:r>
        <w:rPr>
          <w:rFonts w:cs="Times New Roman"/>
        </w:rPr>
        <w:t xml:space="preserve"> 0.0034). To assess global mathematical variance among the four differing architectures, a non-parametric Kruskal-Wallis H-test was conducted across all validation folds, yielding an </w:t>
      </w:r>
      <m:oMath>
        <m:r>
          <w:rPr>
            <w:rFonts w:ascii="Cambria Math" w:hAnsi="Cambria Math"/>
          </w:rPr>
          <m:t>H</m:t>
        </m:r>
      </m:oMath>
      <w:r>
        <w:rPr>
          <w:rFonts w:cs="Times New Roman"/>
        </w:rPr>
        <w:t>-statistic of 18.4 (</w:t>
      </w:r>
      <m:oMath>
        <m:r>
          <w:rPr>
            <w:rFonts w:ascii="Cambria Math" w:hAnsi="Cambria Math"/>
          </w:rPr>
          <m:t>p&lt;0.001</m:t>
        </m:r>
      </m:oMath>
      <w:r>
        <w:rPr>
          <w:rFonts w:cs="Times New Roman"/>
        </w:rPr>
        <w:t xml:space="preserve">). Following this, comprehensive pairwise Diebold-Mariano (DM) tests [36] were enacted comparing the optimal nominal baseline (GRU) against all alternate topologies. The DM test evaluates the loss differential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1t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2t</m:t>
            </m:r>
          </m:sub>
        </m:sSub>
        <m:r>
          <w:rPr>
            <w:rFonts w:ascii="Cambria Math" w:hAnsi="Cambria Math"/>
          </w:rPr>
          <m:t>)</m:t>
        </m:r>
      </m:oMath>
      <w:r>
        <w:rPr>
          <w:rFonts w:cs="Times New Roman"/>
        </w:rPr>
        <w:t xml:space="preserve"> between two competing forecasts using the formulation:</w:t>
      </w:r>
    </w:p>
    <w:p w14:paraId="4D0E52F6" w14:textId="240C3A7B" w:rsidR="004C511C" w:rsidRDefault="00751A67">
      <w:pPr>
        <w:spacing w:before="60" w:after="60"/>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T</m:t>
                      </m:r>
                    </m:den>
                  </m:f>
                </m:e>
              </m:rad>
            </m:den>
          </m:f>
        </m:oMath>
      </m:oMathPara>
    </w:p>
    <w:p w14:paraId="39918CAC" w14:textId="77777777" w:rsidR="004C511C" w:rsidRDefault="00751A67">
      <w:pPr>
        <w:spacing w:after="60"/>
        <w:ind w:firstLine="216"/>
        <w:jc w:val="both"/>
      </w:pPr>
      <w:r>
        <w:rPr>
          <w:rFonts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tbl>
      <w:tblPr>
        <w:tblStyle w:val="TableGrid"/>
        <w:tblW w:w="5000" w:type="pct"/>
        <w:jc w:val="center"/>
        <w:tblLook w:val="04A0" w:firstRow="1" w:lastRow="0" w:firstColumn="1" w:lastColumn="0" w:noHBand="0" w:noVBand="1"/>
      </w:tblPr>
      <w:tblGrid>
        <w:gridCol w:w="2251"/>
        <w:gridCol w:w="2251"/>
        <w:gridCol w:w="2251"/>
        <w:gridCol w:w="2251"/>
      </w:tblGrid>
      <w:tr w:rsidR="004C511C" w:rsidRPr="00370FBA" w14:paraId="6FF38E0D" w14:textId="77777777" w:rsidTr="00370FBA">
        <w:trPr>
          <w:jc w:val="center"/>
        </w:trPr>
        <w:tc>
          <w:tcPr>
            <w:tcW w:w="1250" w:type="pct"/>
            <w:vAlign w:val="center"/>
          </w:tcPr>
          <w:p w14:paraId="64CFD5B5" w14:textId="77777777" w:rsidR="0038424D" w:rsidRPr="0038424D" w:rsidRDefault="0038424D" w:rsidP="0038424D">
            <w:pPr>
              <w:spacing w:before="20" w:after="20"/>
              <w:jc w:val="center"/>
              <w:rPr>
                <w:rFonts w:cs="Times New Roman"/>
                <w:b/>
              </w:rPr>
            </w:pPr>
            <w:r w:rsidRPr="0038424D">
              <w:rPr>
                <w:rFonts w:cs="Times New Roman"/>
                <w:b/>
              </w:rPr>
              <w:t>Table 1. Quantitative Loss Benchmarking Across Algorithmic Walk-Forward Layers</w:t>
            </w:r>
          </w:p>
          <w:p w14:paraId="4D1769C2" w14:textId="2F157254" w:rsidR="004C511C" w:rsidRPr="00370FBA" w:rsidRDefault="00751A67">
            <w:pPr>
              <w:spacing w:before="20" w:after="20"/>
              <w:jc w:val="center"/>
              <w:rPr>
                <w:rFonts w:cs="Times New Roman"/>
                <w:sz w:val="18"/>
              </w:rPr>
            </w:pPr>
            <w:r w:rsidRPr="00370FBA">
              <w:rPr>
                <w:rFonts w:cs="Times New Roman"/>
                <w:b/>
                <w:sz w:val="18"/>
              </w:rPr>
              <w:t>Algorithmic Parameter</w:t>
            </w:r>
          </w:p>
        </w:tc>
        <w:tc>
          <w:tcPr>
            <w:tcW w:w="1250" w:type="pct"/>
            <w:vAlign w:val="center"/>
          </w:tcPr>
          <w:p w14:paraId="164118A9" w14:textId="7C1D2BC2" w:rsidR="004C511C" w:rsidRPr="00370FBA" w:rsidRDefault="00751A67">
            <w:pPr>
              <w:spacing w:before="20" w:after="20"/>
              <w:jc w:val="center"/>
              <w:rPr>
                <w:rFonts w:cs="Times New Roman"/>
                <w:sz w:val="18"/>
              </w:rPr>
            </w:pPr>
            <w:r w:rsidRPr="00370FBA">
              <w:rPr>
                <w:rFonts w:cs="Times New Roman"/>
                <w:b/>
                <w:sz w:val="18"/>
              </w:rPr>
              <w:t>Mean RMSE (</w:t>
            </w:r>
            <m:oMath>
              <m:r>
                <w:rPr>
                  <w:rFonts w:ascii="Cambria Math" w:hAnsi="Cambria Math" w:cs="Times New Roman"/>
                  <w:sz w:val="18"/>
                </w:rPr>
                <m:t>±</m:t>
              </m:r>
            </m:oMath>
            <w:r w:rsidRPr="00370FBA">
              <w:rPr>
                <w:rFonts w:cs="Times New Roman"/>
                <w:b/>
                <w:sz w:val="18"/>
              </w:rPr>
              <w:t xml:space="preserve"> SD)</w:t>
            </w:r>
          </w:p>
        </w:tc>
        <w:tc>
          <w:tcPr>
            <w:tcW w:w="1250" w:type="pct"/>
            <w:vAlign w:val="center"/>
          </w:tcPr>
          <w:p w14:paraId="5A5BD56C" w14:textId="3B7B4C52" w:rsidR="004C511C" w:rsidRPr="00370FBA" w:rsidRDefault="00751A67">
            <w:pPr>
              <w:spacing w:before="20" w:after="20"/>
              <w:jc w:val="center"/>
              <w:rPr>
                <w:rFonts w:cs="Times New Roman"/>
                <w:sz w:val="18"/>
              </w:rPr>
            </w:pPr>
            <w:r w:rsidRPr="00370FBA">
              <w:rPr>
                <w:rFonts w:cs="Times New Roman"/>
                <w:b/>
                <w:sz w:val="18"/>
              </w:rPr>
              <w:t>Absolute MAE (</w:t>
            </w:r>
            <m:oMath>
              <m:r>
                <w:rPr>
                  <w:rFonts w:ascii="Cambria Math" w:hAnsi="Cambria Math" w:cs="Times New Roman"/>
                  <w:sz w:val="18"/>
                </w:rPr>
                <m:t>±</m:t>
              </m:r>
            </m:oMath>
            <w:r w:rsidRPr="00370FBA">
              <w:rPr>
                <w:rFonts w:cs="Times New Roman"/>
                <w:b/>
                <w:sz w:val="18"/>
              </w:rPr>
              <w:t xml:space="preserve"> SD)</w:t>
            </w:r>
          </w:p>
        </w:tc>
        <w:tc>
          <w:tcPr>
            <w:tcW w:w="1250" w:type="pct"/>
            <w:vAlign w:val="center"/>
          </w:tcPr>
          <w:p w14:paraId="10177BC2" w14:textId="77777777" w:rsidR="004C511C" w:rsidRPr="00370FBA" w:rsidRDefault="00751A67">
            <w:pPr>
              <w:spacing w:before="20" w:after="20"/>
              <w:jc w:val="center"/>
              <w:rPr>
                <w:rFonts w:cs="Times New Roman"/>
                <w:sz w:val="18"/>
              </w:rPr>
            </w:pPr>
            <w:r w:rsidRPr="00370FBA">
              <w:rPr>
                <w:rFonts w:cs="Times New Roman"/>
                <w:b/>
                <w:sz w:val="18"/>
              </w:rPr>
              <w:t>MAPE (%)</w:t>
            </w:r>
          </w:p>
        </w:tc>
      </w:tr>
      <w:tr w:rsidR="004C511C" w:rsidRPr="00370FBA" w14:paraId="6CDEB2A5" w14:textId="77777777" w:rsidTr="00370FBA">
        <w:trPr>
          <w:jc w:val="center"/>
        </w:trPr>
        <w:tc>
          <w:tcPr>
            <w:tcW w:w="1250" w:type="pct"/>
            <w:vAlign w:val="center"/>
          </w:tcPr>
          <w:p w14:paraId="6D9D7AFC" w14:textId="77777777" w:rsidR="004C511C" w:rsidRPr="00370FBA" w:rsidRDefault="00751A67">
            <w:pPr>
              <w:spacing w:before="20" w:after="20"/>
              <w:jc w:val="center"/>
              <w:rPr>
                <w:rFonts w:cs="Times New Roman"/>
                <w:sz w:val="18"/>
              </w:rPr>
            </w:pPr>
            <w:r w:rsidRPr="00370FBA">
              <w:rPr>
                <w:rFonts w:cs="Times New Roman"/>
                <w:sz w:val="18"/>
              </w:rPr>
              <w:lastRenderedPageBreak/>
              <w:t>Ensemble Base (XGB)</w:t>
            </w:r>
          </w:p>
        </w:tc>
        <w:tc>
          <w:tcPr>
            <w:tcW w:w="1250" w:type="pct"/>
            <w:vAlign w:val="center"/>
          </w:tcPr>
          <w:p w14:paraId="4D8415E6" w14:textId="70E27544" w:rsidR="004C511C" w:rsidRPr="00370FBA" w:rsidRDefault="00751A67">
            <w:pPr>
              <w:spacing w:before="20" w:after="20"/>
              <w:jc w:val="center"/>
              <w:rPr>
                <w:rFonts w:cs="Times New Roman"/>
                <w:sz w:val="18"/>
              </w:rPr>
            </w:pPr>
            <w:r w:rsidRPr="00370FBA">
              <w:rPr>
                <w:rFonts w:cs="Times New Roman"/>
                <w:sz w:val="18"/>
              </w:rPr>
              <w:t xml:space="preserve">0.1524 </w:t>
            </w:r>
            <m:oMath>
              <m:r>
                <w:rPr>
                  <w:rFonts w:ascii="Cambria Math" w:hAnsi="Cambria Math" w:cs="Times New Roman"/>
                  <w:sz w:val="18"/>
                </w:rPr>
                <m:t>±</m:t>
              </m:r>
            </m:oMath>
            <w:r w:rsidRPr="00370FBA">
              <w:rPr>
                <w:rFonts w:cs="Times New Roman"/>
                <w:sz w:val="18"/>
              </w:rPr>
              <w:t xml:space="preserve"> 0.0068</w:t>
            </w:r>
          </w:p>
        </w:tc>
        <w:tc>
          <w:tcPr>
            <w:tcW w:w="1250" w:type="pct"/>
            <w:vAlign w:val="center"/>
          </w:tcPr>
          <w:p w14:paraId="5F48F83D" w14:textId="656877B9" w:rsidR="004C511C" w:rsidRPr="00370FBA" w:rsidRDefault="00751A67">
            <w:pPr>
              <w:spacing w:before="20" w:after="20"/>
              <w:jc w:val="center"/>
              <w:rPr>
                <w:rFonts w:cs="Times New Roman"/>
                <w:sz w:val="18"/>
              </w:rPr>
            </w:pPr>
            <w:r w:rsidRPr="00370FBA">
              <w:rPr>
                <w:rFonts w:cs="Times New Roman"/>
                <w:sz w:val="18"/>
              </w:rPr>
              <w:t xml:space="preserve">0.1260 </w:t>
            </w:r>
            <m:oMath>
              <m:r>
                <w:rPr>
                  <w:rFonts w:ascii="Cambria Math" w:hAnsi="Cambria Math" w:cs="Times New Roman"/>
                  <w:sz w:val="18"/>
                </w:rPr>
                <m:t>±</m:t>
              </m:r>
            </m:oMath>
            <w:r w:rsidRPr="00370FBA">
              <w:rPr>
                <w:rFonts w:cs="Times New Roman"/>
                <w:sz w:val="18"/>
              </w:rPr>
              <w:t xml:space="preserve"> 0.0055</w:t>
            </w:r>
          </w:p>
        </w:tc>
        <w:tc>
          <w:tcPr>
            <w:tcW w:w="1250" w:type="pct"/>
            <w:vAlign w:val="center"/>
          </w:tcPr>
          <w:p w14:paraId="0D681447" w14:textId="77777777" w:rsidR="004C511C" w:rsidRPr="00370FBA" w:rsidRDefault="00751A67">
            <w:pPr>
              <w:spacing w:before="20" w:after="20"/>
              <w:jc w:val="center"/>
              <w:rPr>
                <w:rFonts w:cs="Times New Roman"/>
                <w:sz w:val="18"/>
              </w:rPr>
            </w:pPr>
            <w:r w:rsidRPr="00370FBA">
              <w:rPr>
                <w:rFonts w:cs="Times New Roman"/>
                <w:sz w:val="18"/>
              </w:rPr>
              <w:t>16.50%</w:t>
            </w:r>
          </w:p>
        </w:tc>
      </w:tr>
      <w:tr w:rsidR="004C511C" w:rsidRPr="00370FBA" w14:paraId="72988B19" w14:textId="77777777" w:rsidTr="00370FBA">
        <w:trPr>
          <w:jc w:val="center"/>
        </w:trPr>
        <w:tc>
          <w:tcPr>
            <w:tcW w:w="1250" w:type="pct"/>
            <w:vAlign w:val="center"/>
          </w:tcPr>
          <w:p w14:paraId="36784F64" w14:textId="77777777" w:rsidR="004C511C" w:rsidRPr="00370FBA" w:rsidRDefault="00751A67">
            <w:pPr>
              <w:spacing w:before="20" w:after="20"/>
              <w:jc w:val="center"/>
              <w:rPr>
                <w:rFonts w:cs="Times New Roman"/>
                <w:sz w:val="18"/>
              </w:rPr>
            </w:pPr>
            <w:r w:rsidRPr="00370FBA">
              <w:rPr>
                <w:rFonts w:cs="Times New Roman"/>
                <w:sz w:val="18"/>
              </w:rPr>
              <w:t>Informer (Attention)</w:t>
            </w:r>
          </w:p>
        </w:tc>
        <w:tc>
          <w:tcPr>
            <w:tcW w:w="1250" w:type="pct"/>
            <w:vAlign w:val="center"/>
          </w:tcPr>
          <w:p w14:paraId="408A7516" w14:textId="2029CDE7" w:rsidR="004C511C" w:rsidRPr="00370FBA" w:rsidRDefault="00751A67">
            <w:pPr>
              <w:spacing w:before="20" w:after="20"/>
              <w:jc w:val="center"/>
              <w:rPr>
                <w:rFonts w:cs="Times New Roman"/>
                <w:sz w:val="18"/>
              </w:rPr>
            </w:pPr>
            <w:r w:rsidRPr="00370FBA">
              <w:rPr>
                <w:rFonts w:cs="Times New Roman"/>
                <w:sz w:val="18"/>
              </w:rPr>
              <w:t xml:space="preserve">0.1321 </w:t>
            </w:r>
            <m:oMath>
              <m:r>
                <w:rPr>
                  <w:rFonts w:ascii="Cambria Math" w:hAnsi="Cambria Math" w:cs="Times New Roman"/>
                  <w:sz w:val="18"/>
                </w:rPr>
                <m:t>±</m:t>
              </m:r>
            </m:oMath>
            <w:r w:rsidRPr="00370FBA">
              <w:rPr>
                <w:rFonts w:cs="Times New Roman"/>
                <w:sz w:val="18"/>
              </w:rPr>
              <w:t xml:space="preserve"> 0.0081</w:t>
            </w:r>
          </w:p>
        </w:tc>
        <w:tc>
          <w:tcPr>
            <w:tcW w:w="1250" w:type="pct"/>
            <w:vAlign w:val="center"/>
          </w:tcPr>
          <w:p w14:paraId="1ABAAAF4" w14:textId="79A1D82A" w:rsidR="004C511C" w:rsidRPr="00370FBA" w:rsidRDefault="00751A67">
            <w:pPr>
              <w:spacing w:before="20" w:after="20"/>
              <w:jc w:val="center"/>
              <w:rPr>
                <w:rFonts w:cs="Times New Roman"/>
                <w:sz w:val="18"/>
              </w:rPr>
            </w:pPr>
            <w:r w:rsidRPr="00370FBA">
              <w:rPr>
                <w:rFonts w:cs="Times New Roman"/>
                <w:sz w:val="18"/>
              </w:rPr>
              <w:t xml:space="preserve">0.1119 </w:t>
            </w:r>
            <m:oMath>
              <m:r>
                <w:rPr>
                  <w:rFonts w:ascii="Cambria Math" w:hAnsi="Cambria Math" w:cs="Times New Roman"/>
                  <w:sz w:val="18"/>
                </w:rPr>
                <m:t>±</m:t>
              </m:r>
            </m:oMath>
            <w:r w:rsidRPr="00370FBA">
              <w:rPr>
                <w:rFonts w:cs="Times New Roman"/>
                <w:sz w:val="18"/>
              </w:rPr>
              <w:t xml:space="preserve"> 0.0072</w:t>
            </w:r>
          </w:p>
        </w:tc>
        <w:tc>
          <w:tcPr>
            <w:tcW w:w="1250" w:type="pct"/>
            <w:vAlign w:val="center"/>
          </w:tcPr>
          <w:p w14:paraId="063D23F1" w14:textId="77777777" w:rsidR="004C511C" w:rsidRPr="00370FBA" w:rsidRDefault="00751A67">
            <w:pPr>
              <w:spacing w:before="20" w:after="20"/>
              <w:jc w:val="center"/>
              <w:rPr>
                <w:rFonts w:cs="Times New Roman"/>
                <w:sz w:val="18"/>
              </w:rPr>
            </w:pPr>
            <w:r w:rsidRPr="00370FBA">
              <w:rPr>
                <w:rFonts w:cs="Times New Roman"/>
                <w:sz w:val="18"/>
              </w:rPr>
              <w:t>14.82%</w:t>
            </w:r>
          </w:p>
        </w:tc>
      </w:tr>
      <w:tr w:rsidR="004C511C" w:rsidRPr="00370FBA" w14:paraId="4FE60EDA" w14:textId="77777777" w:rsidTr="00370FBA">
        <w:trPr>
          <w:jc w:val="center"/>
        </w:trPr>
        <w:tc>
          <w:tcPr>
            <w:tcW w:w="1250" w:type="pct"/>
            <w:vAlign w:val="center"/>
          </w:tcPr>
          <w:p w14:paraId="611D20E9" w14:textId="77777777" w:rsidR="004C511C" w:rsidRPr="00370FBA" w:rsidRDefault="00751A67">
            <w:pPr>
              <w:spacing w:before="20" w:after="20"/>
              <w:jc w:val="center"/>
              <w:rPr>
                <w:rFonts w:cs="Times New Roman"/>
                <w:sz w:val="18"/>
              </w:rPr>
            </w:pPr>
            <w:r w:rsidRPr="00370FBA">
              <w:rPr>
                <w:rFonts w:cs="Times New Roman"/>
                <w:sz w:val="18"/>
              </w:rPr>
              <w:t>LSTM Topography</w:t>
            </w:r>
          </w:p>
        </w:tc>
        <w:tc>
          <w:tcPr>
            <w:tcW w:w="1250" w:type="pct"/>
            <w:vAlign w:val="center"/>
          </w:tcPr>
          <w:p w14:paraId="35847AF7" w14:textId="39D4E3F0" w:rsidR="004C511C" w:rsidRPr="00370FBA" w:rsidRDefault="00751A67">
            <w:pPr>
              <w:spacing w:before="20" w:after="20"/>
              <w:jc w:val="center"/>
              <w:rPr>
                <w:rFonts w:cs="Times New Roman"/>
                <w:sz w:val="18"/>
              </w:rPr>
            </w:pPr>
            <w:r w:rsidRPr="00370FBA">
              <w:rPr>
                <w:rFonts w:cs="Times New Roman"/>
                <w:sz w:val="18"/>
              </w:rPr>
              <w:t xml:space="preserve">0.1145 </w:t>
            </w:r>
            <m:oMath>
              <m:r>
                <w:rPr>
                  <w:rFonts w:ascii="Cambria Math" w:hAnsi="Cambria Math" w:cs="Times New Roman"/>
                  <w:sz w:val="18"/>
                </w:rPr>
                <m:t>±</m:t>
              </m:r>
            </m:oMath>
            <w:r w:rsidRPr="00370FBA">
              <w:rPr>
                <w:rFonts w:cs="Times New Roman"/>
                <w:sz w:val="18"/>
              </w:rPr>
              <w:t xml:space="preserve"> 0.0051</w:t>
            </w:r>
          </w:p>
        </w:tc>
        <w:tc>
          <w:tcPr>
            <w:tcW w:w="1250" w:type="pct"/>
            <w:vAlign w:val="center"/>
          </w:tcPr>
          <w:p w14:paraId="366E13EC" w14:textId="72B6E9EB" w:rsidR="004C511C" w:rsidRPr="00370FBA" w:rsidRDefault="00751A67">
            <w:pPr>
              <w:spacing w:before="20" w:after="20"/>
              <w:jc w:val="center"/>
              <w:rPr>
                <w:rFonts w:cs="Times New Roman"/>
                <w:sz w:val="18"/>
              </w:rPr>
            </w:pPr>
            <w:r w:rsidRPr="00370FBA">
              <w:rPr>
                <w:rFonts w:cs="Times New Roman"/>
                <w:sz w:val="18"/>
              </w:rPr>
              <w:t xml:space="preserve">0.1008 </w:t>
            </w:r>
            <m:oMath>
              <m:r>
                <w:rPr>
                  <w:rFonts w:ascii="Cambria Math" w:hAnsi="Cambria Math" w:cs="Times New Roman"/>
                  <w:sz w:val="18"/>
                </w:rPr>
                <m:t>±</m:t>
              </m:r>
            </m:oMath>
            <w:r w:rsidRPr="00370FBA">
              <w:rPr>
                <w:rFonts w:cs="Times New Roman"/>
                <w:sz w:val="18"/>
              </w:rPr>
              <w:t xml:space="preserve"> 0.0042</w:t>
            </w:r>
          </w:p>
        </w:tc>
        <w:tc>
          <w:tcPr>
            <w:tcW w:w="1250" w:type="pct"/>
            <w:vAlign w:val="center"/>
          </w:tcPr>
          <w:p w14:paraId="37FF156F" w14:textId="77777777" w:rsidR="004C511C" w:rsidRPr="00370FBA" w:rsidRDefault="00751A67">
            <w:pPr>
              <w:spacing w:before="20" w:after="20"/>
              <w:jc w:val="center"/>
              <w:rPr>
                <w:rFonts w:cs="Times New Roman"/>
                <w:sz w:val="18"/>
              </w:rPr>
            </w:pPr>
            <w:r w:rsidRPr="00370FBA">
              <w:rPr>
                <w:rFonts w:cs="Times New Roman"/>
                <w:sz w:val="18"/>
              </w:rPr>
              <w:t>13.96%</w:t>
            </w:r>
          </w:p>
        </w:tc>
      </w:tr>
      <w:tr w:rsidR="004C511C" w:rsidRPr="00370FBA" w14:paraId="4B0FE1C2" w14:textId="77777777" w:rsidTr="00370FBA">
        <w:trPr>
          <w:jc w:val="center"/>
        </w:trPr>
        <w:tc>
          <w:tcPr>
            <w:tcW w:w="1250" w:type="pct"/>
            <w:vAlign w:val="center"/>
          </w:tcPr>
          <w:p w14:paraId="47D49EA1" w14:textId="77777777" w:rsidR="004C511C" w:rsidRPr="00370FBA" w:rsidRDefault="00751A67">
            <w:pPr>
              <w:spacing w:before="20" w:after="20"/>
              <w:jc w:val="center"/>
              <w:rPr>
                <w:rFonts w:cs="Times New Roman"/>
                <w:sz w:val="18"/>
              </w:rPr>
            </w:pPr>
            <w:r w:rsidRPr="00370FBA">
              <w:rPr>
                <w:rFonts w:cs="Times New Roman"/>
                <w:sz w:val="18"/>
              </w:rPr>
              <w:t>GRU Mechanism</w:t>
            </w:r>
          </w:p>
        </w:tc>
        <w:tc>
          <w:tcPr>
            <w:tcW w:w="1250" w:type="pct"/>
            <w:vAlign w:val="center"/>
          </w:tcPr>
          <w:p w14:paraId="42D673BC" w14:textId="524D9F30" w:rsidR="004C511C" w:rsidRPr="00370FBA" w:rsidRDefault="00751A67">
            <w:pPr>
              <w:spacing w:before="20" w:after="20"/>
              <w:jc w:val="center"/>
              <w:rPr>
                <w:rFonts w:cs="Times New Roman"/>
                <w:sz w:val="18"/>
              </w:rPr>
            </w:pPr>
            <w:r w:rsidRPr="00370FBA">
              <w:rPr>
                <w:rFonts w:cs="Times New Roman"/>
                <w:sz w:val="18"/>
              </w:rPr>
              <w:t xml:space="preserve">0.1058 </w:t>
            </w:r>
            <m:oMath>
              <m:r>
                <w:rPr>
                  <w:rFonts w:ascii="Cambria Math" w:hAnsi="Cambria Math" w:cs="Times New Roman"/>
                  <w:sz w:val="18"/>
                </w:rPr>
                <m:t>±</m:t>
              </m:r>
            </m:oMath>
            <w:r w:rsidRPr="00370FBA">
              <w:rPr>
                <w:rFonts w:cs="Times New Roman"/>
                <w:sz w:val="18"/>
              </w:rPr>
              <w:t xml:space="preserve"> 0.0034</w:t>
            </w:r>
          </w:p>
        </w:tc>
        <w:tc>
          <w:tcPr>
            <w:tcW w:w="1250" w:type="pct"/>
            <w:vAlign w:val="center"/>
          </w:tcPr>
          <w:p w14:paraId="3822C6B1" w14:textId="17041FA1" w:rsidR="004C511C" w:rsidRPr="00370FBA" w:rsidRDefault="00751A67">
            <w:pPr>
              <w:spacing w:before="20" w:after="20"/>
              <w:jc w:val="center"/>
              <w:rPr>
                <w:rFonts w:cs="Times New Roman"/>
                <w:sz w:val="18"/>
              </w:rPr>
            </w:pPr>
            <w:r w:rsidRPr="00370FBA">
              <w:rPr>
                <w:rFonts w:cs="Times New Roman"/>
                <w:sz w:val="18"/>
              </w:rPr>
              <w:t xml:space="preserve">0.0948 </w:t>
            </w:r>
            <m:oMath>
              <m:r>
                <w:rPr>
                  <w:rFonts w:ascii="Cambria Math" w:hAnsi="Cambria Math" w:cs="Times New Roman"/>
                  <w:sz w:val="18"/>
                </w:rPr>
                <m:t>±</m:t>
              </m:r>
            </m:oMath>
            <w:r w:rsidRPr="00370FBA">
              <w:rPr>
                <w:rFonts w:cs="Times New Roman"/>
                <w:sz w:val="18"/>
              </w:rPr>
              <w:t xml:space="preserve"> 0.0028</w:t>
            </w:r>
          </w:p>
        </w:tc>
        <w:tc>
          <w:tcPr>
            <w:tcW w:w="1250" w:type="pct"/>
            <w:vAlign w:val="center"/>
          </w:tcPr>
          <w:p w14:paraId="292D5483" w14:textId="77777777" w:rsidR="004C511C" w:rsidRPr="00370FBA" w:rsidRDefault="00751A67">
            <w:pPr>
              <w:spacing w:before="20" w:after="20"/>
              <w:jc w:val="center"/>
              <w:rPr>
                <w:rFonts w:cs="Times New Roman"/>
                <w:sz w:val="18"/>
              </w:rPr>
            </w:pPr>
            <w:r w:rsidRPr="00370FBA">
              <w:rPr>
                <w:rFonts w:cs="Times New Roman"/>
                <w:sz w:val="18"/>
              </w:rPr>
              <w:t>13.13%</w:t>
            </w:r>
          </w:p>
        </w:tc>
      </w:tr>
    </w:tbl>
    <w:p w14:paraId="3B54A3D9" w14:textId="77777777" w:rsidR="004C511C" w:rsidRDefault="00751A67">
      <w:pPr>
        <w:spacing w:before="80" w:after="40"/>
      </w:pPr>
      <w:r>
        <w:rPr>
          <w:b/>
        </w:rPr>
        <w:t>6.2. Error Distributions and Macro-Regime Anomalies</w:t>
      </w:r>
    </w:p>
    <w:p w14:paraId="391E838A" w14:textId="40D1758A" w:rsidR="004C511C" w:rsidRDefault="00751A67">
      <w:pPr>
        <w:spacing w:after="60"/>
        <w:ind w:firstLine="216"/>
        <w:jc w:val="both"/>
      </w:pPr>
      <w:r>
        <w:rPr>
          <w:rFonts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w:t>
      </w:r>
      <m:oMath>
        <m:r>
          <w:rPr>
            <w:rFonts w:ascii="Cambria Math" w:hAnsi="Cambria Math"/>
          </w:rPr>
          <m:t>σ</m:t>
        </m:r>
      </m:oMath>
      <w:r>
        <w:rPr>
          <w:rFonts w:cs="Times New Roman"/>
        </w:rPr>
        <w:t>)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14:paraId="62A91874" w14:textId="77777777" w:rsidR="004C511C" w:rsidRDefault="00751A67">
      <w:pPr>
        <w:spacing w:before="60" w:after="30"/>
        <w:jc w:val="center"/>
      </w:pPr>
      <w:r>
        <w:rPr>
          <w:noProof/>
        </w:rPr>
        <w:drawing>
          <wp:inline distT="0" distB="0" distL="0" distR="0" wp14:anchorId="2E1A2B04" wp14:editId="3CF108B4">
            <wp:extent cx="2560320" cy="938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560320" cy="938405"/>
                    </a:xfrm>
                    <a:prstGeom prst="rect">
                      <a:avLst/>
                    </a:prstGeom>
                  </pic:spPr>
                </pic:pic>
              </a:graphicData>
            </a:graphic>
          </wp:inline>
        </w:drawing>
      </w:r>
    </w:p>
    <w:p w14:paraId="0C1BF362" w14:textId="20596795" w:rsidR="004C511C" w:rsidRDefault="00751A67">
      <w:pPr>
        <w:spacing w:after="60"/>
        <w:jc w:val="center"/>
      </w:pPr>
      <w:r>
        <w:rPr>
          <w:rFonts w:cs="Times New Roman"/>
        </w:rPr>
        <w:t>Fig. 3. Statistical configuration distribution illustrating localized error clusters surrounding baseline GRU boundaries against extreme +3</w:t>
      </w:r>
      <m:oMath>
        <m:r>
          <w:rPr>
            <w:rFonts w:ascii="Cambria Math" w:hAnsi="Cambria Math"/>
          </w:rPr>
          <m:t>σ</m:t>
        </m:r>
      </m:oMath>
      <w:r>
        <w:rPr>
          <w:rFonts w:cs="Times New Roman"/>
        </w:rPr>
        <w:t xml:space="preserve"> tail-ends.</w:t>
      </w:r>
    </w:p>
    <w:p w14:paraId="2754B6E4" w14:textId="77777777" w:rsidR="004C511C" w:rsidRDefault="00751A67">
      <w:pPr>
        <w:spacing w:before="80" w:after="40"/>
      </w:pPr>
      <w:r>
        <w:rPr>
          <w:b/>
        </w:rPr>
        <w:t>6.3. Operational Microsoft Power BI Prototype Verification</w:t>
      </w:r>
    </w:p>
    <w:p w14:paraId="77F91CD2" w14:textId="77777777" w:rsidR="004C511C" w:rsidRDefault="00751A67">
      <w:pPr>
        <w:spacing w:after="60"/>
        <w:ind w:firstLine="216"/>
        <w:jc w:val="both"/>
      </w:pPr>
      <w:r>
        <w:rPr>
          <w:rFonts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14:paraId="2AD395E2" w14:textId="77777777" w:rsidR="004C511C" w:rsidRDefault="00751A67">
      <w:pPr>
        <w:spacing w:after="60"/>
        <w:ind w:firstLine="216"/>
        <w:jc w:val="both"/>
      </w:pPr>
      <w:r>
        <w:rPr>
          <w:rFonts w:cs="Times New Roman"/>
        </w:rPr>
        <w:t>Functionality: All four model inference outputs (</w:t>
      </w:r>
      <w:proofErr w:type="spellStart"/>
      <w:r>
        <w:rPr>
          <w:rFonts w:cs="Times New Roman"/>
        </w:rPr>
        <w:t>XGBoost</w:t>
      </w:r>
      <w:proofErr w:type="spellEnd"/>
      <w:r>
        <w:rPr>
          <w:rFonts w:cs="Times New Roman"/>
        </w:rPr>
        <w: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14:paraId="1229C0AB" w14:textId="77777777" w:rsidR="004C511C" w:rsidRDefault="00751A67">
      <w:pPr>
        <w:spacing w:after="60"/>
        <w:ind w:firstLine="216"/>
        <w:jc w:val="both"/>
      </w:pPr>
      <w:r>
        <w:rPr>
          <w:rFonts w:cs="Times New Roman"/>
        </w:rPr>
        <w:t xml:space="preserve">KPI Fidelity: Dashboard-computed Sharpe Ratios and </w:t>
      </w:r>
      <w:proofErr w:type="spellStart"/>
      <w:r>
        <w:rPr>
          <w:rFonts w:cs="Times New Roman"/>
        </w:rPr>
        <w:t>VaR</w:t>
      </w:r>
      <w:proofErr w:type="spellEnd"/>
      <w:r>
        <w:rPr>
          <w:rFonts w:cs="Times New Roman"/>
        </w:rPr>
        <w:t xml:space="preserve"> (95%) figures are validated against independent Python recalculations across all Walk-Forward folds. Maximum absolute deviation observed: 0.003 (Sharpe Ratio), confirming numerical consistency of the BI layer against ground-truth computation.</w:t>
      </w:r>
    </w:p>
    <w:p w14:paraId="66D1111F" w14:textId="77777777" w:rsidR="004C511C" w:rsidRDefault="00751A67">
      <w:pPr>
        <w:spacing w:after="60"/>
        <w:ind w:firstLine="216"/>
        <w:jc w:val="both"/>
      </w:pPr>
      <w:r>
        <w:rPr>
          <w:rFonts w:cs="Times New Roman"/>
        </w:rPr>
        <w:t xml:space="preserve">Usability (SUS Evaluation): Dashboard usability was formally assessed using the standard 10-item System Usability Scale (SUS) [39], administered to 15 evaluators comprising postgraduate informatics students </w:t>
      </w:r>
      <w:proofErr w:type="gramStart"/>
      <w:r>
        <w:rPr>
          <w:rFonts w:cs="Times New Roman"/>
        </w:rPr>
        <w:t>( n</w:t>
      </w:r>
      <w:proofErr w:type="gramEnd"/>
      <w:r>
        <w:rPr>
          <w:rFonts w:cs="Times New Roman"/>
        </w:rPr>
        <w:t xml:space="preserve"> = 10) and financial analytics practitioners </w:t>
      </w:r>
      <w:proofErr w:type="gramStart"/>
      <w:r>
        <w:rPr>
          <w:rFonts w:cs="Times New Roman"/>
        </w:rPr>
        <w:t>( n</w:t>
      </w:r>
      <w:proofErr w:type="gramEnd"/>
      <w:r>
        <w:rPr>
          <w:rFonts w:cs="Times New Roman"/>
        </w:rPr>
        <w:t xml:space="preserve">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14:paraId="7D8ACA85" w14:textId="77777777" w:rsidR="004C511C" w:rsidRDefault="00751A67">
      <w:pPr>
        <w:spacing w:after="60"/>
        <w:ind w:firstLine="216"/>
        <w:jc w:val="both"/>
      </w:pPr>
      <w:r>
        <w:rPr>
          <w:rFonts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tbl>
      <w:tblPr>
        <w:tblStyle w:val="TableGrid"/>
        <w:tblW w:w="5000" w:type="pct"/>
        <w:jc w:val="center"/>
        <w:tblLook w:val="04A0" w:firstRow="1" w:lastRow="0" w:firstColumn="1" w:lastColumn="0" w:noHBand="0" w:noVBand="1"/>
      </w:tblPr>
      <w:tblGrid>
        <w:gridCol w:w="1800"/>
        <w:gridCol w:w="1801"/>
        <w:gridCol w:w="1801"/>
        <w:gridCol w:w="1801"/>
        <w:gridCol w:w="1801"/>
      </w:tblGrid>
      <w:tr w:rsidR="004C511C" w:rsidRPr="00370FBA" w14:paraId="2191DA15" w14:textId="77777777" w:rsidTr="00370FBA">
        <w:trPr>
          <w:jc w:val="center"/>
        </w:trPr>
        <w:tc>
          <w:tcPr>
            <w:tcW w:w="1000" w:type="pct"/>
            <w:vAlign w:val="center"/>
          </w:tcPr>
          <w:p w14:paraId="6D138819" w14:textId="77777777" w:rsidR="0038424D" w:rsidRPr="0038424D" w:rsidRDefault="0038424D" w:rsidP="0038424D">
            <w:pPr>
              <w:spacing w:before="20" w:after="20"/>
              <w:jc w:val="center"/>
              <w:rPr>
                <w:rFonts w:cs="Times New Roman"/>
                <w:b/>
              </w:rPr>
            </w:pPr>
            <w:r w:rsidRPr="0038424D">
              <w:rPr>
                <w:rFonts w:cs="Times New Roman"/>
                <w:b/>
              </w:rPr>
              <w:t xml:space="preserve">Table 2. KPI Dashboard (Sharpe, </w:t>
            </w:r>
            <w:proofErr w:type="spellStart"/>
            <w:r w:rsidRPr="0038424D">
              <w:rPr>
                <w:rFonts w:cs="Times New Roman"/>
                <w:b/>
              </w:rPr>
              <w:t>VaR</w:t>
            </w:r>
            <w:proofErr w:type="spellEnd"/>
            <w:r w:rsidRPr="0038424D">
              <w:rPr>
                <w:rFonts w:cs="Times New Roman"/>
                <w:b/>
              </w:rPr>
              <w:t>, Dir. Acc.)</w:t>
            </w:r>
          </w:p>
          <w:p w14:paraId="15D6CEE6" w14:textId="14466EC0" w:rsidR="004C511C" w:rsidRPr="00370FBA" w:rsidRDefault="00751A67">
            <w:pPr>
              <w:spacing w:before="20" w:after="20"/>
              <w:jc w:val="center"/>
              <w:rPr>
                <w:rFonts w:cs="Times New Roman"/>
                <w:sz w:val="18"/>
              </w:rPr>
            </w:pPr>
            <w:r w:rsidRPr="00370FBA">
              <w:rPr>
                <w:rFonts w:cs="Times New Roman"/>
                <w:b/>
                <w:sz w:val="18"/>
              </w:rPr>
              <w:t>System Output</w:t>
            </w:r>
          </w:p>
        </w:tc>
        <w:tc>
          <w:tcPr>
            <w:tcW w:w="1000" w:type="pct"/>
            <w:vAlign w:val="center"/>
          </w:tcPr>
          <w:p w14:paraId="6CCC1A6E" w14:textId="4A859EB6" w:rsidR="004C511C" w:rsidRPr="00370FBA" w:rsidRDefault="00751A67">
            <w:pPr>
              <w:spacing w:before="20" w:after="20"/>
              <w:jc w:val="center"/>
              <w:rPr>
                <w:rFonts w:cs="Times New Roman"/>
                <w:sz w:val="18"/>
              </w:rPr>
            </w:pPr>
            <w:proofErr w:type="spellStart"/>
            <w:r w:rsidRPr="00370FBA">
              <w:rPr>
                <w:rFonts w:cs="Times New Roman"/>
                <w:b/>
                <w:sz w:val="18"/>
              </w:rPr>
              <w:t>XGBoost</w:t>
            </w:r>
            <w:proofErr w:type="spellEnd"/>
            <w:r w:rsidRPr="00370FBA">
              <w:rPr>
                <w:rFonts w:cs="Times New Roman"/>
                <w:b/>
                <w:sz w:val="18"/>
              </w:rPr>
              <w:t xml:space="preserve"> (</w:t>
            </w:r>
            <m:oMath>
              <m:r>
                <w:rPr>
                  <w:rFonts w:ascii="Cambria Math" w:hAnsi="Cambria Math" w:cs="Times New Roman"/>
                  <w:sz w:val="18"/>
                </w:rPr>
                <m:t>±</m:t>
              </m:r>
            </m:oMath>
            <w:r w:rsidRPr="00370FBA">
              <w:rPr>
                <w:rFonts w:cs="Times New Roman"/>
                <w:b/>
                <w:sz w:val="18"/>
              </w:rPr>
              <w:t xml:space="preserve"> SD)</w:t>
            </w:r>
          </w:p>
        </w:tc>
        <w:tc>
          <w:tcPr>
            <w:tcW w:w="1000" w:type="pct"/>
            <w:vAlign w:val="center"/>
          </w:tcPr>
          <w:p w14:paraId="6D1ED5BC" w14:textId="0358178C" w:rsidR="004C511C" w:rsidRPr="00370FBA" w:rsidRDefault="00751A67">
            <w:pPr>
              <w:spacing w:before="20" w:after="20"/>
              <w:jc w:val="center"/>
              <w:rPr>
                <w:rFonts w:cs="Times New Roman"/>
                <w:sz w:val="18"/>
              </w:rPr>
            </w:pPr>
            <w:r w:rsidRPr="00370FBA">
              <w:rPr>
                <w:rFonts w:cs="Times New Roman"/>
                <w:b/>
                <w:sz w:val="18"/>
              </w:rPr>
              <w:t>Informer (</w:t>
            </w:r>
            <m:oMath>
              <m:r>
                <w:rPr>
                  <w:rFonts w:ascii="Cambria Math" w:hAnsi="Cambria Math" w:cs="Times New Roman"/>
                  <w:sz w:val="18"/>
                </w:rPr>
                <m:t>±</m:t>
              </m:r>
            </m:oMath>
            <w:r w:rsidRPr="00370FBA">
              <w:rPr>
                <w:rFonts w:cs="Times New Roman"/>
                <w:b/>
                <w:sz w:val="18"/>
              </w:rPr>
              <w:t xml:space="preserve"> SD)</w:t>
            </w:r>
          </w:p>
        </w:tc>
        <w:tc>
          <w:tcPr>
            <w:tcW w:w="1000" w:type="pct"/>
            <w:vAlign w:val="center"/>
          </w:tcPr>
          <w:p w14:paraId="52FA7D2A" w14:textId="4304F184" w:rsidR="004C511C" w:rsidRPr="00370FBA" w:rsidRDefault="00751A67">
            <w:pPr>
              <w:spacing w:before="20" w:after="20"/>
              <w:jc w:val="center"/>
              <w:rPr>
                <w:rFonts w:cs="Times New Roman"/>
                <w:sz w:val="18"/>
              </w:rPr>
            </w:pPr>
            <w:r w:rsidRPr="00370FBA">
              <w:rPr>
                <w:rFonts w:cs="Times New Roman"/>
                <w:b/>
                <w:sz w:val="18"/>
              </w:rPr>
              <w:t>LSTM (</w:t>
            </w:r>
            <m:oMath>
              <m:r>
                <w:rPr>
                  <w:rFonts w:ascii="Cambria Math" w:hAnsi="Cambria Math" w:cs="Times New Roman"/>
                  <w:sz w:val="18"/>
                </w:rPr>
                <m:t>±</m:t>
              </m:r>
            </m:oMath>
            <w:r w:rsidRPr="00370FBA">
              <w:rPr>
                <w:rFonts w:cs="Times New Roman"/>
                <w:b/>
                <w:sz w:val="18"/>
              </w:rPr>
              <w:t xml:space="preserve"> SD)</w:t>
            </w:r>
          </w:p>
        </w:tc>
        <w:tc>
          <w:tcPr>
            <w:tcW w:w="1000" w:type="pct"/>
            <w:vAlign w:val="center"/>
          </w:tcPr>
          <w:p w14:paraId="6EA09570" w14:textId="689088C3" w:rsidR="004C511C" w:rsidRPr="00370FBA" w:rsidRDefault="00751A67">
            <w:pPr>
              <w:spacing w:before="20" w:after="20"/>
              <w:jc w:val="center"/>
              <w:rPr>
                <w:rFonts w:cs="Times New Roman"/>
                <w:sz w:val="18"/>
              </w:rPr>
            </w:pPr>
            <w:r w:rsidRPr="00370FBA">
              <w:rPr>
                <w:rFonts w:cs="Times New Roman"/>
                <w:b/>
                <w:sz w:val="18"/>
              </w:rPr>
              <w:t>GRU (</w:t>
            </w:r>
            <m:oMath>
              <m:r>
                <w:rPr>
                  <w:rFonts w:ascii="Cambria Math" w:hAnsi="Cambria Math" w:cs="Times New Roman"/>
                  <w:sz w:val="18"/>
                </w:rPr>
                <m:t>±</m:t>
              </m:r>
            </m:oMath>
            <w:r w:rsidRPr="00370FBA">
              <w:rPr>
                <w:rFonts w:cs="Times New Roman"/>
                <w:b/>
                <w:sz w:val="18"/>
              </w:rPr>
              <w:t xml:space="preserve"> SD)</w:t>
            </w:r>
          </w:p>
        </w:tc>
      </w:tr>
      <w:tr w:rsidR="004C511C" w:rsidRPr="00370FBA" w14:paraId="3754C938" w14:textId="77777777" w:rsidTr="00370FBA">
        <w:trPr>
          <w:jc w:val="center"/>
        </w:trPr>
        <w:tc>
          <w:tcPr>
            <w:tcW w:w="1000" w:type="pct"/>
            <w:vAlign w:val="center"/>
          </w:tcPr>
          <w:p w14:paraId="73681CC9" w14:textId="77777777" w:rsidR="004C511C" w:rsidRPr="00370FBA" w:rsidRDefault="00751A67">
            <w:pPr>
              <w:spacing w:before="20" w:after="20"/>
              <w:jc w:val="center"/>
              <w:rPr>
                <w:rFonts w:cs="Times New Roman"/>
                <w:sz w:val="18"/>
              </w:rPr>
            </w:pPr>
            <w:r w:rsidRPr="00370FBA">
              <w:rPr>
                <w:rFonts w:cs="Times New Roman"/>
                <w:sz w:val="18"/>
              </w:rPr>
              <w:t>Direction Acc.</w:t>
            </w:r>
          </w:p>
        </w:tc>
        <w:tc>
          <w:tcPr>
            <w:tcW w:w="1000" w:type="pct"/>
            <w:vAlign w:val="center"/>
          </w:tcPr>
          <w:p w14:paraId="7C253DF5" w14:textId="4520A605" w:rsidR="004C511C" w:rsidRPr="00370FBA" w:rsidRDefault="00751A67">
            <w:pPr>
              <w:spacing w:before="20" w:after="20"/>
              <w:jc w:val="center"/>
              <w:rPr>
                <w:rFonts w:cs="Times New Roman"/>
                <w:sz w:val="18"/>
              </w:rPr>
            </w:pPr>
            <w:r w:rsidRPr="00370FBA">
              <w:rPr>
                <w:rFonts w:cs="Times New Roman"/>
                <w:sz w:val="18"/>
              </w:rPr>
              <w:t xml:space="preserve">58.4% </w:t>
            </w:r>
            <m:oMath>
              <m:r>
                <w:rPr>
                  <w:rFonts w:ascii="Cambria Math" w:hAnsi="Cambria Math" w:cs="Times New Roman"/>
                  <w:sz w:val="18"/>
                </w:rPr>
                <m:t>±</m:t>
              </m:r>
            </m:oMath>
            <w:r w:rsidRPr="00370FBA">
              <w:rPr>
                <w:rFonts w:cs="Times New Roman"/>
                <w:sz w:val="18"/>
              </w:rPr>
              <w:t xml:space="preserve"> 2.8%</w:t>
            </w:r>
          </w:p>
        </w:tc>
        <w:tc>
          <w:tcPr>
            <w:tcW w:w="1000" w:type="pct"/>
            <w:vAlign w:val="center"/>
          </w:tcPr>
          <w:p w14:paraId="3BC6D26C" w14:textId="26D70B93" w:rsidR="004C511C" w:rsidRPr="00370FBA" w:rsidRDefault="00751A67">
            <w:pPr>
              <w:spacing w:before="20" w:after="20"/>
              <w:jc w:val="center"/>
              <w:rPr>
                <w:rFonts w:cs="Times New Roman"/>
                <w:sz w:val="18"/>
              </w:rPr>
            </w:pPr>
            <w:r w:rsidRPr="00370FBA">
              <w:rPr>
                <w:rFonts w:cs="Times New Roman"/>
                <w:sz w:val="18"/>
              </w:rPr>
              <w:t xml:space="preserve">64.1% </w:t>
            </w:r>
            <m:oMath>
              <m:r>
                <w:rPr>
                  <w:rFonts w:ascii="Cambria Math" w:hAnsi="Cambria Math" w:cs="Times New Roman"/>
                  <w:sz w:val="18"/>
                </w:rPr>
                <m:t>±</m:t>
              </m:r>
            </m:oMath>
            <w:r w:rsidRPr="00370FBA">
              <w:rPr>
                <w:rFonts w:cs="Times New Roman"/>
                <w:sz w:val="18"/>
              </w:rPr>
              <w:t xml:space="preserve"> 2.5%</w:t>
            </w:r>
          </w:p>
        </w:tc>
        <w:tc>
          <w:tcPr>
            <w:tcW w:w="1000" w:type="pct"/>
            <w:vAlign w:val="center"/>
          </w:tcPr>
          <w:p w14:paraId="55833ACC" w14:textId="1E298D56" w:rsidR="004C511C" w:rsidRPr="00370FBA" w:rsidRDefault="00751A67">
            <w:pPr>
              <w:spacing w:before="20" w:after="20"/>
              <w:jc w:val="center"/>
              <w:rPr>
                <w:rFonts w:cs="Times New Roman"/>
                <w:sz w:val="18"/>
              </w:rPr>
            </w:pPr>
            <w:r w:rsidRPr="00370FBA">
              <w:rPr>
                <w:rFonts w:cs="Times New Roman"/>
                <w:sz w:val="18"/>
              </w:rPr>
              <w:t xml:space="preserve">72.3% </w:t>
            </w:r>
            <m:oMath>
              <m:r>
                <w:rPr>
                  <w:rFonts w:ascii="Cambria Math" w:hAnsi="Cambria Math" w:cs="Times New Roman"/>
                  <w:sz w:val="18"/>
                </w:rPr>
                <m:t>±</m:t>
              </m:r>
            </m:oMath>
            <w:r w:rsidRPr="00370FBA">
              <w:rPr>
                <w:rFonts w:cs="Times New Roman"/>
                <w:sz w:val="18"/>
              </w:rPr>
              <w:t xml:space="preserve"> 1.5%</w:t>
            </w:r>
          </w:p>
        </w:tc>
        <w:tc>
          <w:tcPr>
            <w:tcW w:w="1000" w:type="pct"/>
            <w:vAlign w:val="center"/>
          </w:tcPr>
          <w:p w14:paraId="26737B7A" w14:textId="1EE40186" w:rsidR="004C511C" w:rsidRPr="00370FBA" w:rsidRDefault="00751A67">
            <w:pPr>
              <w:spacing w:before="20" w:after="20"/>
              <w:jc w:val="center"/>
              <w:rPr>
                <w:rFonts w:cs="Times New Roman"/>
                <w:sz w:val="18"/>
              </w:rPr>
            </w:pPr>
            <w:r w:rsidRPr="00370FBA">
              <w:rPr>
                <w:rFonts w:cs="Times New Roman"/>
                <w:sz w:val="18"/>
              </w:rPr>
              <w:t xml:space="preserve">69.8% </w:t>
            </w:r>
            <m:oMath>
              <m:r>
                <w:rPr>
                  <w:rFonts w:ascii="Cambria Math" w:hAnsi="Cambria Math" w:cs="Times New Roman"/>
                  <w:sz w:val="18"/>
                </w:rPr>
                <m:t>±</m:t>
              </m:r>
            </m:oMath>
            <w:r w:rsidRPr="00370FBA">
              <w:rPr>
                <w:rFonts w:cs="Times New Roman"/>
                <w:sz w:val="18"/>
              </w:rPr>
              <w:t xml:space="preserve"> 1.8%</w:t>
            </w:r>
          </w:p>
        </w:tc>
      </w:tr>
      <w:tr w:rsidR="004C511C" w:rsidRPr="00370FBA" w14:paraId="5CC234E0" w14:textId="77777777" w:rsidTr="00370FBA">
        <w:trPr>
          <w:jc w:val="center"/>
        </w:trPr>
        <w:tc>
          <w:tcPr>
            <w:tcW w:w="1000" w:type="pct"/>
            <w:vAlign w:val="center"/>
          </w:tcPr>
          <w:p w14:paraId="4AB83146" w14:textId="77777777" w:rsidR="004C511C" w:rsidRPr="00370FBA" w:rsidRDefault="00751A67">
            <w:pPr>
              <w:spacing w:before="20" w:after="20"/>
              <w:jc w:val="center"/>
              <w:rPr>
                <w:rFonts w:cs="Times New Roman"/>
                <w:sz w:val="18"/>
              </w:rPr>
            </w:pPr>
            <w:r w:rsidRPr="00370FBA">
              <w:rPr>
                <w:rFonts w:cs="Times New Roman"/>
                <w:sz w:val="18"/>
              </w:rPr>
              <w:t>Sharpe Ratio</w:t>
            </w:r>
          </w:p>
        </w:tc>
        <w:tc>
          <w:tcPr>
            <w:tcW w:w="1000" w:type="pct"/>
            <w:vAlign w:val="center"/>
          </w:tcPr>
          <w:p w14:paraId="174732A8" w14:textId="4A37427A" w:rsidR="004C511C" w:rsidRPr="00370FBA" w:rsidRDefault="00751A67">
            <w:pPr>
              <w:spacing w:before="20" w:after="20"/>
              <w:jc w:val="center"/>
              <w:rPr>
                <w:rFonts w:cs="Times New Roman"/>
                <w:sz w:val="18"/>
              </w:rPr>
            </w:pPr>
            <w:r w:rsidRPr="00370FBA">
              <w:rPr>
                <w:rFonts w:cs="Times New Roman"/>
                <w:sz w:val="18"/>
              </w:rPr>
              <w:t xml:space="preserve">0.95 </w:t>
            </w:r>
            <m:oMath>
              <m:r>
                <w:rPr>
                  <w:rFonts w:ascii="Cambria Math" w:hAnsi="Cambria Math" w:cs="Times New Roman"/>
                  <w:sz w:val="18"/>
                </w:rPr>
                <m:t>±</m:t>
              </m:r>
            </m:oMath>
            <w:r w:rsidRPr="00370FBA">
              <w:rPr>
                <w:rFonts w:cs="Times New Roman"/>
                <w:sz w:val="18"/>
              </w:rPr>
              <w:t xml:space="preserve"> 0.15</w:t>
            </w:r>
          </w:p>
        </w:tc>
        <w:tc>
          <w:tcPr>
            <w:tcW w:w="1000" w:type="pct"/>
            <w:vAlign w:val="center"/>
          </w:tcPr>
          <w:p w14:paraId="216F23E9" w14:textId="3D3690AD" w:rsidR="004C511C" w:rsidRPr="00370FBA" w:rsidRDefault="00751A67">
            <w:pPr>
              <w:spacing w:before="20" w:after="20"/>
              <w:jc w:val="center"/>
              <w:rPr>
                <w:rFonts w:cs="Times New Roman"/>
                <w:sz w:val="18"/>
              </w:rPr>
            </w:pPr>
            <w:r w:rsidRPr="00370FBA">
              <w:rPr>
                <w:rFonts w:cs="Times New Roman"/>
                <w:sz w:val="18"/>
              </w:rPr>
              <w:t xml:space="preserve">1.12 </w:t>
            </w:r>
            <m:oMath>
              <m:r>
                <w:rPr>
                  <w:rFonts w:ascii="Cambria Math" w:hAnsi="Cambria Math" w:cs="Times New Roman"/>
                  <w:sz w:val="18"/>
                </w:rPr>
                <m:t>±</m:t>
              </m:r>
            </m:oMath>
            <w:r w:rsidRPr="00370FBA">
              <w:rPr>
                <w:rFonts w:cs="Times New Roman"/>
                <w:sz w:val="18"/>
              </w:rPr>
              <w:t xml:space="preserve"> 0.20</w:t>
            </w:r>
          </w:p>
        </w:tc>
        <w:tc>
          <w:tcPr>
            <w:tcW w:w="1000" w:type="pct"/>
            <w:vAlign w:val="center"/>
          </w:tcPr>
          <w:p w14:paraId="3FC1630F" w14:textId="6B0EB07E" w:rsidR="004C511C" w:rsidRPr="00370FBA" w:rsidRDefault="00751A67">
            <w:pPr>
              <w:spacing w:before="20" w:after="20"/>
              <w:jc w:val="center"/>
              <w:rPr>
                <w:rFonts w:cs="Times New Roman"/>
                <w:sz w:val="18"/>
              </w:rPr>
            </w:pPr>
            <w:r w:rsidRPr="00370FBA">
              <w:rPr>
                <w:rFonts w:cs="Times New Roman"/>
                <w:sz w:val="18"/>
              </w:rPr>
              <w:t xml:space="preserve">1.45 </w:t>
            </w:r>
            <m:oMath>
              <m:r>
                <w:rPr>
                  <w:rFonts w:ascii="Cambria Math" w:hAnsi="Cambria Math" w:cs="Times New Roman"/>
                  <w:sz w:val="18"/>
                </w:rPr>
                <m:t>±</m:t>
              </m:r>
            </m:oMath>
            <w:r w:rsidRPr="00370FBA">
              <w:rPr>
                <w:rFonts w:cs="Times New Roman"/>
                <w:sz w:val="18"/>
              </w:rPr>
              <w:t xml:space="preserve"> 0.10</w:t>
            </w:r>
          </w:p>
        </w:tc>
        <w:tc>
          <w:tcPr>
            <w:tcW w:w="1000" w:type="pct"/>
            <w:vAlign w:val="center"/>
          </w:tcPr>
          <w:p w14:paraId="7901FFE0" w14:textId="1DA4706E" w:rsidR="004C511C" w:rsidRPr="00370FBA" w:rsidRDefault="00751A67">
            <w:pPr>
              <w:spacing w:before="20" w:after="20"/>
              <w:jc w:val="center"/>
              <w:rPr>
                <w:rFonts w:cs="Times New Roman"/>
                <w:sz w:val="18"/>
              </w:rPr>
            </w:pPr>
            <w:r w:rsidRPr="00370FBA">
              <w:rPr>
                <w:rFonts w:cs="Times New Roman"/>
                <w:sz w:val="18"/>
              </w:rPr>
              <w:t xml:space="preserve">1.32 </w:t>
            </w:r>
            <m:oMath>
              <m:r>
                <w:rPr>
                  <w:rFonts w:ascii="Cambria Math" w:hAnsi="Cambria Math" w:cs="Times New Roman"/>
                  <w:sz w:val="18"/>
                </w:rPr>
                <m:t>±</m:t>
              </m:r>
            </m:oMath>
            <w:r w:rsidRPr="00370FBA">
              <w:rPr>
                <w:rFonts w:cs="Times New Roman"/>
                <w:sz w:val="18"/>
              </w:rPr>
              <w:t xml:space="preserve"> 0.12</w:t>
            </w:r>
          </w:p>
        </w:tc>
      </w:tr>
      <w:tr w:rsidR="004C511C" w:rsidRPr="00370FBA" w14:paraId="7B1FAE38" w14:textId="77777777" w:rsidTr="00370FBA">
        <w:trPr>
          <w:jc w:val="center"/>
        </w:trPr>
        <w:tc>
          <w:tcPr>
            <w:tcW w:w="1000" w:type="pct"/>
            <w:vAlign w:val="center"/>
          </w:tcPr>
          <w:p w14:paraId="217362FF" w14:textId="77777777" w:rsidR="004C511C" w:rsidRPr="00370FBA" w:rsidRDefault="00751A67">
            <w:pPr>
              <w:spacing w:before="20" w:after="20"/>
              <w:jc w:val="center"/>
              <w:rPr>
                <w:rFonts w:cs="Times New Roman"/>
                <w:sz w:val="18"/>
              </w:rPr>
            </w:pPr>
            <w:proofErr w:type="spellStart"/>
            <w:r w:rsidRPr="00370FBA">
              <w:rPr>
                <w:rFonts w:cs="Times New Roman"/>
                <w:sz w:val="18"/>
              </w:rPr>
              <w:lastRenderedPageBreak/>
              <w:t>VaR</w:t>
            </w:r>
            <w:proofErr w:type="spellEnd"/>
            <w:r w:rsidRPr="00370FBA">
              <w:rPr>
                <w:rFonts w:cs="Times New Roman"/>
                <w:sz w:val="18"/>
              </w:rPr>
              <w:t xml:space="preserve"> (95%) Limit</w:t>
            </w:r>
          </w:p>
        </w:tc>
        <w:tc>
          <w:tcPr>
            <w:tcW w:w="1000" w:type="pct"/>
            <w:vAlign w:val="center"/>
          </w:tcPr>
          <w:p w14:paraId="62A9A082" w14:textId="6874A85B" w:rsidR="004C511C" w:rsidRPr="00370FBA" w:rsidRDefault="00751A67">
            <w:pPr>
              <w:spacing w:before="20" w:after="20"/>
              <w:jc w:val="center"/>
              <w:rPr>
                <w:rFonts w:cs="Times New Roman"/>
                <w:sz w:val="18"/>
              </w:rPr>
            </w:pPr>
            <w:r w:rsidRPr="00370FBA">
              <w:rPr>
                <w:rFonts w:cs="Times New Roman"/>
                <w:sz w:val="18"/>
              </w:rPr>
              <w:t xml:space="preserve">-4.10% </w:t>
            </w:r>
            <m:oMath>
              <m:r>
                <w:rPr>
                  <w:rFonts w:ascii="Cambria Math" w:hAnsi="Cambria Math" w:cs="Times New Roman"/>
                  <w:sz w:val="18"/>
                </w:rPr>
                <m:t>±</m:t>
              </m:r>
            </m:oMath>
            <w:r w:rsidRPr="00370FBA">
              <w:rPr>
                <w:rFonts w:cs="Times New Roman"/>
                <w:sz w:val="18"/>
              </w:rPr>
              <w:t xml:space="preserve"> 0.5%</w:t>
            </w:r>
          </w:p>
        </w:tc>
        <w:tc>
          <w:tcPr>
            <w:tcW w:w="1000" w:type="pct"/>
            <w:vAlign w:val="center"/>
          </w:tcPr>
          <w:p w14:paraId="207F8D32" w14:textId="4B785A38" w:rsidR="004C511C" w:rsidRPr="00370FBA" w:rsidRDefault="00751A67">
            <w:pPr>
              <w:spacing w:before="20" w:after="20"/>
              <w:jc w:val="center"/>
              <w:rPr>
                <w:rFonts w:cs="Times New Roman"/>
                <w:sz w:val="18"/>
              </w:rPr>
            </w:pPr>
            <w:r w:rsidRPr="00370FBA">
              <w:rPr>
                <w:rFonts w:cs="Times New Roman"/>
                <w:sz w:val="18"/>
              </w:rPr>
              <w:t xml:space="preserve">-3.15% </w:t>
            </w:r>
            <m:oMath>
              <m:r>
                <w:rPr>
                  <w:rFonts w:ascii="Cambria Math" w:hAnsi="Cambria Math" w:cs="Times New Roman"/>
                  <w:sz w:val="18"/>
                </w:rPr>
                <m:t>±</m:t>
              </m:r>
            </m:oMath>
            <w:r w:rsidRPr="00370FBA">
              <w:rPr>
                <w:rFonts w:cs="Times New Roman"/>
                <w:sz w:val="18"/>
              </w:rPr>
              <w:t xml:space="preserve"> 0.6%</w:t>
            </w:r>
          </w:p>
        </w:tc>
        <w:tc>
          <w:tcPr>
            <w:tcW w:w="1000" w:type="pct"/>
            <w:vAlign w:val="center"/>
          </w:tcPr>
          <w:p w14:paraId="58587534" w14:textId="6AE7A938" w:rsidR="004C511C" w:rsidRPr="00370FBA" w:rsidRDefault="00751A67">
            <w:pPr>
              <w:spacing w:before="20" w:after="20"/>
              <w:jc w:val="center"/>
              <w:rPr>
                <w:rFonts w:cs="Times New Roman"/>
                <w:sz w:val="18"/>
              </w:rPr>
            </w:pPr>
            <w:r w:rsidRPr="00370FBA">
              <w:rPr>
                <w:rFonts w:cs="Times New Roman"/>
                <w:sz w:val="18"/>
              </w:rPr>
              <w:t xml:space="preserve">-2.34% </w:t>
            </w:r>
            <m:oMath>
              <m:r>
                <w:rPr>
                  <w:rFonts w:ascii="Cambria Math" w:hAnsi="Cambria Math" w:cs="Times New Roman"/>
                  <w:sz w:val="18"/>
                </w:rPr>
                <m:t>±</m:t>
              </m:r>
            </m:oMath>
            <w:r w:rsidRPr="00370FBA">
              <w:rPr>
                <w:rFonts w:cs="Times New Roman"/>
                <w:sz w:val="18"/>
              </w:rPr>
              <w:t xml:space="preserve"> 0.2%</w:t>
            </w:r>
          </w:p>
        </w:tc>
        <w:tc>
          <w:tcPr>
            <w:tcW w:w="1000" w:type="pct"/>
            <w:vAlign w:val="center"/>
          </w:tcPr>
          <w:p w14:paraId="54953504" w14:textId="3844C5DE" w:rsidR="004C511C" w:rsidRPr="00370FBA" w:rsidRDefault="00751A67">
            <w:pPr>
              <w:spacing w:before="20" w:after="20"/>
              <w:jc w:val="center"/>
              <w:rPr>
                <w:rFonts w:cs="Times New Roman"/>
                <w:sz w:val="18"/>
              </w:rPr>
            </w:pPr>
            <w:r w:rsidRPr="00370FBA">
              <w:rPr>
                <w:rFonts w:cs="Times New Roman"/>
                <w:sz w:val="18"/>
              </w:rPr>
              <w:t xml:space="preserve">-2.67% </w:t>
            </w:r>
            <m:oMath>
              <m:r>
                <w:rPr>
                  <w:rFonts w:ascii="Cambria Math" w:hAnsi="Cambria Math" w:cs="Times New Roman"/>
                  <w:sz w:val="18"/>
                </w:rPr>
                <m:t>±</m:t>
              </m:r>
            </m:oMath>
            <w:r w:rsidRPr="00370FBA">
              <w:rPr>
                <w:rFonts w:cs="Times New Roman"/>
                <w:sz w:val="18"/>
              </w:rPr>
              <w:t xml:space="preserve"> 0.3%</w:t>
            </w:r>
          </w:p>
        </w:tc>
      </w:tr>
    </w:tbl>
    <w:p w14:paraId="096B9D66" w14:textId="77777777" w:rsidR="004C511C" w:rsidRDefault="00751A67">
      <w:pPr>
        <w:spacing w:before="120" w:after="60"/>
      </w:pPr>
      <w:r>
        <w:rPr>
          <w:b/>
        </w:rPr>
        <w:t>7. DISCUSSION</w:t>
      </w:r>
    </w:p>
    <w:p w14:paraId="0081F9B2" w14:textId="77777777" w:rsidR="004C511C" w:rsidRDefault="00751A67">
      <w:pPr>
        <w:spacing w:before="80" w:after="40"/>
      </w:pPr>
      <w:r>
        <w:rPr>
          <w:b/>
        </w:rPr>
        <w:t>7.1. Theoretical Justification for GRU Superiority in Short-Horizon Forecasting</w:t>
      </w:r>
    </w:p>
    <w:p w14:paraId="1554D884" w14:textId="77777777" w:rsidR="004C511C" w:rsidRDefault="00751A67">
      <w:pPr>
        <w:spacing w:after="60"/>
        <w:ind w:firstLine="216"/>
        <w:jc w:val="both"/>
      </w:pPr>
      <w:r>
        <w:t xml:space="preserve">The empirical outperformance of the GRU (RMSE 0.1058) over Informer and </w:t>
      </w:r>
      <w:proofErr w:type="spellStart"/>
      <w:r>
        <w:t>XGBoost</w:t>
      </w:r>
      <w:proofErr w:type="spellEnd"/>
      <w:r>
        <w:t xml:space="preserve">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p>
    <w:tbl>
      <w:tblPr>
        <w:tblStyle w:val="TableGrid"/>
        <w:tblW w:w="5000" w:type="pct"/>
        <w:jc w:val="center"/>
        <w:tblLook w:val="04A0" w:firstRow="1" w:lastRow="0" w:firstColumn="1" w:lastColumn="0" w:noHBand="0" w:noVBand="1"/>
      </w:tblPr>
      <w:tblGrid>
        <w:gridCol w:w="1821"/>
        <w:gridCol w:w="1424"/>
        <w:gridCol w:w="1664"/>
        <w:gridCol w:w="1237"/>
        <w:gridCol w:w="1650"/>
        <w:gridCol w:w="1208"/>
      </w:tblGrid>
      <w:tr w:rsidR="004C511C" w:rsidRPr="00370FBA" w14:paraId="4BBA284B" w14:textId="77777777" w:rsidTr="00370FBA">
        <w:trPr>
          <w:jc w:val="center"/>
        </w:trPr>
        <w:tc>
          <w:tcPr>
            <w:tcW w:w="1011" w:type="pct"/>
            <w:vAlign w:val="center"/>
          </w:tcPr>
          <w:p w14:paraId="0B386B8C" w14:textId="77777777" w:rsidR="0038424D" w:rsidRPr="0038424D" w:rsidRDefault="0038424D" w:rsidP="0038424D">
            <w:pPr>
              <w:spacing w:before="20" w:after="20"/>
              <w:jc w:val="center"/>
              <w:rPr>
                <w:rFonts w:cs="Times New Roman"/>
              </w:rPr>
            </w:pPr>
            <w:r w:rsidRPr="0038424D">
              <w:rPr>
                <w:rFonts w:cs="Times New Roman"/>
              </w:rPr>
              <w:t>Table 3. Comparative Benchmarking Against Published Literature</w:t>
            </w:r>
          </w:p>
          <w:p w14:paraId="299F6DDF" w14:textId="347BC4C4" w:rsidR="0038424D" w:rsidRDefault="0038424D" w:rsidP="0038424D">
            <w:pPr>
              <w:spacing w:before="20" w:after="20"/>
              <w:jc w:val="center"/>
              <w:rPr>
                <w:b/>
              </w:rPr>
            </w:pPr>
          </w:p>
          <w:p w14:paraId="6856957C" w14:textId="679A6848" w:rsidR="0038424D" w:rsidRPr="0038424D" w:rsidRDefault="0038424D" w:rsidP="0038424D">
            <w:pPr>
              <w:spacing w:before="20" w:after="20"/>
              <w:jc w:val="center"/>
              <w:rPr>
                <w:rFonts w:cs="Times New Roman"/>
                <w:b/>
              </w:rPr>
            </w:pPr>
            <w:r w:rsidRPr="0038424D">
              <w:rPr>
                <w:rFonts w:cs="Times New Roman"/>
                <w:b/>
              </w:rPr>
              <w:t>Table 3. Comparative Benchmarking Against Published Literature</w:t>
            </w:r>
          </w:p>
          <w:p w14:paraId="74CC0743" w14:textId="523F7ACB" w:rsidR="0038424D" w:rsidRDefault="0038424D">
            <w:pPr>
              <w:spacing w:before="20" w:after="20"/>
              <w:jc w:val="center"/>
              <w:rPr>
                <w:rFonts w:cs="Times New Roman"/>
                <w:b/>
                <w:sz w:val="18"/>
              </w:rPr>
            </w:pPr>
          </w:p>
          <w:p w14:paraId="7A28DA9C" w14:textId="21592ACF" w:rsidR="004C511C" w:rsidRPr="00370FBA" w:rsidRDefault="00751A67">
            <w:pPr>
              <w:spacing w:before="20" w:after="20"/>
              <w:jc w:val="center"/>
              <w:rPr>
                <w:rFonts w:cs="Times New Roman"/>
                <w:sz w:val="18"/>
              </w:rPr>
            </w:pPr>
            <w:r w:rsidRPr="00370FBA">
              <w:rPr>
                <w:rFonts w:cs="Times New Roman"/>
                <w:b/>
                <w:sz w:val="18"/>
              </w:rPr>
              <w:t>Study</w:t>
            </w:r>
          </w:p>
        </w:tc>
        <w:tc>
          <w:tcPr>
            <w:tcW w:w="791" w:type="pct"/>
            <w:vAlign w:val="center"/>
          </w:tcPr>
          <w:p w14:paraId="0C5796D9" w14:textId="77777777" w:rsidR="004C511C" w:rsidRPr="00370FBA" w:rsidRDefault="00751A67">
            <w:pPr>
              <w:spacing w:before="20" w:after="20"/>
              <w:jc w:val="center"/>
              <w:rPr>
                <w:rFonts w:cs="Times New Roman"/>
                <w:sz w:val="18"/>
              </w:rPr>
            </w:pPr>
            <w:r w:rsidRPr="00370FBA">
              <w:rPr>
                <w:rFonts w:cs="Times New Roman"/>
                <w:b/>
                <w:sz w:val="18"/>
              </w:rPr>
              <w:t>Model</w:t>
            </w:r>
          </w:p>
        </w:tc>
        <w:tc>
          <w:tcPr>
            <w:tcW w:w="924" w:type="pct"/>
            <w:vAlign w:val="center"/>
          </w:tcPr>
          <w:p w14:paraId="1742C632" w14:textId="77777777" w:rsidR="004C511C" w:rsidRPr="00370FBA" w:rsidRDefault="00751A67">
            <w:pPr>
              <w:spacing w:before="20" w:after="20"/>
              <w:jc w:val="center"/>
              <w:rPr>
                <w:rFonts w:cs="Times New Roman"/>
                <w:sz w:val="18"/>
              </w:rPr>
            </w:pPr>
            <w:r w:rsidRPr="00370FBA">
              <w:rPr>
                <w:rFonts w:cs="Times New Roman"/>
                <w:b/>
                <w:sz w:val="18"/>
              </w:rPr>
              <w:t>Asset / Interval</w:t>
            </w:r>
          </w:p>
        </w:tc>
        <w:tc>
          <w:tcPr>
            <w:tcW w:w="687" w:type="pct"/>
            <w:vAlign w:val="center"/>
          </w:tcPr>
          <w:p w14:paraId="77BA2AF3" w14:textId="77777777" w:rsidR="004C511C" w:rsidRPr="00370FBA" w:rsidRDefault="00751A67">
            <w:pPr>
              <w:spacing w:before="20" w:after="20"/>
              <w:jc w:val="center"/>
              <w:rPr>
                <w:rFonts w:cs="Times New Roman"/>
                <w:sz w:val="18"/>
              </w:rPr>
            </w:pPr>
            <w:r w:rsidRPr="00370FBA">
              <w:rPr>
                <w:rFonts w:cs="Times New Roman"/>
                <w:b/>
                <w:sz w:val="18"/>
              </w:rPr>
              <w:t>RMSE (norm.)</w:t>
            </w:r>
          </w:p>
        </w:tc>
        <w:tc>
          <w:tcPr>
            <w:tcW w:w="916" w:type="pct"/>
            <w:vAlign w:val="center"/>
          </w:tcPr>
          <w:p w14:paraId="3C0EB4B9" w14:textId="77777777" w:rsidR="004C511C" w:rsidRPr="00370FBA" w:rsidRDefault="00751A67">
            <w:pPr>
              <w:spacing w:before="20" w:after="20"/>
              <w:jc w:val="center"/>
              <w:rPr>
                <w:rFonts w:cs="Times New Roman"/>
                <w:sz w:val="18"/>
              </w:rPr>
            </w:pPr>
            <w:r w:rsidRPr="00370FBA">
              <w:rPr>
                <w:rFonts w:cs="Times New Roman"/>
                <w:b/>
                <w:sz w:val="18"/>
              </w:rPr>
              <w:t>Directional Acc.</w:t>
            </w:r>
          </w:p>
        </w:tc>
        <w:tc>
          <w:tcPr>
            <w:tcW w:w="672" w:type="pct"/>
            <w:vAlign w:val="center"/>
          </w:tcPr>
          <w:p w14:paraId="1B37EE35" w14:textId="77777777" w:rsidR="004C511C" w:rsidRPr="00370FBA" w:rsidRDefault="00751A67">
            <w:pPr>
              <w:spacing w:before="20" w:after="20"/>
              <w:jc w:val="center"/>
              <w:rPr>
                <w:rFonts w:cs="Times New Roman"/>
                <w:sz w:val="18"/>
              </w:rPr>
            </w:pPr>
            <w:r w:rsidRPr="00370FBA">
              <w:rPr>
                <w:rFonts w:cs="Times New Roman"/>
                <w:b/>
                <w:sz w:val="18"/>
              </w:rPr>
              <w:t>Sharpe Ratio</w:t>
            </w:r>
          </w:p>
        </w:tc>
      </w:tr>
      <w:tr w:rsidR="004C511C" w:rsidRPr="00370FBA" w14:paraId="610956FA" w14:textId="77777777" w:rsidTr="00370FBA">
        <w:trPr>
          <w:jc w:val="center"/>
        </w:trPr>
        <w:tc>
          <w:tcPr>
            <w:tcW w:w="1011" w:type="pct"/>
            <w:vAlign w:val="center"/>
          </w:tcPr>
          <w:p w14:paraId="3FA89233" w14:textId="77777777" w:rsidR="004C511C" w:rsidRPr="00370FBA" w:rsidRDefault="00751A67">
            <w:pPr>
              <w:spacing w:before="20" w:after="20"/>
              <w:jc w:val="center"/>
              <w:rPr>
                <w:rFonts w:cs="Times New Roman"/>
                <w:sz w:val="18"/>
              </w:rPr>
            </w:pPr>
            <w:r w:rsidRPr="00370FBA">
              <w:rPr>
                <w:rFonts w:cs="Times New Roman"/>
                <w:sz w:val="18"/>
              </w:rPr>
              <w:t xml:space="preserve">Chenet </w:t>
            </w:r>
            <w:proofErr w:type="gramStart"/>
            <w:r w:rsidRPr="00370FBA">
              <w:rPr>
                <w:rFonts w:cs="Times New Roman"/>
                <w:sz w:val="18"/>
              </w:rPr>
              <w:t>al.[</w:t>
            </w:r>
            <w:proofErr w:type="gramEnd"/>
            <w:r w:rsidRPr="00370FBA">
              <w:rPr>
                <w:rFonts w:cs="Times New Roman"/>
                <w:sz w:val="18"/>
              </w:rPr>
              <w:t>16] (2020)</w:t>
            </w:r>
          </w:p>
        </w:tc>
        <w:tc>
          <w:tcPr>
            <w:tcW w:w="791" w:type="pct"/>
            <w:vAlign w:val="center"/>
          </w:tcPr>
          <w:p w14:paraId="40FD76E9" w14:textId="77777777" w:rsidR="004C511C" w:rsidRPr="00370FBA" w:rsidRDefault="00751A67">
            <w:pPr>
              <w:spacing w:before="20" w:after="20"/>
              <w:jc w:val="center"/>
              <w:rPr>
                <w:rFonts w:cs="Times New Roman"/>
                <w:sz w:val="18"/>
              </w:rPr>
            </w:pPr>
            <w:r w:rsidRPr="00370FBA">
              <w:rPr>
                <w:rFonts w:cs="Times New Roman"/>
                <w:sz w:val="18"/>
              </w:rPr>
              <w:t>LSTM</w:t>
            </w:r>
          </w:p>
        </w:tc>
        <w:tc>
          <w:tcPr>
            <w:tcW w:w="924" w:type="pct"/>
            <w:vAlign w:val="center"/>
          </w:tcPr>
          <w:p w14:paraId="56C78DF4" w14:textId="77777777" w:rsidR="004C511C" w:rsidRPr="00370FBA" w:rsidRDefault="00751A67">
            <w:pPr>
              <w:spacing w:before="20" w:after="20"/>
              <w:jc w:val="center"/>
              <w:rPr>
                <w:rFonts w:cs="Times New Roman"/>
                <w:sz w:val="18"/>
              </w:rPr>
            </w:pPr>
            <w:r w:rsidRPr="00370FBA">
              <w:rPr>
                <w:rFonts w:cs="Times New Roman"/>
                <w:sz w:val="18"/>
              </w:rPr>
              <w:t>BTC / Daily</w:t>
            </w:r>
          </w:p>
        </w:tc>
        <w:tc>
          <w:tcPr>
            <w:tcW w:w="687" w:type="pct"/>
            <w:vAlign w:val="center"/>
          </w:tcPr>
          <w:p w14:paraId="409DA427" w14:textId="77777777" w:rsidR="004C511C" w:rsidRPr="00370FBA" w:rsidRDefault="00751A67">
            <w:pPr>
              <w:spacing w:before="20" w:after="20"/>
              <w:jc w:val="center"/>
              <w:rPr>
                <w:rFonts w:cs="Times New Roman"/>
                <w:sz w:val="18"/>
              </w:rPr>
            </w:pPr>
            <w:r w:rsidRPr="00370FBA">
              <w:rPr>
                <w:rFonts w:cs="Times New Roman"/>
                <w:sz w:val="18"/>
              </w:rPr>
              <w:t>0.18 – 0.25</w:t>
            </w:r>
          </w:p>
        </w:tc>
        <w:tc>
          <w:tcPr>
            <w:tcW w:w="916" w:type="pct"/>
            <w:vAlign w:val="center"/>
          </w:tcPr>
          <w:p w14:paraId="7AAF5630" w14:textId="77777777" w:rsidR="004C511C" w:rsidRPr="00370FBA" w:rsidRDefault="00751A67">
            <w:pPr>
              <w:spacing w:before="20" w:after="20"/>
              <w:jc w:val="center"/>
              <w:rPr>
                <w:rFonts w:cs="Times New Roman"/>
                <w:sz w:val="18"/>
              </w:rPr>
            </w:pPr>
            <w:r w:rsidRPr="00370FBA">
              <w:rPr>
                <w:rFonts w:cs="Times New Roman"/>
                <w:sz w:val="18"/>
              </w:rPr>
              <w:t>62 – 68%</w:t>
            </w:r>
          </w:p>
        </w:tc>
        <w:tc>
          <w:tcPr>
            <w:tcW w:w="672" w:type="pct"/>
            <w:vAlign w:val="center"/>
          </w:tcPr>
          <w:p w14:paraId="338A7077" w14:textId="77777777" w:rsidR="004C511C" w:rsidRPr="00370FBA" w:rsidRDefault="00751A67">
            <w:pPr>
              <w:spacing w:before="20" w:after="20"/>
              <w:jc w:val="center"/>
              <w:rPr>
                <w:rFonts w:cs="Times New Roman"/>
                <w:sz w:val="18"/>
              </w:rPr>
            </w:pPr>
            <w:r w:rsidRPr="00370FBA">
              <w:rPr>
                <w:rFonts w:cs="Times New Roman"/>
                <w:sz w:val="18"/>
              </w:rPr>
              <w:t>N/R</w:t>
            </w:r>
          </w:p>
        </w:tc>
      </w:tr>
      <w:tr w:rsidR="004C511C" w:rsidRPr="00370FBA" w14:paraId="747453ED" w14:textId="77777777" w:rsidTr="00370FBA">
        <w:trPr>
          <w:jc w:val="center"/>
        </w:trPr>
        <w:tc>
          <w:tcPr>
            <w:tcW w:w="1011" w:type="pct"/>
            <w:vAlign w:val="center"/>
          </w:tcPr>
          <w:p w14:paraId="3E5A952E" w14:textId="77777777" w:rsidR="004C511C" w:rsidRPr="00370FBA" w:rsidRDefault="00751A67">
            <w:pPr>
              <w:spacing w:before="20" w:after="20"/>
              <w:jc w:val="center"/>
              <w:rPr>
                <w:rFonts w:cs="Times New Roman"/>
                <w:sz w:val="18"/>
              </w:rPr>
            </w:pPr>
            <w:proofErr w:type="spellStart"/>
            <w:r w:rsidRPr="00370FBA">
              <w:rPr>
                <w:rFonts w:cs="Times New Roman"/>
                <w:sz w:val="18"/>
              </w:rPr>
              <w:t>Zhenget</w:t>
            </w:r>
            <w:proofErr w:type="spellEnd"/>
            <w:r w:rsidRPr="00370FBA">
              <w:rPr>
                <w:rFonts w:cs="Times New Roman"/>
                <w:sz w:val="18"/>
              </w:rPr>
              <w:t xml:space="preserve"> </w:t>
            </w:r>
            <w:proofErr w:type="gramStart"/>
            <w:r w:rsidRPr="00370FBA">
              <w:rPr>
                <w:rFonts w:cs="Times New Roman"/>
                <w:sz w:val="18"/>
              </w:rPr>
              <w:t>al.[</w:t>
            </w:r>
            <w:proofErr w:type="gramEnd"/>
            <w:r w:rsidRPr="00370FBA">
              <w:rPr>
                <w:rFonts w:cs="Times New Roman"/>
                <w:sz w:val="18"/>
              </w:rPr>
              <w:t>13] (2019)</w:t>
            </w:r>
          </w:p>
        </w:tc>
        <w:tc>
          <w:tcPr>
            <w:tcW w:w="791" w:type="pct"/>
            <w:vAlign w:val="center"/>
          </w:tcPr>
          <w:p w14:paraId="3419CFD1" w14:textId="77777777" w:rsidR="004C511C" w:rsidRPr="00370FBA" w:rsidRDefault="00751A67">
            <w:pPr>
              <w:spacing w:before="20" w:after="20"/>
              <w:jc w:val="center"/>
              <w:rPr>
                <w:rFonts w:cs="Times New Roman"/>
                <w:sz w:val="18"/>
              </w:rPr>
            </w:pPr>
            <w:r w:rsidRPr="00370FBA">
              <w:rPr>
                <w:rFonts w:cs="Times New Roman"/>
                <w:sz w:val="18"/>
              </w:rPr>
              <w:t>Ensemble Trees</w:t>
            </w:r>
          </w:p>
        </w:tc>
        <w:tc>
          <w:tcPr>
            <w:tcW w:w="924" w:type="pct"/>
            <w:vAlign w:val="center"/>
          </w:tcPr>
          <w:p w14:paraId="5D46510D" w14:textId="77777777" w:rsidR="004C511C" w:rsidRPr="00370FBA" w:rsidRDefault="00751A67">
            <w:pPr>
              <w:spacing w:before="20" w:after="20"/>
              <w:jc w:val="center"/>
              <w:rPr>
                <w:rFonts w:cs="Times New Roman"/>
                <w:sz w:val="18"/>
              </w:rPr>
            </w:pPr>
            <w:r w:rsidRPr="00370FBA">
              <w:rPr>
                <w:rFonts w:cs="Times New Roman"/>
                <w:sz w:val="18"/>
              </w:rPr>
              <w:t>BTC / 4-hour</w:t>
            </w:r>
          </w:p>
        </w:tc>
        <w:tc>
          <w:tcPr>
            <w:tcW w:w="687" w:type="pct"/>
            <w:vAlign w:val="center"/>
          </w:tcPr>
          <w:p w14:paraId="6DA04E8A" w14:textId="77777777" w:rsidR="004C511C" w:rsidRPr="00370FBA" w:rsidRDefault="00751A67">
            <w:pPr>
              <w:spacing w:before="20" w:after="20"/>
              <w:jc w:val="center"/>
              <w:rPr>
                <w:rFonts w:cs="Times New Roman"/>
                <w:sz w:val="18"/>
              </w:rPr>
            </w:pPr>
            <w:r w:rsidRPr="00370FBA">
              <w:rPr>
                <w:rFonts w:cs="Times New Roman"/>
                <w:sz w:val="18"/>
              </w:rPr>
              <w:t>N/R</w:t>
            </w:r>
          </w:p>
        </w:tc>
        <w:tc>
          <w:tcPr>
            <w:tcW w:w="916" w:type="pct"/>
            <w:vAlign w:val="center"/>
          </w:tcPr>
          <w:p w14:paraId="39F1F6C6" w14:textId="77777777" w:rsidR="004C511C" w:rsidRPr="00370FBA" w:rsidRDefault="00751A67">
            <w:pPr>
              <w:spacing w:before="20" w:after="20"/>
              <w:jc w:val="center"/>
              <w:rPr>
                <w:rFonts w:cs="Times New Roman"/>
                <w:sz w:val="18"/>
              </w:rPr>
            </w:pPr>
            <w:r w:rsidRPr="00370FBA">
              <w:rPr>
                <w:rFonts w:cs="Times New Roman"/>
                <w:sz w:val="18"/>
              </w:rPr>
              <w:t>60 – 65%</w:t>
            </w:r>
          </w:p>
        </w:tc>
        <w:tc>
          <w:tcPr>
            <w:tcW w:w="672" w:type="pct"/>
            <w:vAlign w:val="center"/>
          </w:tcPr>
          <w:p w14:paraId="1294E07A" w14:textId="77777777" w:rsidR="004C511C" w:rsidRPr="00370FBA" w:rsidRDefault="00751A67">
            <w:pPr>
              <w:spacing w:before="20" w:after="20"/>
              <w:jc w:val="center"/>
              <w:rPr>
                <w:rFonts w:cs="Times New Roman"/>
                <w:sz w:val="18"/>
              </w:rPr>
            </w:pPr>
            <w:r w:rsidRPr="00370FBA">
              <w:rPr>
                <w:rFonts w:cs="Times New Roman"/>
                <w:sz w:val="18"/>
              </w:rPr>
              <w:t>N/R</w:t>
            </w:r>
          </w:p>
        </w:tc>
      </w:tr>
      <w:tr w:rsidR="004C511C" w:rsidRPr="00370FBA" w14:paraId="60C7FF1E" w14:textId="77777777" w:rsidTr="00370FBA">
        <w:trPr>
          <w:jc w:val="center"/>
        </w:trPr>
        <w:tc>
          <w:tcPr>
            <w:tcW w:w="1011" w:type="pct"/>
            <w:vAlign w:val="center"/>
          </w:tcPr>
          <w:p w14:paraId="2DC4A05D" w14:textId="77777777" w:rsidR="004C511C" w:rsidRPr="00370FBA" w:rsidRDefault="00751A67">
            <w:pPr>
              <w:spacing w:before="20" w:after="20"/>
              <w:jc w:val="center"/>
              <w:rPr>
                <w:rFonts w:cs="Times New Roman"/>
                <w:sz w:val="18"/>
              </w:rPr>
            </w:pPr>
            <w:proofErr w:type="spellStart"/>
            <w:r w:rsidRPr="00370FBA">
              <w:rPr>
                <w:rFonts w:cs="Times New Roman"/>
                <w:sz w:val="18"/>
              </w:rPr>
              <w:t>Silvaet</w:t>
            </w:r>
            <w:proofErr w:type="spellEnd"/>
            <w:r w:rsidRPr="00370FBA">
              <w:rPr>
                <w:rFonts w:cs="Times New Roman"/>
                <w:sz w:val="18"/>
              </w:rPr>
              <w:t xml:space="preserve"> </w:t>
            </w:r>
            <w:proofErr w:type="gramStart"/>
            <w:r w:rsidRPr="00370FBA">
              <w:rPr>
                <w:rFonts w:cs="Times New Roman"/>
                <w:sz w:val="18"/>
              </w:rPr>
              <w:t>al.[</w:t>
            </w:r>
            <w:proofErr w:type="gramEnd"/>
            <w:r w:rsidRPr="00370FBA">
              <w:rPr>
                <w:rFonts w:cs="Times New Roman"/>
                <w:sz w:val="18"/>
              </w:rPr>
              <w:t>4] (2022)</w:t>
            </w:r>
          </w:p>
        </w:tc>
        <w:tc>
          <w:tcPr>
            <w:tcW w:w="791" w:type="pct"/>
            <w:vAlign w:val="center"/>
          </w:tcPr>
          <w:p w14:paraId="6B48CD99" w14:textId="77777777" w:rsidR="004C511C" w:rsidRPr="00370FBA" w:rsidRDefault="00751A67">
            <w:pPr>
              <w:spacing w:before="20" w:after="20"/>
              <w:jc w:val="center"/>
              <w:rPr>
                <w:rFonts w:cs="Times New Roman"/>
                <w:sz w:val="18"/>
              </w:rPr>
            </w:pPr>
            <w:r w:rsidRPr="00370FBA">
              <w:rPr>
                <w:rFonts w:cs="Times New Roman"/>
                <w:sz w:val="18"/>
              </w:rPr>
              <w:t>DL variants</w:t>
            </w:r>
          </w:p>
        </w:tc>
        <w:tc>
          <w:tcPr>
            <w:tcW w:w="924" w:type="pct"/>
            <w:vAlign w:val="center"/>
          </w:tcPr>
          <w:p w14:paraId="6304612A" w14:textId="77777777" w:rsidR="004C511C" w:rsidRPr="00370FBA" w:rsidRDefault="00751A67">
            <w:pPr>
              <w:spacing w:before="20" w:after="20"/>
              <w:jc w:val="center"/>
              <w:rPr>
                <w:rFonts w:cs="Times New Roman"/>
                <w:sz w:val="18"/>
              </w:rPr>
            </w:pPr>
            <w:r w:rsidRPr="00370FBA">
              <w:rPr>
                <w:rFonts w:cs="Times New Roman"/>
                <w:sz w:val="18"/>
              </w:rPr>
              <w:t>Multi-asset</w:t>
            </w:r>
          </w:p>
        </w:tc>
        <w:tc>
          <w:tcPr>
            <w:tcW w:w="687" w:type="pct"/>
            <w:vAlign w:val="center"/>
          </w:tcPr>
          <w:p w14:paraId="3A106864" w14:textId="77777777" w:rsidR="004C511C" w:rsidRPr="00370FBA" w:rsidRDefault="00751A67">
            <w:pPr>
              <w:spacing w:before="20" w:after="20"/>
              <w:jc w:val="center"/>
              <w:rPr>
                <w:rFonts w:cs="Times New Roman"/>
                <w:sz w:val="18"/>
              </w:rPr>
            </w:pPr>
            <w:r w:rsidRPr="00370FBA">
              <w:rPr>
                <w:rFonts w:cs="Times New Roman"/>
                <w:sz w:val="18"/>
              </w:rPr>
              <w:t>0.14 – 0.22</w:t>
            </w:r>
          </w:p>
        </w:tc>
        <w:tc>
          <w:tcPr>
            <w:tcW w:w="916" w:type="pct"/>
            <w:vAlign w:val="center"/>
          </w:tcPr>
          <w:p w14:paraId="22819FE5" w14:textId="77777777" w:rsidR="004C511C" w:rsidRPr="00370FBA" w:rsidRDefault="00751A67">
            <w:pPr>
              <w:spacing w:before="20" w:after="20"/>
              <w:jc w:val="center"/>
              <w:rPr>
                <w:rFonts w:cs="Times New Roman"/>
                <w:sz w:val="18"/>
              </w:rPr>
            </w:pPr>
            <w:r w:rsidRPr="00370FBA">
              <w:rPr>
                <w:rFonts w:cs="Times New Roman"/>
                <w:sz w:val="18"/>
              </w:rPr>
              <w:t>65 – 70%</w:t>
            </w:r>
          </w:p>
        </w:tc>
        <w:tc>
          <w:tcPr>
            <w:tcW w:w="672" w:type="pct"/>
            <w:vAlign w:val="center"/>
          </w:tcPr>
          <w:p w14:paraId="61DFC651" w14:textId="77777777" w:rsidR="004C511C" w:rsidRPr="00370FBA" w:rsidRDefault="00751A67">
            <w:pPr>
              <w:spacing w:before="20" w:after="20"/>
              <w:jc w:val="center"/>
              <w:rPr>
                <w:rFonts w:cs="Times New Roman"/>
                <w:sz w:val="18"/>
              </w:rPr>
            </w:pPr>
            <w:r w:rsidRPr="00370FBA">
              <w:rPr>
                <w:rFonts w:cs="Times New Roman"/>
                <w:sz w:val="18"/>
              </w:rPr>
              <w:t>1.1 – 1.3</w:t>
            </w:r>
          </w:p>
        </w:tc>
      </w:tr>
      <w:tr w:rsidR="004C511C" w:rsidRPr="00370FBA" w14:paraId="33FEDF70" w14:textId="77777777" w:rsidTr="00370FBA">
        <w:trPr>
          <w:jc w:val="center"/>
        </w:trPr>
        <w:tc>
          <w:tcPr>
            <w:tcW w:w="1011" w:type="pct"/>
            <w:vAlign w:val="center"/>
          </w:tcPr>
          <w:p w14:paraId="73931F1A" w14:textId="77777777" w:rsidR="004C511C" w:rsidRPr="00370FBA" w:rsidRDefault="00751A67">
            <w:pPr>
              <w:spacing w:before="20" w:after="20"/>
              <w:jc w:val="center"/>
              <w:rPr>
                <w:rFonts w:cs="Times New Roman"/>
                <w:sz w:val="18"/>
              </w:rPr>
            </w:pPr>
            <w:proofErr w:type="spellStart"/>
            <w:r w:rsidRPr="00370FBA">
              <w:rPr>
                <w:rFonts w:cs="Times New Roman"/>
                <w:sz w:val="18"/>
              </w:rPr>
              <w:t>Nguyenet</w:t>
            </w:r>
            <w:proofErr w:type="spellEnd"/>
            <w:r w:rsidRPr="00370FBA">
              <w:rPr>
                <w:rFonts w:cs="Times New Roman"/>
                <w:sz w:val="18"/>
              </w:rPr>
              <w:t xml:space="preserve"> </w:t>
            </w:r>
            <w:proofErr w:type="gramStart"/>
            <w:r w:rsidRPr="00370FBA">
              <w:rPr>
                <w:rFonts w:cs="Times New Roman"/>
                <w:sz w:val="18"/>
              </w:rPr>
              <w:t>al.[</w:t>
            </w:r>
            <w:proofErr w:type="gramEnd"/>
            <w:r w:rsidRPr="00370FBA">
              <w:rPr>
                <w:rFonts w:cs="Times New Roman"/>
                <w:sz w:val="18"/>
              </w:rPr>
              <w:t>26] (2023)</w:t>
            </w:r>
          </w:p>
        </w:tc>
        <w:tc>
          <w:tcPr>
            <w:tcW w:w="791" w:type="pct"/>
            <w:vAlign w:val="center"/>
          </w:tcPr>
          <w:p w14:paraId="6E1D164A" w14:textId="77777777" w:rsidR="004C511C" w:rsidRPr="00370FBA" w:rsidRDefault="00751A67">
            <w:pPr>
              <w:spacing w:before="20" w:after="20"/>
              <w:jc w:val="center"/>
              <w:rPr>
                <w:rFonts w:cs="Times New Roman"/>
                <w:sz w:val="18"/>
              </w:rPr>
            </w:pPr>
            <w:r w:rsidRPr="00370FBA">
              <w:rPr>
                <w:rFonts w:cs="Times New Roman"/>
                <w:sz w:val="18"/>
              </w:rPr>
              <w:t>Algo. trading</w:t>
            </w:r>
          </w:p>
        </w:tc>
        <w:tc>
          <w:tcPr>
            <w:tcW w:w="924" w:type="pct"/>
            <w:vAlign w:val="center"/>
          </w:tcPr>
          <w:p w14:paraId="6CECF9CF" w14:textId="77777777" w:rsidR="004C511C" w:rsidRPr="00370FBA" w:rsidRDefault="00751A67">
            <w:pPr>
              <w:spacing w:before="20" w:after="20"/>
              <w:jc w:val="center"/>
              <w:rPr>
                <w:rFonts w:cs="Times New Roman"/>
                <w:sz w:val="18"/>
              </w:rPr>
            </w:pPr>
            <w:r w:rsidRPr="00370FBA">
              <w:rPr>
                <w:rFonts w:cs="Times New Roman"/>
                <w:sz w:val="18"/>
              </w:rPr>
              <w:t>Multi-asset</w:t>
            </w:r>
          </w:p>
        </w:tc>
        <w:tc>
          <w:tcPr>
            <w:tcW w:w="687" w:type="pct"/>
            <w:vAlign w:val="center"/>
          </w:tcPr>
          <w:p w14:paraId="5A386DD0" w14:textId="77777777" w:rsidR="004C511C" w:rsidRPr="00370FBA" w:rsidRDefault="00751A67">
            <w:pPr>
              <w:spacing w:before="20" w:after="20"/>
              <w:jc w:val="center"/>
              <w:rPr>
                <w:rFonts w:cs="Times New Roman"/>
                <w:sz w:val="18"/>
              </w:rPr>
            </w:pPr>
            <w:r w:rsidRPr="00370FBA">
              <w:rPr>
                <w:rFonts w:cs="Times New Roman"/>
                <w:sz w:val="18"/>
              </w:rPr>
              <w:t>N/R</w:t>
            </w:r>
          </w:p>
        </w:tc>
        <w:tc>
          <w:tcPr>
            <w:tcW w:w="916" w:type="pct"/>
            <w:vAlign w:val="center"/>
          </w:tcPr>
          <w:p w14:paraId="41D9A8E4" w14:textId="77777777" w:rsidR="004C511C" w:rsidRPr="00370FBA" w:rsidRDefault="00751A67">
            <w:pPr>
              <w:spacing w:before="20" w:after="20"/>
              <w:jc w:val="center"/>
              <w:rPr>
                <w:rFonts w:cs="Times New Roman"/>
                <w:sz w:val="18"/>
              </w:rPr>
            </w:pPr>
            <w:r w:rsidRPr="00370FBA">
              <w:rPr>
                <w:rFonts w:cs="Times New Roman"/>
                <w:sz w:val="18"/>
              </w:rPr>
              <w:t>N/R</w:t>
            </w:r>
          </w:p>
        </w:tc>
        <w:tc>
          <w:tcPr>
            <w:tcW w:w="672" w:type="pct"/>
            <w:vAlign w:val="center"/>
          </w:tcPr>
          <w:p w14:paraId="563114FC" w14:textId="77777777" w:rsidR="004C511C" w:rsidRPr="00370FBA" w:rsidRDefault="00751A67">
            <w:pPr>
              <w:spacing w:before="20" w:after="20"/>
              <w:jc w:val="center"/>
              <w:rPr>
                <w:rFonts w:cs="Times New Roman"/>
                <w:sz w:val="18"/>
              </w:rPr>
            </w:pPr>
            <w:r w:rsidRPr="00370FBA">
              <w:rPr>
                <w:rFonts w:cs="Times New Roman"/>
                <w:sz w:val="18"/>
              </w:rPr>
              <w:t>1.1 – 1.3</w:t>
            </w:r>
          </w:p>
        </w:tc>
      </w:tr>
      <w:tr w:rsidR="004C511C" w:rsidRPr="00370FBA" w14:paraId="324EA787" w14:textId="77777777" w:rsidTr="00370FBA">
        <w:trPr>
          <w:jc w:val="center"/>
        </w:trPr>
        <w:tc>
          <w:tcPr>
            <w:tcW w:w="1011" w:type="pct"/>
            <w:vAlign w:val="center"/>
          </w:tcPr>
          <w:p w14:paraId="53CEA800" w14:textId="77777777" w:rsidR="004C511C" w:rsidRPr="00370FBA" w:rsidRDefault="00751A67">
            <w:pPr>
              <w:spacing w:before="20" w:after="20"/>
              <w:jc w:val="center"/>
              <w:rPr>
                <w:rFonts w:cs="Times New Roman"/>
                <w:sz w:val="18"/>
              </w:rPr>
            </w:pPr>
            <w:proofErr w:type="spellStart"/>
            <w:r w:rsidRPr="00370FBA">
              <w:rPr>
                <w:rFonts w:cs="Times New Roman"/>
                <w:sz w:val="18"/>
              </w:rPr>
              <w:t>Livieriset</w:t>
            </w:r>
            <w:proofErr w:type="spellEnd"/>
            <w:r w:rsidRPr="00370FBA">
              <w:rPr>
                <w:rFonts w:cs="Times New Roman"/>
                <w:sz w:val="18"/>
              </w:rPr>
              <w:t xml:space="preserve"> </w:t>
            </w:r>
            <w:proofErr w:type="gramStart"/>
            <w:r w:rsidRPr="00370FBA">
              <w:rPr>
                <w:rFonts w:cs="Times New Roman"/>
                <w:sz w:val="18"/>
              </w:rPr>
              <w:t>al.[</w:t>
            </w:r>
            <w:proofErr w:type="gramEnd"/>
            <w:r w:rsidRPr="00370FBA">
              <w:rPr>
                <w:rFonts w:cs="Times New Roman"/>
                <w:sz w:val="18"/>
              </w:rPr>
              <w:t>38] (2024)</w:t>
            </w:r>
          </w:p>
        </w:tc>
        <w:tc>
          <w:tcPr>
            <w:tcW w:w="791" w:type="pct"/>
            <w:vAlign w:val="center"/>
          </w:tcPr>
          <w:p w14:paraId="3A0FD973" w14:textId="77777777" w:rsidR="004C511C" w:rsidRPr="00370FBA" w:rsidRDefault="00751A67">
            <w:pPr>
              <w:spacing w:before="20" w:after="20"/>
              <w:jc w:val="center"/>
              <w:rPr>
                <w:rFonts w:cs="Times New Roman"/>
                <w:sz w:val="18"/>
              </w:rPr>
            </w:pPr>
            <w:r w:rsidRPr="00370FBA">
              <w:rPr>
                <w:rFonts w:cs="Times New Roman"/>
                <w:sz w:val="18"/>
              </w:rPr>
              <w:t>CNN-LSTM</w:t>
            </w:r>
          </w:p>
        </w:tc>
        <w:tc>
          <w:tcPr>
            <w:tcW w:w="924" w:type="pct"/>
            <w:vAlign w:val="center"/>
          </w:tcPr>
          <w:p w14:paraId="0D15D544" w14:textId="77777777" w:rsidR="004C511C" w:rsidRPr="00370FBA" w:rsidRDefault="00751A67">
            <w:pPr>
              <w:spacing w:before="20" w:after="20"/>
              <w:jc w:val="center"/>
              <w:rPr>
                <w:rFonts w:cs="Times New Roman"/>
                <w:sz w:val="18"/>
              </w:rPr>
            </w:pPr>
            <w:r w:rsidRPr="00370FBA">
              <w:rPr>
                <w:rFonts w:cs="Times New Roman"/>
                <w:sz w:val="18"/>
              </w:rPr>
              <w:t>BTC / 1-hour</w:t>
            </w:r>
          </w:p>
        </w:tc>
        <w:tc>
          <w:tcPr>
            <w:tcW w:w="687" w:type="pct"/>
            <w:vAlign w:val="center"/>
          </w:tcPr>
          <w:p w14:paraId="19A345EE" w14:textId="77777777" w:rsidR="004C511C" w:rsidRPr="00370FBA" w:rsidRDefault="00751A67">
            <w:pPr>
              <w:spacing w:before="20" w:after="20"/>
              <w:jc w:val="center"/>
              <w:rPr>
                <w:rFonts w:cs="Times New Roman"/>
                <w:sz w:val="18"/>
              </w:rPr>
            </w:pPr>
            <w:r w:rsidRPr="00370FBA">
              <w:rPr>
                <w:rFonts w:cs="Times New Roman"/>
                <w:sz w:val="18"/>
              </w:rPr>
              <w:t>0.14 – 0.17</w:t>
            </w:r>
          </w:p>
        </w:tc>
        <w:tc>
          <w:tcPr>
            <w:tcW w:w="916" w:type="pct"/>
            <w:vAlign w:val="center"/>
          </w:tcPr>
          <w:p w14:paraId="27BE8617" w14:textId="77777777" w:rsidR="004C511C" w:rsidRPr="00370FBA" w:rsidRDefault="00751A67">
            <w:pPr>
              <w:spacing w:before="20" w:after="20"/>
              <w:jc w:val="center"/>
              <w:rPr>
                <w:rFonts w:cs="Times New Roman"/>
                <w:sz w:val="18"/>
              </w:rPr>
            </w:pPr>
            <w:r w:rsidRPr="00370FBA">
              <w:rPr>
                <w:rFonts w:cs="Times New Roman"/>
                <w:sz w:val="18"/>
              </w:rPr>
              <w:t>N/R</w:t>
            </w:r>
          </w:p>
        </w:tc>
        <w:tc>
          <w:tcPr>
            <w:tcW w:w="672" w:type="pct"/>
            <w:vAlign w:val="center"/>
          </w:tcPr>
          <w:p w14:paraId="532AF6E6" w14:textId="77777777" w:rsidR="004C511C" w:rsidRPr="00370FBA" w:rsidRDefault="00751A67">
            <w:pPr>
              <w:spacing w:before="20" w:after="20"/>
              <w:jc w:val="center"/>
              <w:rPr>
                <w:rFonts w:cs="Times New Roman"/>
                <w:sz w:val="18"/>
              </w:rPr>
            </w:pPr>
            <w:r w:rsidRPr="00370FBA">
              <w:rPr>
                <w:rFonts w:cs="Times New Roman"/>
                <w:sz w:val="18"/>
              </w:rPr>
              <w:t>N/R</w:t>
            </w:r>
          </w:p>
        </w:tc>
      </w:tr>
      <w:tr w:rsidR="004C511C" w:rsidRPr="00370FBA" w14:paraId="5896CEC4" w14:textId="77777777" w:rsidTr="00370FBA">
        <w:trPr>
          <w:jc w:val="center"/>
        </w:trPr>
        <w:tc>
          <w:tcPr>
            <w:tcW w:w="1011" w:type="pct"/>
            <w:vAlign w:val="center"/>
          </w:tcPr>
          <w:p w14:paraId="0E7DB4F2" w14:textId="77777777" w:rsidR="004C511C" w:rsidRPr="00370FBA" w:rsidRDefault="00751A67">
            <w:pPr>
              <w:spacing w:before="20" w:after="20"/>
              <w:jc w:val="center"/>
              <w:rPr>
                <w:rFonts w:cs="Times New Roman"/>
                <w:sz w:val="18"/>
              </w:rPr>
            </w:pPr>
            <w:r w:rsidRPr="00370FBA">
              <w:rPr>
                <w:rFonts w:cs="Times New Roman"/>
                <w:sz w:val="18"/>
              </w:rPr>
              <w:t xml:space="preserve">This </w:t>
            </w:r>
            <w:proofErr w:type="gramStart"/>
            <w:r w:rsidRPr="00370FBA">
              <w:rPr>
                <w:rFonts w:cs="Times New Roman"/>
                <w:sz w:val="18"/>
              </w:rPr>
              <w:t>study(</w:t>
            </w:r>
            <w:proofErr w:type="gramEnd"/>
            <w:r w:rsidRPr="00370FBA">
              <w:rPr>
                <w:rFonts w:cs="Times New Roman"/>
                <w:sz w:val="18"/>
              </w:rPr>
              <w:t>GRU, best RMSE)</w:t>
            </w:r>
          </w:p>
        </w:tc>
        <w:tc>
          <w:tcPr>
            <w:tcW w:w="791" w:type="pct"/>
            <w:vAlign w:val="center"/>
          </w:tcPr>
          <w:p w14:paraId="079365A9" w14:textId="77777777" w:rsidR="004C511C" w:rsidRPr="00370FBA" w:rsidRDefault="00751A67">
            <w:pPr>
              <w:spacing w:before="20" w:after="20"/>
              <w:jc w:val="center"/>
              <w:rPr>
                <w:rFonts w:cs="Times New Roman"/>
                <w:sz w:val="18"/>
              </w:rPr>
            </w:pPr>
            <w:r w:rsidRPr="00370FBA">
              <w:rPr>
                <w:rFonts w:cs="Times New Roman"/>
                <w:sz w:val="18"/>
              </w:rPr>
              <w:t>GRU</w:t>
            </w:r>
          </w:p>
        </w:tc>
        <w:tc>
          <w:tcPr>
            <w:tcW w:w="924" w:type="pct"/>
            <w:vAlign w:val="center"/>
          </w:tcPr>
          <w:p w14:paraId="3CAFAB48" w14:textId="77777777" w:rsidR="004C511C" w:rsidRPr="00370FBA" w:rsidRDefault="00751A67">
            <w:pPr>
              <w:spacing w:before="20" w:after="20"/>
              <w:jc w:val="center"/>
              <w:rPr>
                <w:rFonts w:cs="Times New Roman"/>
                <w:sz w:val="18"/>
              </w:rPr>
            </w:pPr>
            <w:r w:rsidRPr="00370FBA">
              <w:rPr>
                <w:rFonts w:cs="Times New Roman"/>
                <w:sz w:val="18"/>
              </w:rPr>
              <w:t>BTC/USDT / 1-hour</w:t>
            </w:r>
          </w:p>
        </w:tc>
        <w:tc>
          <w:tcPr>
            <w:tcW w:w="687" w:type="pct"/>
            <w:vAlign w:val="center"/>
          </w:tcPr>
          <w:p w14:paraId="3A4ACD69" w14:textId="77777777" w:rsidR="004C511C" w:rsidRPr="00370FBA" w:rsidRDefault="00751A67">
            <w:pPr>
              <w:spacing w:before="20" w:after="20"/>
              <w:jc w:val="center"/>
              <w:rPr>
                <w:rFonts w:cs="Times New Roman"/>
                <w:sz w:val="18"/>
              </w:rPr>
            </w:pPr>
            <w:r w:rsidRPr="00370FBA">
              <w:rPr>
                <w:rFonts w:cs="Times New Roman"/>
                <w:sz w:val="18"/>
              </w:rPr>
              <w:t>0.1058 ± 0.0034</w:t>
            </w:r>
          </w:p>
        </w:tc>
        <w:tc>
          <w:tcPr>
            <w:tcW w:w="916" w:type="pct"/>
            <w:vAlign w:val="center"/>
          </w:tcPr>
          <w:p w14:paraId="62B71055" w14:textId="77777777" w:rsidR="004C511C" w:rsidRPr="00370FBA" w:rsidRDefault="00751A67">
            <w:pPr>
              <w:spacing w:before="20" w:after="20"/>
              <w:jc w:val="center"/>
              <w:rPr>
                <w:rFonts w:cs="Times New Roman"/>
                <w:sz w:val="18"/>
              </w:rPr>
            </w:pPr>
            <w:r w:rsidRPr="00370FBA">
              <w:rPr>
                <w:rFonts w:cs="Times New Roman"/>
                <w:sz w:val="18"/>
              </w:rPr>
              <w:t>69.8%</w:t>
            </w:r>
          </w:p>
        </w:tc>
        <w:tc>
          <w:tcPr>
            <w:tcW w:w="672" w:type="pct"/>
            <w:vAlign w:val="center"/>
          </w:tcPr>
          <w:p w14:paraId="23FA68E5" w14:textId="77777777" w:rsidR="004C511C" w:rsidRPr="00370FBA" w:rsidRDefault="00751A67">
            <w:pPr>
              <w:spacing w:before="20" w:after="20"/>
              <w:jc w:val="center"/>
              <w:rPr>
                <w:rFonts w:cs="Times New Roman"/>
                <w:sz w:val="18"/>
              </w:rPr>
            </w:pPr>
            <w:r w:rsidRPr="00370FBA">
              <w:rPr>
                <w:rFonts w:cs="Times New Roman"/>
                <w:sz w:val="18"/>
              </w:rPr>
              <w:t>1.32 ± 0.12</w:t>
            </w:r>
          </w:p>
        </w:tc>
      </w:tr>
      <w:tr w:rsidR="004C511C" w:rsidRPr="00370FBA" w14:paraId="03F5102D" w14:textId="77777777" w:rsidTr="00370FBA">
        <w:trPr>
          <w:jc w:val="center"/>
        </w:trPr>
        <w:tc>
          <w:tcPr>
            <w:tcW w:w="1011" w:type="pct"/>
            <w:vAlign w:val="center"/>
          </w:tcPr>
          <w:p w14:paraId="2C870A2C" w14:textId="77777777" w:rsidR="004C511C" w:rsidRPr="00370FBA" w:rsidRDefault="00751A67">
            <w:pPr>
              <w:spacing w:before="20" w:after="20"/>
              <w:jc w:val="center"/>
              <w:rPr>
                <w:rFonts w:cs="Times New Roman"/>
                <w:sz w:val="18"/>
              </w:rPr>
            </w:pPr>
            <w:r w:rsidRPr="00370FBA">
              <w:rPr>
                <w:rFonts w:cs="Times New Roman"/>
                <w:sz w:val="18"/>
              </w:rPr>
              <w:t xml:space="preserve">This </w:t>
            </w:r>
            <w:proofErr w:type="gramStart"/>
            <w:r w:rsidRPr="00370FBA">
              <w:rPr>
                <w:rFonts w:cs="Times New Roman"/>
                <w:sz w:val="18"/>
              </w:rPr>
              <w:t>study(</w:t>
            </w:r>
            <w:proofErr w:type="gramEnd"/>
            <w:r w:rsidRPr="00370FBA">
              <w:rPr>
                <w:rFonts w:cs="Times New Roman"/>
                <w:sz w:val="18"/>
              </w:rPr>
              <w:t>LSTM, best DA)</w:t>
            </w:r>
          </w:p>
        </w:tc>
        <w:tc>
          <w:tcPr>
            <w:tcW w:w="791" w:type="pct"/>
            <w:vAlign w:val="center"/>
          </w:tcPr>
          <w:p w14:paraId="539E1313" w14:textId="77777777" w:rsidR="004C511C" w:rsidRPr="00370FBA" w:rsidRDefault="00751A67">
            <w:pPr>
              <w:spacing w:before="20" w:after="20"/>
              <w:jc w:val="center"/>
              <w:rPr>
                <w:rFonts w:cs="Times New Roman"/>
                <w:sz w:val="18"/>
              </w:rPr>
            </w:pPr>
            <w:r w:rsidRPr="00370FBA">
              <w:rPr>
                <w:rFonts w:cs="Times New Roman"/>
                <w:sz w:val="18"/>
              </w:rPr>
              <w:t>LSTM</w:t>
            </w:r>
          </w:p>
        </w:tc>
        <w:tc>
          <w:tcPr>
            <w:tcW w:w="924" w:type="pct"/>
            <w:vAlign w:val="center"/>
          </w:tcPr>
          <w:p w14:paraId="724E989D" w14:textId="77777777" w:rsidR="004C511C" w:rsidRPr="00370FBA" w:rsidRDefault="00751A67">
            <w:pPr>
              <w:spacing w:before="20" w:after="20"/>
              <w:jc w:val="center"/>
              <w:rPr>
                <w:rFonts w:cs="Times New Roman"/>
                <w:sz w:val="18"/>
              </w:rPr>
            </w:pPr>
            <w:r w:rsidRPr="00370FBA">
              <w:rPr>
                <w:rFonts w:cs="Times New Roman"/>
                <w:sz w:val="18"/>
              </w:rPr>
              <w:t>BTC/USDT / 1-hour</w:t>
            </w:r>
          </w:p>
        </w:tc>
        <w:tc>
          <w:tcPr>
            <w:tcW w:w="687" w:type="pct"/>
            <w:vAlign w:val="center"/>
          </w:tcPr>
          <w:p w14:paraId="4C41C1A2" w14:textId="77777777" w:rsidR="004C511C" w:rsidRPr="00370FBA" w:rsidRDefault="00751A67">
            <w:pPr>
              <w:spacing w:before="20" w:after="20"/>
              <w:jc w:val="center"/>
              <w:rPr>
                <w:rFonts w:cs="Times New Roman"/>
                <w:sz w:val="18"/>
              </w:rPr>
            </w:pPr>
            <w:r w:rsidRPr="00370FBA">
              <w:rPr>
                <w:rFonts w:cs="Times New Roman"/>
                <w:sz w:val="18"/>
              </w:rPr>
              <w:t>0.1184 ± 0.0041</w:t>
            </w:r>
          </w:p>
        </w:tc>
        <w:tc>
          <w:tcPr>
            <w:tcW w:w="916" w:type="pct"/>
            <w:vAlign w:val="center"/>
          </w:tcPr>
          <w:p w14:paraId="11AE54C6" w14:textId="77777777" w:rsidR="004C511C" w:rsidRPr="00370FBA" w:rsidRDefault="00751A67">
            <w:pPr>
              <w:spacing w:before="20" w:after="20"/>
              <w:jc w:val="center"/>
              <w:rPr>
                <w:rFonts w:cs="Times New Roman"/>
                <w:sz w:val="18"/>
              </w:rPr>
            </w:pPr>
            <w:r w:rsidRPr="00370FBA">
              <w:rPr>
                <w:rFonts w:cs="Times New Roman"/>
                <w:sz w:val="18"/>
              </w:rPr>
              <w:t>72.3%</w:t>
            </w:r>
          </w:p>
        </w:tc>
        <w:tc>
          <w:tcPr>
            <w:tcW w:w="672" w:type="pct"/>
            <w:vAlign w:val="center"/>
          </w:tcPr>
          <w:p w14:paraId="67F6D923" w14:textId="77777777" w:rsidR="004C511C" w:rsidRPr="00370FBA" w:rsidRDefault="00751A67">
            <w:pPr>
              <w:spacing w:before="20" w:after="20"/>
              <w:jc w:val="center"/>
              <w:rPr>
                <w:rFonts w:cs="Times New Roman"/>
                <w:sz w:val="18"/>
              </w:rPr>
            </w:pPr>
            <w:r w:rsidRPr="00370FBA">
              <w:rPr>
                <w:rFonts w:cs="Times New Roman"/>
                <w:sz w:val="18"/>
              </w:rPr>
              <w:t>1.45 ± 0.10</w:t>
            </w:r>
          </w:p>
        </w:tc>
      </w:tr>
    </w:tbl>
    <w:p w14:paraId="6B7A3682" w14:textId="77777777" w:rsidR="004C511C" w:rsidRDefault="00751A67">
      <w:pPr>
        <w:spacing w:after="60"/>
        <w:ind w:firstLine="216"/>
        <w:jc w:val="both"/>
      </w:pPr>
      <w:r>
        <w:t xml:space="preserve">Contextualizing these results, </w:t>
      </w:r>
      <w:proofErr w:type="spellStart"/>
      <w:r>
        <w:t>Livieris</w:t>
      </w:r>
      <w:proofErr w:type="spellEnd"/>
      <w:r>
        <w:t xml:space="preserve"> et al. [38] reported normalized RMSEs of 0.14–0.17 for hourly BTC, while our GRU achieves a substantially lower 0.1058 RMSE under rigorous Walk-Forward Validation. Furthermore, our LSTM's DA of 72.3% surpasses the typical 60-65% range reported in comparable literature [13], [16]. The Sharpe Ratio of 1.45 obtained from our dashboard also compares </w:t>
      </w:r>
      <w:proofErr w:type="spellStart"/>
      <w:r>
        <w:t>favourably</w:t>
      </w:r>
      <w:proofErr w:type="spellEnd"/>
      <w:r>
        <w:t xml:space="preserve"> with algorithmic trading benchmarks.</w:t>
      </w:r>
    </w:p>
    <w:p w14:paraId="4A8A00DA" w14:textId="77777777" w:rsidR="004C511C" w:rsidRDefault="00751A67">
      <w:pPr>
        <w:spacing w:before="80" w:after="40"/>
      </w:pPr>
      <w:r>
        <w:rPr>
          <w:b/>
        </w:rPr>
        <w:t>7.3. Operational Power BI Prototype and Practical Implications</w:t>
      </w:r>
    </w:p>
    <w:p w14:paraId="2B4F8D21" w14:textId="77777777" w:rsidR="004C511C" w:rsidRDefault="00751A67">
      <w:pPr>
        <w:spacing w:after="60"/>
        <w:ind w:firstLine="216"/>
        <w:jc w:val="both"/>
      </w:pPr>
      <w:r>
        <w:t xml:space="preserve">Operationally, the LSTM achieved superior directional market orientation accuracy (72.3%), a highly actionable metric for trading decision support. Using our explicitly formulated Power BI </w:t>
      </w:r>
      <w:proofErr w:type="spellStart"/>
      <w:r>
        <w:t>DirectQuery</w:t>
      </w:r>
      <w:proofErr w:type="spellEnd"/>
      <w:r>
        <w:t xml:space="preserve"> integration, the dashboard effectively translates LSTM prediction tensors into actionable risk-threshold indicators, demonstrating that quantitative forecasting can successfully be extended into operator-facing BI layers.</w:t>
      </w:r>
    </w:p>
    <w:p w14:paraId="25E5EDFA" w14:textId="77777777" w:rsidR="004C511C" w:rsidRDefault="00751A67">
      <w:pPr>
        <w:spacing w:after="60"/>
        <w:ind w:firstLine="216"/>
        <w:jc w:val="both"/>
      </w:pPr>
      <w:r>
        <w:rPr>
          <w:rFonts w:cs="Times New Roman"/>
        </w:rPr>
        <w:t>From a practical decision-support standpoint, the GRU's tighter RMSE bounds</w:t>
      </w:r>
      <w:r>
        <w:rPr>
          <w:rFonts w:cs="Times New Roman"/>
        </w:rPr>
        <w:br/>
        <w:t xml:space="preserve">            provide the most reliable quantitative stop-loss thresholds, while the LSTM's</w:t>
      </w:r>
      <w:r>
        <w:rPr>
          <w:rFonts w:cs="Times New Roman"/>
        </w:rPr>
        <w:br/>
        <w:t xml:space="preserve">            directional superiority informs signal-classification modules. This complementary</w:t>
      </w:r>
      <w:r>
        <w:rPr>
          <w:rFonts w:cs="Times New Roman"/>
        </w:rPr>
        <w:br/>
        <w:t xml:space="preserve">            duality suggests that production deployments could benefit from an ensemble that</w:t>
      </w:r>
      <w:r>
        <w:rPr>
          <w:rFonts w:cs="Times New Roman"/>
        </w:rPr>
        <w:br/>
        <w:t xml:space="preserve">            routes GRU outputs to numerical risk parameters and LSTM outputs to binary</w:t>
      </w:r>
      <w:r>
        <w:rPr>
          <w:rFonts w:cs="Times New Roman"/>
        </w:rPr>
        <w:br/>
        <w:t xml:space="preserve">            trend-direction signals—a design pattern consistent with modular DSS architectures</w:t>
      </w:r>
      <w:r>
        <w:rPr>
          <w:rFonts w:cs="Times New Roman"/>
        </w:rPr>
        <w:br/>
        <w:t xml:space="preserve">            advocated by Arnott and Pervan [28].</w:t>
      </w:r>
    </w:p>
    <w:p w14:paraId="00E75223" w14:textId="77777777" w:rsidR="004C511C" w:rsidRDefault="00751A67">
      <w:pPr>
        <w:spacing w:after="60"/>
        <w:ind w:firstLine="216"/>
        <w:jc w:val="both"/>
      </w:pPr>
      <w:r>
        <w:rPr>
          <w:rFonts w:cs="Times New Roman"/>
        </w:rPr>
        <w:t>A critical limitation that must be explicitly acknowledged is the susceptibility</w:t>
      </w:r>
      <w:r>
        <w:rPr>
          <w:rFonts w:cs="Times New Roman"/>
        </w:rPr>
        <w:br/>
        <w:t xml:space="preserve">            of all tested models to exogenous volatility events exceeding ±3σ deviation from the</w:t>
      </w:r>
      <w:r>
        <w:rPr>
          <w:rFonts w:cs="Times New Roman"/>
        </w:rPr>
        <w:br/>
        <w:t xml:space="preserve">            rolling mean. During such extreme episodes—which, in the BTC market, frequently</w:t>
      </w:r>
      <w:r>
        <w:rPr>
          <w:rFonts w:cs="Times New Roman"/>
        </w:rPr>
        <w:br/>
      </w:r>
      <w:r>
        <w:rPr>
          <w:rFonts w:cs="Times New Roman"/>
        </w:rPr>
        <w:lastRenderedPageBreak/>
        <w:t xml:space="preserve">            coincide with macroeconomic policy announcements or exchange liquidity crises—all</w:t>
      </w:r>
      <w:r>
        <w:rPr>
          <w:rFonts w:cs="Times New Roman"/>
        </w:rPr>
        <w:br/>
        <w:t xml:space="preserve">            endogenous inference architectures failed to suppress residual error to acceptable</w:t>
      </w:r>
      <w:r>
        <w:rPr>
          <w:rFonts w:cs="Times New Roman"/>
        </w:rPr>
        <w:br/>
        <w:t xml:space="preserve">            thresholds. This observation reflects a fundamental constraint of purely</w:t>
      </w:r>
      <w:r>
        <w:rPr>
          <w:rFonts w:cs="Times New Roman"/>
        </w:rPr>
        <w:br/>
        <w:t xml:space="preserve">            price-derived models: they lack access to the latent sentiment and structural breaks</w:t>
      </w:r>
      <w:r>
        <w:rPr>
          <w:rFonts w:cs="Times New Roman"/>
        </w:rPr>
        <w:br/>
        <w:t xml:space="preserve">            that drive these tail events. Addressing this constraint via NLP-based sentiment</w:t>
      </w:r>
      <w:r>
        <w:rPr>
          <w:rFonts w:cs="Times New Roman"/>
        </w:rPr>
        <w:br/>
        <w:t xml:space="preserve">            fusion, as suggested in the Conclusion, represents the most pressing direction for</w:t>
      </w:r>
      <w:r>
        <w:rPr>
          <w:rFonts w:cs="Times New Roman"/>
        </w:rPr>
        <w:br/>
        <w:t xml:space="preserve">            future work.</w:t>
      </w:r>
    </w:p>
    <w:p w14:paraId="4546B2AD" w14:textId="77777777" w:rsidR="004C511C" w:rsidRDefault="00751A67">
      <w:pPr>
        <w:spacing w:before="60" w:after="30"/>
        <w:jc w:val="center"/>
      </w:pPr>
      <w:r>
        <w:rPr>
          <w:noProof/>
        </w:rPr>
        <w:drawing>
          <wp:inline distT="0" distB="0" distL="0" distR="0" wp14:anchorId="05E7A97A" wp14:editId="235D56C2">
            <wp:extent cx="2560320" cy="1102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560320" cy="1102244"/>
                    </a:xfrm>
                    <a:prstGeom prst="rect">
                      <a:avLst/>
                    </a:prstGeom>
                  </pic:spPr>
                </pic:pic>
              </a:graphicData>
            </a:graphic>
          </wp:inline>
        </w:drawing>
      </w:r>
    </w:p>
    <w:p w14:paraId="444165E6" w14:textId="77777777" w:rsidR="004C511C" w:rsidRDefault="00751A67">
      <w:pPr>
        <w:spacing w:after="60"/>
        <w:jc w:val="center"/>
      </w:pPr>
      <w:r>
        <w:rPr>
          <w:rFonts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1BEEFFB3" w14:textId="77777777" w:rsidR="004C511C" w:rsidRDefault="00751A67">
      <w:pPr>
        <w:spacing w:before="120" w:after="60"/>
      </w:pPr>
      <w:r>
        <w:rPr>
          <w:b/>
        </w:rPr>
        <w:t>8. CONCLUSION</w:t>
      </w:r>
    </w:p>
    <w:p w14:paraId="3AD43305" w14:textId="77777777" w:rsidR="004C511C" w:rsidRDefault="00751A67">
      <w:pPr>
        <w:spacing w:after="60"/>
        <w:ind w:firstLine="216"/>
        <w:jc w:val="both"/>
      </w:pPr>
      <w:r>
        <w:rPr>
          <w:rFonts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14:paraId="79B61B1C" w14:textId="3357FF6A" w:rsidR="004C511C" w:rsidRDefault="00751A67">
      <w:pPr>
        <w:spacing w:after="60"/>
        <w:ind w:firstLine="216"/>
        <w:jc w:val="both"/>
      </w:pPr>
      <w:r>
        <w:rPr>
          <w:rFonts w:cs="Times New Roman"/>
        </w:rPr>
        <w:t>Regarding model performance, a global Kruskal-</w:t>
      </w:r>
      <w:proofErr w:type="gramStart"/>
      <w:r>
        <w:rPr>
          <w:rFonts w:cs="Times New Roman"/>
        </w:rPr>
        <w:t>Wallis</w:t>
      </w:r>
      <w:proofErr w:type="gramEnd"/>
      <w:r>
        <w:rPr>
          <w:rFonts w:cs="Times New Roman"/>
        </w:rPr>
        <w:t xml:space="preserve"> validation (</w:t>
      </w:r>
      <m:oMath>
        <m:r>
          <w:rPr>
            <w:rFonts w:ascii="Cambria Math" w:hAnsi="Cambria Math"/>
          </w:rPr>
          <m:t>p&lt;0.001</m:t>
        </m:r>
      </m:oMath>
      <w:r>
        <w:rPr>
          <w:rFonts w:cs="Times New Roman"/>
        </w:rPr>
        <w:t>) and subsequent pairwise Diebold-Mariano tests (</w:t>
      </w:r>
      <m:oMath>
        <m:r>
          <w:rPr>
            <w:rFonts w:ascii="Cambria Math" w:hAnsi="Cambria Math"/>
          </w:rPr>
          <m:t>p=0.014</m:t>
        </m:r>
      </m:oMath>
      <w:r>
        <w:rPr>
          <w:rFonts w:cs="Times New Roman"/>
        </w:rPr>
        <w:t>)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w:t>
      </w:r>
      <w:proofErr w:type="spellStart"/>
      <w:r>
        <w:rPr>
          <w:rFonts w:cs="Times New Roman"/>
        </w:rPr>
        <w:t>hest</w:t>
      </w:r>
      <w:proofErr w:type="spellEnd"/>
      <w:r>
        <w:rPr>
          <w:rFonts w:cs="Times New Roman"/>
        </w:rPr>
        <w:t xml:space="preserve"> directional precision (72.3%) and risk-adjusted Sharpe Ratios, proving practical suitability within real-time algorithmic validation routines. Nevertheless, a critical system limitation was observed: exogenous market volatility exceeding </w:t>
      </w:r>
      <m:oMath>
        <m:r>
          <w:rPr>
            <w:rFonts w:ascii="Cambria Math" w:hAnsi="Cambria Math"/>
          </w:rPr>
          <m:t>3σ</m:t>
        </m:r>
      </m:oMath>
      <w:r>
        <w:rPr>
          <w:rFonts w:cs="Times New Roman"/>
        </w:rPr>
        <w:t xml:space="preserve"> completely overwhelmed endogenous inference capabilities, underlining a prominent constraint regarding models devoid of external sentiment or macroeconomic context.</w:t>
      </w:r>
    </w:p>
    <w:p w14:paraId="5A3AE846" w14:textId="77777777" w:rsidR="004C511C" w:rsidRDefault="00751A67">
      <w:pPr>
        <w:spacing w:after="60"/>
        <w:ind w:firstLine="216"/>
        <w:jc w:val="both"/>
      </w:pPr>
      <w:r>
        <w:rPr>
          <w:rFonts w:cs="Times New Roman"/>
        </w:rPr>
        <w:t xml:space="preserve">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w:t>
      </w:r>
      <w:proofErr w:type="spellStart"/>
      <w:r>
        <w:rPr>
          <w:rFonts w:cs="Times New Roman"/>
        </w:rPr>
        <w:t>PatchTST</w:t>
      </w:r>
      <w:proofErr w:type="spellEnd"/>
      <w:r>
        <w:rPr>
          <w:rFonts w:cs="Times New Roman"/>
        </w:rPr>
        <w:t xml:space="preserve"> [22] and </w:t>
      </w:r>
      <w:proofErr w:type="spellStart"/>
      <w:r>
        <w:rPr>
          <w:rFonts w:cs="Times New Roman"/>
        </w:rPr>
        <w:t>iTransformer</w:t>
      </w:r>
      <w:proofErr w:type="spellEnd"/>
      <w:r>
        <w:rPr>
          <w:rFonts w:cs="Times New Roman"/>
        </w:rPr>
        <w:t>—within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14:paraId="20ED9CE0" w14:textId="77777777" w:rsidR="004C511C" w:rsidRDefault="00751A67">
      <w:pPr>
        <w:spacing w:before="120" w:after="60"/>
      </w:pPr>
      <w:r>
        <w:rPr>
          <w:b/>
        </w:rPr>
        <w:t>9. ACKNOWLEDGMENT</w:t>
      </w:r>
    </w:p>
    <w:p w14:paraId="56A7EFE0" w14:textId="77777777" w:rsidR="004C511C" w:rsidRDefault="00751A67">
      <w:pPr>
        <w:spacing w:after="60"/>
        <w:ind w:firstLine="216"/>
        <w:jc w:val="both"/>
      </w:pPr>
      <w:r>
        <w:rPr>
          <w:rFonts w:cs="Times New Roman"/>
        </w:rPr>
        <w:t>The authors declare no related funding or competing ideological conflicts of interest regarding the publication of this manuscript.</w:t>
      </w:r>
    </w:p>
    <w:p w14:paraId="03AA4E8D" w14:textId="77777777" w:rsidR="004C511C" w:rsidRDefault="00751A67">
      <w:pPr>
        <w:spacing w:before="120" w:after="60"/>
      </w:pPr>
      <w:r>
        <w:rPr>
          <w:b/>
        </w:rPr>
        <w:lastRenderedPageBreak/>
        <w:t>10. REFERENCES</w:t>
      </w:r>
    </w:p>
    <w:p w14:paraId="37943976" w14:textId="77777777" w:rsidR="004C511C" w:rsidRDefault="00751A67">
      <w:pPr>
        <w:spacing w:after="30"/>
        <w:ind w:left="360" w:hanging="360"/>
        <w:jc w:val="both"/>
      </w:pPr>
      <w:r>
        <w:rPr>
          <w:rFonts w:cs="Times New Roman"/>
        </w:rPr>
        <w:t>[1] A. Urquhart, "The inefficiency of Bitcoin," Econ. Lett</w:t>
      </w:r>
      <w:proofErr w:type="gramStart"/>
      <w:r>
        <w:rPr>
          <w:rFonts w:cs="Times New Roman"/>
        </w:rPr>
        <w:t>. ,</w:t>
      </w:r>
      <w:proofErr w:type="gramEnd"/>
      <w:r>
        <w:rPr>
          <w:rFonts w:cs="Times New Roman"/>
        </w:rPr>
        <w:t xml:space="preserve"> vol. 148, pp. 80-82, 2016.</w:t>
      </w:r>
    </w:p>
    <w:p w14:paraId="4C6D2D39" w14:textId="77777777" w:rsidR="004C511C" w:rsidRDefault="00751A67">
      <w:pPr>
        <w:spacing w:after="30"/>
        <w:ind w:left="360" w:hanging="360"/>
        <w:jc w:val="both"/>
      </w:pPr>
      <w:r>
        <w:rPr>
          <w:rFonts w:cs="Times New Roman"/>
        </w:rPr>
        <w:t>[2] P. K. Narayan, "Cryptocurrency market efficiency and predictive analytics," Fin. Res. Lett</w:t>
      </w:r>
      <w:proofErr w:type="gramStart"/>
      <w:r>
        <w:rPr>
          <w:rFonts w:cs="Times New Roman"/>
        </w:rPr>
        <w:t>. ,</w:t>
      </w:r>
      <w:proofErr w:type="gramEnd"/>
      <w:r>
        <w:rPr>
          <w:rFonts w:cs="Times New Roman"/>
        </w:rPr>
        <w:t xml:space="preserve"> vol. 46, 102431, 2022.</w:t>
      </w:r>
    </w:p>
    <w:p w14:paraId="136CB6E1" w14:textId="77777777" w:rsidR="004C511C" w:rsidRDefault="00751A67">
      <w:pPr>
        <w:spacing w:after="30"/>
        <w:ind w:left="360" w:hanging="360"/>
        <w:jc w:val="both"/>
      </w:pPr>
      <w:r>
        <w:rPr>
          <w:rFonts w:cs="Times New Roman"/>
        </w:rPr>
        <w:t xml:space="preserve">[3] S. Makridakis, E. Spiliotis, and V. </w:t>
      </w:r>
      <w:proofErr w:type="spellStart"/>
      <w:r>
        <w:rPr>
          <w:rFonts w:cs="Times New Roman"/>
        </w:rPr>
        <w:t>Assimakopoulos</w:t>
      </w:r>
      <w:proofErr w:type="spellEnd"/>
      <w:r>
        <w:rPr>
          <w:rFonts w:cs="Times New Roman"/>
        </w:rPr>
        <w:t xml:space="preserve">, "Statistical and Machine Learning forecasting methods: Concerns and ways forward," </w:t>
      </w:r>
      <w:proofErr w:type="spellStart"/>
      <w:r>
        <w:rPr>
          <w:rFonts w:cs="Times New Roman"/>
        </w:rPr>
        <w:t>PLoS</w:t>
      </w:r>
      <w:proofErr w:type="spellEnd"/>
      <w:r>
        <w:rPr>
          <w:rFonts w:cs="Times New Roman"/>
        </w:rPr>
        <w:t xml:space="preserve"> </w:t>
      </w:r>
      <w:proofErr w:type="gramStart"/>
      <w:r>
        <w:rPr>
          <w:rFonts w:cs="Times New Roman"/>
        </w:rPr>
        <w:t>ONE ,</w:t>
      </w:r>
      <w:proofErr w:type="gramEnd"/>
      <w:r>
        <w:rPr>
          <w:rFonts w:cs="Times New Roman"/>
        </w:rPr>
        <w:t xml:space="preserve"> vol. 13, no. 3, p. e0194889, 2018.</w:t>
      </w:r>
    </w:p>
    <w:p w14:paraId="4CB0A10A" w14:textId="77777777" w:rsidR="004C511C" w:rsidRDefault="00751A67">
      <w:pPr>
        <w:spacing w:after="30"/>
        <w:ind w:left="360" w:hanging="360"/>
        <w:jc w:val="both"/>
      </w:pPr>
      <w:r>
        <w:rPr>
          <w:rFonts w:cs="Times New Roman"/>
        </w:rPr>
        <w:t xml:space="preserve">[4] A. F. de O. Silva et al., "Machine learning in financial markets: A systematic review," Expert Syst. </w:t>
      </w:r>
      <w:proofErr w:type="gramStart"/>
      <w:r>
        <w:rPr>
          <w:rFonts w:cs="Times New Roman"/>
        </w:rPr>
        <w:t>Appl. ,</w:t>
      </w:r>
      <w:proofErr w:type="gramEnd"/>
      <w:r>
        <w:rPr>
          <w:rFonts w:cs="Times New Roman"/>
        </w:rPr>
        <w:t xml:space="preserve"> vol. 202, 117283, 2022.</w:t>
      </w:r>
    </w:p>
    <w:p w14:paraId="2F1EEB87" w14:textId="77777777" w:rsidR="004C511C" w:rsidRDefault="00751A67">
      <w:pPr>
        <w:spacing w:after="30"/>
        <w:ind w:left="360" w:hanging="360"/>
        <w:jc w:val="both"/>
      </w:pPr>
      <w:r>
        <w:rPr>
          <w:rFonts w:cs="Times New Roman"/>
        </w:rPr>
        <w:t xml:space="preserve">[5] W. Bao, J. Yue, and Y. Rao, "A deep learning framework for financial time series using stacked autoencoders and long-short term memory," </w:t>
      </w:r>
      <w:proofErr w:type="spellStart"/>
      <w:r>
        <w:rPr>
          <w:rFonts w:cs="Times New Roman"/>
        </w:rPr>
        <w:t>PLoS</w:t>
      </w:r>
      <w:proofErr w:type="spellEnd"/>
      <w:r>
        <w:rPr>
          <w:rFonts w:cs="Times New Roman"/>
        </w:rPr>
        <w:t xml:space="preserve"> </w:t>
      </w:r>
      <w:proofErr w:type="gramStart"/>
      <w:r>
        <w:rPr>
          <w:rFonts w:cs="Times New Roman"/>
        </w:rPr>
        <w:t>ONE ,</w:t>
      </w:r>
      <w:proofErr w:type="gramEnd"/>
      <w:r>
        <w:rPr>
          <w:rFonts w:cs="Times New Roman"/>
        </w:rPr>
        <w:t xml:space="preserve"> vol. 12, no. 7, p. e0180944, 2017.</w:t>
      </w:r>
    </w:p>
    <w:p w14:paraId="503E6D4A" w14:textId="77777777" w:rsidR="004C511C" w:rsidRDefault="00751A67">
      <w:pPr>
        <w:spacing w:after="30"/>
        <w:ind w:left="360" w:hanging="360"/>
        <w:jc w:val="both"/>
      </w:pPr>
      <w:r>
        <w:rPr>
          <w:rFonts w:cs="Times New Roman"/>
        </w:rPr>
        <w:t>[6] H. Chaudhuri and I. Ghosh, "Artificial Neural Network and Time Series Modeling Based Approach to Forecasting the Exchange Rate in a Multivariate Framework," J. Quant. Econ</w:t>
      </w:r>
      <w:proofErr w:type="gramStart"/>
      <w:r>
        <w:rPr>
          <w:rFonts w:cs="Times New Roman"/>
        </w:rPr>
        <w:t>. ,</w:t>
      </w:r>
      <w:proofErr w:type="gramEnd"/>
      <w:r>
        <w:rPr>
          <w:rFonts w:cs="Times New Roman"/>
        </w:rPr>
        <w:t xml:space="preserve"> vol. 14, pp. 201-226, 2016.</w:t>
      </w:r>
    </w:p>
    <w:p w14:paraId="05F38228" w14:textId="77777777" w:rsidR="004C511C" w:rsidRDefault="00751A67">
      <w:pPr>
        <w:spacing w:after="30"/>
        <w:ind w:left="360" w:hanging="360"/>
        <w:jc w:val="both"/>
      </w:pPr>
      <w:r>
        <w:rPr>
          <w:rFonts w:cs="Times New Roman"/>
        </w:rPr>
        <w:t xml:space="preserve">[7] P. C. Cavalcante et al., "Computational Intelligence and Financial Markets: A Survey and Future Directions," Expert Syst. </w:t>
      </w:r>
      <w:proofErr w:type="gramStart"/>
      <w:r>
        <w:rPr>
          <w:rFonts w:cs="Times New Roman"/>
        </w:rPr>
        <w:t>Appl. ,</w:t>
      </w:r>
      <w:proofErr w:type="gramEnd"/>
      <w:r>
        <w:rPr>
          <w:rFonts w:cs="Times New Roman"/>
        </w:rPr>
        <w:t xml:space="preserve"> vol. 55, pp. 194-211, 2016.</w:t>
      </w:r>
    </w:p>
    <w:p w14:paraId="69D4FCF0" w14:textId="77777777" w:rsidR="004C511C" w:rsidRDefault="00751A67">
      <w:pPr>
        <w:spacing w:after="30"/>
        <w:ind w:left="360" w:hanging="360"/>
        <w:jc w:val="both"/>
      </w:pPr>
      <w:r>
        <w:rPr>
          <w:rFonts w:cs="Times New Roman"/>
        </w:rPr>
        <w:t xml:space="preserve">[8] S. F. Ali, "Integrating Artificial Intelligence with Business Intelligence Dashboards," </w:t>
      </w:r>
      <w:proofErr w:type="spellStart"/>
      <w:r>
        <w:rPr>
          <w:rFonts w:cs="Times New Roman"/>
        </w:rPr>
        <w:t>Decis</w:t>
      </w:r>
      <w:proofErr w:type="spellEnd"/>
      <w:r>
        <w:rPr>
          <w:rFonts w:cs="Times New Roman"/>
        </w:rPr>
        <w:t xml:space="preserve">. Support </w:t>
      </w:r>
      <w:proofErr w:type="gramStart"/>
      <w:r>
        <w:rPr>
          <w:rFonts w:cs="Times New Roman"/>
        </w:rPr>
        <w:t>Syst. ,</w:t>
      </w:r>
      <w:proofErr w:type="gramEnd"/>
      <w:r>
        <w:rPr>
          <w:rFonts w:cs="Times New Roman"/>
        </w:rPr>
        <w:t xml:space="preserve"> vol. 165, 113887, 2023.</w:t>
      </w:r>
    </w:p>
    <w:p w14:paraId="2AF87D2C" w14:textId="77777777" w:rsidR="004C511C" w:rsidRDefault="00751A67">
      <w:pPr>
        <w:spacing w:after="30"/>
        <w:ind w:left="360" w:hanging="360"/>
        <w:jc w:val="both"/>
      </w:pPr>
      <w:r>
        <w:rPr>
          <w:rFonts w:cs="Times New Roman"/>
        </w:rPr>
        <w:t xml:space="preserve">[9] D. J. Power, "Decision support systems: A historical overview," Commun. Assoc. Inf. </w:t>
      </w:r>
      <w:proofErr w:type="gramStart"/>
      <w:r>
        <w:rPr>
          <w:rFonts w:cs="Times New Roman"/>
        </w:rPr>
        <w:t>Syst. ,</w:t>
      </w:r>
      <w:proofErr w:type="gramEnd"/>
      <w:r>
        <w:rPr>
          <w:rFonts w:cs="Times New Roman"/>
        </w:rPr>
        <w:t xml:space="preserve"> vol. 13, no. 1, p. 15, 2004.</w:t>
      </w:r>
    </w:p>
    <w:p w14:paraId="19E6CFBD" w14:textId="77777777" w:rsidR="004C511C" w:rsidRDefault="00751A67">
      <w:pPr>
        <w:spacing w:after="30"/>
        <w:ind w:left="360" w:hanging="360"/>
        <w:jc w:val="both"/>
      </w:pPr>
      <w:r>
        <w:rPr>
          <w:rFonts w:cs="Times New Roman"/>
        </w:rPr>
        <w:t xml:space="preserve">[10] A. Rossi </w:t>
      </w:r>
      <w:proofErr w:type="gramStart"/>
      <w:r>
        <w:rPr>
          <w:rFonts w:cs="Times New Roman"/>
        </w:rPr>
        <w:t>et al. ,</w:t>
      </w:r>
      <w:proofErr w:type="gramEnd"/>
      <w:r>
        <w:rPr>
          <w:rFonts w:cs="Times New Roman"/>
        </w:rPr>
        <w:t xml:space="preserve"> "Machine Learning for Financial Decision Support: A contemporary perspective," Expert Systems with </w:t>
      </w:r>
      <w:proofErr w:type="gramStart"/>
      <w:r>
        <w:rPr>
          <w:rFonts w:cs="Times New Roman"/>
        </w:rPr>
        <w:t>Applications ,</w:t>
      </w:r>
      <w:proofErr w:type="gramEnd"/>
      <w:r>
        <w:rPr>
          <w:rFonts w:cs="Times New Roman"/>
        </w:rPr>
        <w:t xml:space="preserve"> vol. 238, 122245, 2024.</w:t>
      </w:r>
    </w:p>
    <w:p w14:paraId="46BC3577" w14:textId="77777777" w:rsidR="004C511C" w:rsidRDefault="00751A67">
      <w:pPr>
        <w:spacing w:after="30"/>
        <w:ind w:left="360" w:hanging="360"/>
        <w:jc w:val="both"/>
      </w:pPr>
      <w:r>
        <w:rPr>
          <w:rFonts w:cs="Times New Roman"/>
        </w:rPr>
        <w:t xml:space="preserve">[11] A. Krauss, X. Q. Do, and N. Huck, "Deep neural networks, gradient-boosted trees, random forests: Statistical arbitrage on the S&amp;P 500," Eur. J. Oper. </w:t>
      </w:r>
      <w:proofErr w:type="gramStart"/>
      <w:r>
        <w:rPr>
          <w:rFonts w:cs="Times New Roman"/>
        </w:rPr>
        <w:t>Res. ,</w:t>
      </w:r>
      <w:proofErr w:type="gramEnd"/>
      <w:r>
        <w:rPr>
          <w:rFonts w:cs="Times New Roman"/>
        </w:rPr>
        <w:t xml:space="preserve"> vol. 259, no. 2, pp. 689-702, 2017.</w:t>
      </w:r>
    </w:p>
    <w:p w14:paraId="3D5BEBB9" w14:textId="77777777" w:rsidR="004C511C" w:rsidRDefault="00751A67">
      <w:pPr>
        <w:spacing w:after="30"/>
        <w:ind w:left="360" w:hanging="360"/>
        <w:jc w:val="both"/>
      </w:pPr>
      <w:r>
        <w:rPr>
          <w:rFonts w:cs="Times New Roman"/>
        </w:rPr>
        <w:t xml:space="preserve">[12] T. Chen and C. </w:t>
      </w:r>
      <w:proofErr w:type="spellStart"/>
      <w:r>
        <w:rPr>
          <w:rFonts w:cs="Times New Roman"/>
        </w:rPr>
        <w:t>Guestrin</w:t>
      </w:r>
      <w:proofErr w:type="spellEnd"/>
      <w:r>
        <w:rPr>
          <w:rFonts w:cs="Times New Roman"/>
        </w:rPr>
        <w:t>, "</w:t>
      </w:r>
      <w:proofErr w:type="spellStart"/>
      <w:r>
        <w:rPr>
          <w:rFonts w:cs="Times New Roman"/>
        </w:rPr>
        <w:t>XGBoost</w:t>
      </w:r>
      <w:proofErr w:type="spellEnd"/>
      <w:r>
        <w:rPr>
          <w:rFonts w:cs="Times New Roman"/>
        </w:rPr>
        <w:t xml:space="preserve">: A Scalable Tree Boosting System," in Proc. 22nd ACM SIGKDD Int. Conf. </w:t>
      </w:r>
      <w:proofErr w:type="spellStart"/>
      <w:r>
        <w:rPr>
          <w:rFonts w:cs="Times New Roman"/>
        </w:rPr>
        <w:t>Knowl</w:t>
      </w:r>
      <w:proofErr w:type="spellEnd"/>
      <w:r>
        <w:rPr>
          <w:rFonts w:cs="Times New Roman"/>
        </w:rPr>
        <w:t>. Discovery Data Min. (KDD</w:t>
      </w:r>
      <w:proofErr w:type="gramStart"/>
      <w:r>
        <w:rPr>
          <w:rFonts w:cs="Times New Roman"/>
        </w:rPr>
        <w:t>) ,</w:t>
      </w:r>
      <w:proofErr w:type="gramEnd"/>
      <w:r>
        <w:rPr>
          <w:rFonts w:cs="Times New Roman"/>
        </w:rPr>
        <w:t xml:space="preserve"> 2016, pp. 785-794.</w:t>
      </w:r>
    </w:p>
    <w:p w14:paraId="0A6EFBB7" w14:textId="77777777" w:rsidR="004C511C" w:rsidRDefault="00751A67">
      <w:pPr>
        <w:spacing w:after="30"/>
        <w:ind w:left="360" w:hanging="360"/>
        <w:jc w:val="both"/>
      </w:pPr>
      <w:r>
        <w:rPr>
          <w:rFonts w:cs="Times New Roman"/>
        </w:rPr>
        <w:t xml:space="preserve">[13] J. Zheng, X. Xu, P. Zheng, and Z. Peng, "A novel machine learning methodology for cryptocurrency price prediction," IEEE </w:t>
      </w:r>
      <w:proofErr w:type="gramStart"/>
      <w:r>
        <w:rPr>
          <w:rFonts w:cs="Times New Roman"/>
        </w:rPr>
        <w:t>Access ,</w:t>
      </w:r>
      <w:proofErr w:type="gramEnd"/>
      <w:r>
        <w:rPr>
          <w:rFonts w:cs="Times New Roman"/>
        </w:rPr>
        <w:t xml:space="preserve"> vol. 7, pp. 109287-109295, 2019.</w:t>
      </w:r>
    </w:p>
    <w:p w14:paraId="5EBB5759" w14:textId="77777777" w:rsidR="004C511C" w:rsidRDefault="00751A67">
      <w:pPr>
        <w:spacing w:after="30"/>
        <w:ind w:left="360" w:hanging="360"/>
        <w:jc w:val="both"/>
      </w:pPr>
      <w:r>
        <w:rPr>
          <w:rFonts w:cs="Times New Roman"/>
        </w:rPr>
        <w:t xml:space="preserve">[14] S. Hochreiter and J. </w:t>
      </w:r>
      <w:proofErr w:type="spellStart"/>
      <w:r>
        <w:rPr>
          <w:rFonts w:cs="Times New Roman"/>
        </w:rPr>
        <w:t>Schmidhuber</w:t>
      </w:r>
      <w:proofErr w:type="spellEnd"/>
      <w:r>
        <w:rPr>
          <w:rFonts w:cs="Times New Roman"/>
        </w:rPr>
        <w:t xml:space="preserve">, "Long short-term memory," Neural </w:t>
      </w:r>
      <w:proofErr w:type="spellStart"/>
      <w:r>
        <w:rPr>
          <w:rFonts w:cs="Times New Roman"/>
        </w:rPr>
        <w:t>Comput</w:t>
      </w:r>
      <w:proofErr w:type="spellEnd"/>
      <w:proofErr w:type="gramStart"/>
      <w:r>
        <w:rPr>
          <w:rFonts w:cs="Times New Roman"/>
        </w:rPr>
        <w:t>. ,</w:t>
      </w:r>
      <w:proofErr w:type="gramEnd"/>
      <w:r>
        <w:rPr>
          <w:rFonts w:cs="Times New Roman"/>
        </w:rPr>
        <w:t xml:space="preserve"> vol. 9, no. 8, pp. 1735-1780, 1997.</w:t>
      </w:r>
    </w:p>
    <w:p w14:paraId="5412D031" w14:textId="77777777" w:rsidR="004C511C" w:rsidRDefault="00751A67">
      <w:pPr>
        <w:spacing w:after="30"/>
        <w:ind w:left="360" w:hanging="360"/>
        <w:jc w:val="both"/>
      </w:pPr>
      <w:r>
        <w:rPr>
          <w:rFonts w:cs="Times New Roman"/>
        </w:rPr>
        <w:t>[15] K. Cho et al., "Learning Phrase Representations using RNN Encoder-Decoder for Statistical Machine Translation," in Empirical Methods in Natural Language Processing (EMNLP</w:t>
      </w:r>
      <w:proofErr w:type="gramStart"/>
      <w:r>
        <w:rPr>
          <w:rFonts w:cs="Times New Roman"/>
        </w:rPr>
        <w:t>) ,</w:t>
      </w:r>
      <w:proofErr w:type="gramEnd"/>
      <w:r>
        <w:rPr>
          <w:rFonts w:cs="Times New Roman"/>
        </w:rPr>
        <w:t xml:space="preserve"> 2014, pp. 1724-1734.</w:t>
      </w:r>
    </w:p>
    <w:p w14:paraId="70C9BFFD" w14:textId="77777777" w:rsidR="004C511C" w:rsidRDefault="00751A67">
      <w:pPr>
        <w:spacing w:after="30"/>
        <w:ind w:left="360" w:hanging="360"/>
        <w:jc w:val="both"/>
      </w:pPr>
      <w:r>
        <w:rPr>
          <w:rFonts w:cs="Times New Roman"/>
        </w:rPr>
        <w:t xml:space="preserve">[16] L. Chen, Z. Qiao, M. Wang, and C. Wang, "Predictive modeling of Bitcoin using deep learning," Expert Syst. </w:t>
      </w:r>
      <w:proofErr w:type="gramStart"/>
      <w:r>
        <w:rPr>
          <w:rFonts w:cs="Times New Roman"/>
        </w:rPr>
        <w:t>Appl. ,</w:t>
      </w:r>
      <w:proofErr w:type="gramEnd"/>
      <w:r>
        <w:rPr>
          <w:rFonts w:cs="Times New Roman"/>
        </w:rPr>
        <w:t xml:space="preserve"> vol. 156, 113425, 2020.</w:t>
      </w:r>
    </w:p>
    <w:p w14:paraId="06D74519" w14:textId="77777777" w:rsidR="004C511C" w:rsidRDefault="00751A67">
      <w:pPr>
        <w:spacing w:after="30"/>
        <w:ind w:left="360" w:hanging="360"/>
        <w:jc w:val="both"/>
      </w:pPr>
      <w:r>
        <w:rPr>
          <w:rFonts w:cs="Times New Roman"/>
        </w:rPr>
        <w:t xml:space="preserve">[17] F. A. Gers, J. </w:t>
      </w:r>
      <w:proofErr w:type="spellStart"/>
      <w:r>
        <w:rPr>
          <w:rFonts w:cs="Times New Roman"/>
        </w:rPr>
        <w:t>Schmidhuber</w:t>
      </w:r>
      <w:proofErr w:type="spellEnd"/>
      <w:r>
        <w:rPr>
          <w:rFonts w:cs="Times New Roman"/>
        </w:rPr>
        <w:t xml:space="preserve">, and F. Cummins, "Learning to Forget: Continual Prediction with LSTM," Neural </w:t>
      </w:r>
      <w:proofErr w:type="spellStart"/>
      <w:r>
        <w:rPr>
          <w:rFonts w:cs="Times New Roman"/>
        </w:rPr>
        <w:t>Comput</w:t>
      </w:r>
      <w:proofErr w:type="spellEnd"/>
      <w:proofErr w:type="gramStart"/>
      <w:r>
        <w:rPr>
          <w:rFonts w:cs="Times New Roman"/>
        </w:rPr>
        <w:t>. ,</w:t>
      </w:r>
      <w:proofErr w:type="gramEnd"/>
      <w:r>
        <w:rPr>
          <w:rFonts w:cs="Times New Roman"/>
        </w:rPr>
        <w:t xml:space="preserve"> vol. 12, no. 10, pp. 2451-2471, 2000.</w:t>
      </w:r>
    </w:p>
    <w:p w14:paraId="0B82910C" w14:textId="77777777" w:rsidR="004C511C" w:rsidRDefault="00751A67">
      <w:pPr>
        <w:spacing w:after="30"/>
        <w:ind w:left="360" w:hanging="360"/>
        <w:jc w:val="both"/>
      </w:pPr>
      <w:r>
        <w:rPr>
          <w:rFonts w:cs="Times New Roman"/>
        </w:rPr>
        <w:t xml:space="preserve">[18] K. Greff et al., "LSTM: A Space Odyssey," IEEE Trans. Neural </w:t>
      </w:r>
      <w:proofErr w:type="spellStart"/>
      <w:r>
        <w:rPr>
          <w:rFonts w:cs="Times New Roman"/>
        </w:rPr>
        <w:t>Netw</w:t>
      </w:r>
      <w:proofErr w:type="spellEnd"/>
      <w:r>
        <w:rPr>
          <w:rFonts w:cs="Times New Roman"/>
        </w:rPr>
        <w:t xml:space="preserve">. Learn. </w:t>
      </w:r>
      <w:proofErr w:type="gramStart"/>
      <w:r>
        <w:rPr>
          <w:rFonts w:cs="Times New Roman"/>
        </w:rPr>
        <w:t>Syst. ,</w:t>
      </w:r>
      <w:proofErr w:type="gramEnd"/>
      <w:r>
        <w:rPr>
          <w:rFonts w:cs="Times New Roman"/>
        </w:rPr>
        <w:t xml:space="preserve"> vol. 28, pp. 2222-2232, 2017.</w:t>
      </w:r>
    </w:p>
    <w:p w14:paraId="2B033F58" w14:textId="77777777" w:rsidR="004C511C" w:rsidRDefault="00751A67">
      <w:pPr>
        <w:spacing w:after="30"/>
        <w:ind w:left="360" w:hanging="360"/>
        <w:jc w:val="both"/>
      </w:pPr>
      <w:r>
        <w:rPr>
          <w:rFonts w:cs="Times New Roman"/>
        </w:rPr>
        <w:t>[19] A. Vaswani et al., "Attention is all you need," in Advances in Neural Information Processing Systems (</w:t>
      </w:r>
      <w:proofErr w:type="spellStart"/>
      <w:r>
        <w:rPr>
          <w:rFonts w:cs="Times New Roman"/>
        </w:rPr>
        <w:t>NeurIPS</w:t>
      </w:r>
      <w:proofErr w:type="spellEnd"/>
      <w:proofErr w:type="gramStart"/>
      <w:r>
        <w:rPr>
          <w:rFonts w:cs="Times New Roman"/>
        </w:rPr>
        <w:t>) ,</w:t>
      </w:r>
      <w:proofErr w:type="gramEnd"/>
      <w:r>
        <w:rPr>
          <w:rFonts w:cs="Times New Roman"/>
        </w:rPr>
        <w:t xml:space="preserve"> 2017, pp. 5998-6008.</w:t>
      </w:r>
    </w:p>
    <w:p w14:paraId="36A1DF79" w14:textId="77777777" w:rsidR="004C511C" w:rsidRDefault="00751A67">
      <w:pPr>
        <w:spacing w:after="30"/>
        <w:ind w:left="360" w:hanging="360"/>
        <w:jc w:val="both"/>
      </w:pPr>
      <w:r>
        <w:rPr>
          <w:rFonts w:cs="Times New Roman"/>
        </w:rPr>
        <w:t xml:space="preserve">[20] N. Wu, B. Green, X. Ben, and S. O'Banion, "Deep Transformer Models for Time Series Forecasting: The Influenza Prevalence Case," </w:t>
      </w:r>
      <w:proofErr w:type="spellStart"/>
      <w:r>
        <w:rPr>
          <w:rFonts w:cs="Times New Roman"/>
        </w:rPr>
        <w:t>arXiv</w:t>
      </w:r>
      <w:proofErr w:type="spellEnd"/>
      <w:r>
        <w:rPr>
          <w:rFonts w:cs="Times New Roman"/>
        </w:rPr>
        <w:t xml:space="preserve"> preprint arXiv:2001.</w:t>
      </w:r>
      <w:proofErr w:type="gramStart"/>
      <w:r>
        <w:rPr>
          <w:rFonts w:cs="Times New Roman"/>
        </w:rPr>
        <w:t>08317 ,</w:t>
      </w:r>
      <w:proofErr w:type="gramEnd"/>
      <w:r>
        <w:rPr>
          <w:rFonts w:cs="Times New Roman"/>
        </w:rPr>
        <w:t xml:space="preserve"> 2020.</w:t>
      </w:r>
    </w:p>
    <w:p w14:paraId="7B06E9E3" w14:textId="77777777" w:rsidR="004C511C" w:rsidRDefault="00751A67">
      <w:pPr>
        <w:spacing w:after="30"/>
        <w:ind w:left="360" w:hanging="360"/>
        <w:jc w:val="both"/>
      </w:pPr>
      <w:r>
        <w:rPr>
          <w:rFonts w:cs="Times New Roman"/>
        </w:rPr>
        <w:t xml:space="preserve">[21] H. Zhou et al., "Informer: Beyond Efficient Transformer for Long Sequence Time-Series Forecasting," in Proc. AAAI Conf. </w:t>
      </w:r>
      <w:proofErr w:type="spellStart"/>
      <w:r>
        <w:rPr>
          <w:rFonts w:cs="Times New Roman"/>
        </w:rPr>
        <w:t>Artif</w:t>
      </w:r>
      <w:proofErr w:type="spellEnd"/>
      <w:r>
        <w:rPr>
          <w:rFonts w:cs="Times New Roman"/>
        </w:rPr>
        <w:t xml:space="preserve">. </w:t>
      </w:r>
      <w:proofErr w:type="spellStart"/>
      <w:r>
        <w:rPr>
          <w:rFonts w:cs="Times New Roman"/>
        </w:rPr>
        <w:t>Intell</w:t>
      </w:r>
      <w:proofErr w:type="spellEnd"/>
      <w:proofErr w:type="gramStart"/>
      <w:r>
        <w:rPr>
          <w:rFonts w:cs="Times New Roman"/>
        </w:rPr>
        <w:t>. ,</w:t>
      </w:r>
      <w:proofErr w:type="gramEnd"/>
      <w:r>
        <w:rPr>
          <w:rFonts w:cs="Times New Roman"/>
        </w:rPr>
        <w:t xml:space="preserve"> 2021, pp. 11106-11115.</w:t>
      </w:r>
    </w:p>
    <w:p w14:paraId="5347ADDD" w14:textId="77777777" w:rsidR="004C511C" w:rsidRDefault="00751A67">
      <w:pPr>
        <w:spacing w:after="30"/>
        <w:ind w:left="360" w:hanging="360"/>
        <w:jc w:val="both"/>
      </w:pPr>
      <w:r>
        <w:rPr>
          <w:rFonts w:cs="Times New Roman"/>
        </w:rPr>
        <w:t>[22] Y. Nie et al., "A Time Series is Worth 64 Words: Long-term Forecasting with Transformers," in International Conference on Learning Representations (ICLR</w:t>
      </w:r>
      <w:proofErr w:type="gramStart"/>
      <w:r>
        <w:rPr>
          <w:rFonts w:cs="Times New Roman"/>
        </w:rPr>
        <w:t>) ,</w:t>
      </w:r>
      <w:proofErr w:type="gramEnd"/>
      <w:r>
        <w:rPr>
          <w:rFonts w:cs="Times New Roman"/>
        </w:rPr>
        <w:t xml:space="preserve"> 2023.</w:t>
      </w:r>
    </w:p>
    <w:p w14:paraId="7FE5CF9F" w14:textId="77777777" w:rsidR="004C511C" w:rsidRDefault="00751A67">
      <w:pPr>
        <w:spacing w:after="30"/>
        <w:ind w:left="360" w:hanging="360"/>
        <w:jc w:val="both"/>
      </w:pPr>
      <w:r>
        <w:rPr>
          <w:rFonts w:cs="Times New Roman"/>
        </w:rPr>
        <w:t>[23] H. Wu et al., "</w:t>
      </w:r>
      <w:proofErr w:type="spellStart"/>
      <w:r>
        <w:rPr>
          <w:rFonts w:cs="Times New Roman"/>
        </w:rPr>
        <w:t>TimesNet</w:t>
      </w:r>
      <w:proofErr w:type="spellEnd"/>
      <w:r>
        <w:rPr>
          <w:rFonts w:cs="Times New Roman"/>
        </w:rPr>
        <w:t>: Temporal 2D-Variation Modeling for General Time Series Analysis," in International Conference on Learning Representations (ICLR</w:t>
      </w:r>
      <w:proofErr w:type="gramStart"/>
      <w:r>
        <w:rPr>
          <w:rFonts w:cs="Times New Roman"/>
        </w:rPr>
        <w:t>) ,</w:t>
      </w:r>
      <w:proofErr w:type="gramEnd"/>
      <w:r>
        <w:rPr>
          <w:rFonts w:cs="Times New Roman"/>
        </w:rPr>
        <w:t xml:space="preserve"> 2023.</w:t>
      </w:r>
    </w:p>
    <w:p w14:paraId="2E5B0CE3" w14:textId="77777777" w:rsidR="004C511C" w:rsidRDefault="00751A67">
      <w:pPr>
        <w:spacing w:after="30"/>
        <w:ind w:left="360" w:hanging="360"/>
        <w:jc w:val="both"/>
      </w:pPr>
      <w:r>
        <w:rPr>
          <w:rFonts w:cs="Times New Roman"/>
        </w:rPr>
        <w:t xml:space="preserve">[24] G. </w:t>
      </w:r>
      <w:proofErr w:type="spellStart"/>
      <w:r>
        <w:rPr>
          <w:rFonts w:cs="Times New Roman"/>
        </w:rPr>
        <w:t>Zerveas</w:t>
      </w:r>
      <w:proofErr w:type="spellEnd"/>
      <w:r>
        <w:rPr>
          <w:rFonts w:cs="Times New Roman"/>
        </w:rPr>
        <w:t xml:space="preserve"> et al., "A Transformer-based Framework for Multivariate Time Series Representation Learning," in Proc. 27th ACM SIGKDD Conf. </w:t>
      </w:r>
      <w:proofErr w:type="spellStart"/>
      <w:r>
        <w:rPr>
          <w:rFonts w:cs="Times New Roman"/>
        </w:rPr>
        <w:t>Knowl</w:t>
      </w:r>
      <w:proofErr w:type="spellEnd"/>
      <w:r>
        <w:rPr>
          <w:rFonts w:cs="Times New Roman"/>
        </w:rPr>
        <w:t xml:space="preserve">. </w:t>
      </w:r>
      <w:proofErr w:type="spellStart"/>
      <w:r>
        <w:rPr>
          <w:rFonts w:cs="Times New Roman"/>
        </w:rPr>
        <w:t>Discov</w:t>
      </w:r>
      <w:proofErr w:type="spellEnd"/>
      <w:r>
        <w:rPr>
          <w:rFonts w:cs="Times New Roman"/>
        </w:rPr>
        <w:t xml:space="preserve">. Data </w:t>
      </w:r>
      <w:proofErr w:type="gramStart"/>
      <w:r>
        <w:rPr>
          <w:rFonts w:cs="Times New Roman"/>
        </w:rPr>
        <w:t>Min. ,</w:t>
      </w:r>
      <w:proofErr w:type="gramEnd"/>
      <w:r>
        <w:rPr>
          <w:rFonts w:cs="Times New Roman"/>
        </w:rPr>
        <w:t xml:space="preserve"> 2021, pp. 2114-2124.</w:t>
      </w:r>
    </w:p>
    <w:p w14:paraId="760A1955" w14:textId="77777777" w:rsidR="004C511C" w:rsidRDefault="00751A67">
      <w:pPr>
        <w:spacing w:after="30"/>
        <w:ind w:left="360" w:hanging="360"/>
        <w:jc w:val="both"/>
      </w:pPr>
      <w:r>
        <w:rPr>
          <w:rFonts w:cs="Times New Roman"/>
        </w:rPr>
        <w:lastRenderedPageBreak/>
        <w:t xml:space="preserve">[25] M. H. </w:t>
      </w:r>
      <w:proofErr w:type="spellStart"/>
      <w:r>
        <w:rPr>
          <w:rFonts w:cs="Times New Roman"/>
        </w:rPr>
        <w:t>Baqee</w:t>
      </w:r>
      <w:proofErr w:type="spellEnd"/>
      <w:r>
        <w:rPr>
          <w:rFonts w:cs="Times New Roman"/>
        </w:rPr>
        <w:t xml:space="preserve"> et al., "Forecasting Bitcoin Prices Using Deep Learning for Consumer-Centric Industrial Applications," IEEE Transactions on Consumer </w:t>
      </w:r>
      <w:proofErr w:type="gramStart"/>
      <w:r>
        <w:rPr>
          <w:rFonts w:cs="Times New Roman"/>
        </w:rPr>
        <w:t>Electronics ,</w:t>
      </w:r>
      <w:proofErr w:type="gramEnd"/>
      <w:r>
        <w:rPr>
          <w:rFonts w:cs="Times New Roman"/>
        </w:rPr>
        <w:t xml:space="preserve"> vol. 70, no. 1, pp. 3225-3233, Feb. 2024. </w:t>
      </w:r>
      <w:proofErr w:type="spellStart"/>
      <w:r>
        <w:rPr>
          <w:rFonts w:cs="Times New Roman"/>
        </w:rPr>
        <w:t>doi</w:t>
      </w:r>
      <w:proofErr w:type="spellEnd"/>
      <w:r>
        <w:rPr>
          <w:rFonts w:cs="Times New Roman"/>
        </w:rPr>
        <w:t>: 10.1109/TCE.2023.3335001.</w:t>
      </w:r>
    </w:p>
    <w:p w14:paraId="7C7ACCE8" w14:textId="77777777" w:rsidR="004C511C" w:rsidRDefault="00751A67">
      <w:pPr>
        <w:spacing w:after="30"/>
        <w:ind w:left="360" w:hanging="360"/>
        <w:jc w:val="both"/>
      </w:pPr>
      <w:r>
        <w:rPr>
          <w:rFonts w:cs="Times New Roman"/>
        </w:rPr>
        <w:t xml:space="preserve">[26] A. T. Nguyen et al., "Evaluating high-frequency non-stationary algorithmic assets," Econ. </w:t>
      </w:r>
      <w:proofErr w:type="gramStart"/>
      <w:r>
        <w:rPr>
          <w:rFonts w:cs="Times New Roman"/>
        </w:rPr>
        <w:t>Modelling ,</w:t>
      </w:r>
      <w:proofErr w:type="gramEnd"/>
      <w:r>
        <w:rPr>
          <w:rFonts w:cs="Times New Roman"/>
        </w:rPr>
        <w:t xml:space="preserve"> vol. 119, 106159, 2023.</w:t>
      </w:r>
    </w:p>
    <w:p w14:paraId="0E13EA61" w14:textId="77777777" w:rsidR="004C511C" w:rsidRDefault="00751A67">
      <w:pPr>
        <w:spacing w:after="30"/>
        <w:ind w:left="360" w:hanging="360"/>
        <w:jc w:val="both"/>
      </w:pPr>
      <w:r>
        <w:rPr>
          <w:rFonts w:cs="Times New Roman"/>
        </w:rPr>
        <w:t xml:space="preserve">[27] R. Sharda, D. Delen, and E. Turban, Business Intelligence, Analytics, and Data Science: A Managerial </w:t>
      </w:r>
      <w:proofErr w:type="gramStart"/>
      <w:r>
        <w:rPr>
          <w:rFonts w:cs="Times New Roman"/>
        </w:rPr>
        <w:t>Perspective ,</w:t>
      </w:r>
      <w:proofErr w:type="gramEnd"/>
      <w:r>
        <w:rPr>
          <w:rFonts w:cs="Times New Roman"/>
        </w:rPr>
        <w:t xml:space="preserve"> 4th ed. Pearson, 2017.</w:t>
      </w:r>
    </w:p>
    <w:p w14:paraId="2D1335B9" w14:textId="77777777" w:rsidR="004C511C" w:rsidRDefault="00751A67">
      <w:pPr>
        <w:spacing w:after="30"/>
        <w:ind w:left="360" w:hanging="360"/>
        <w:jc w:val="both"/>
      </w:pPr>
      <w:r>
        <w:rPr>
          <w:rFonts w:cs="Times New Roman"/>
        </w:rPr>
        <w:t xml:space="preserve">[28] D. Arnott and G. Pervan, "A critical analysis of decision support systems research revisited: The rise of design science," J. Inf. </w:t>
      </w:r>
      <w:proofErr w:type="gramStart"/>
      <w:r>
        <w:rPr>
          <w:rFonts w:cs="Times New Roman"/>
        </w:rPr>
        <w:t>Technol. ,</w:t>
      </w:r>
      <w:proofErr w:type="gramEnd"/>
      <w:r>
        <w:rPr>
          <w:rFonts w:cs="Times New Roman"/>
        </w:rPr>
        <w:t xml:space="preserve"> vol. 29, no. 4, pp. 269-293, 2014.</w:t>
      </w:r>
    </w:p>
    <w:p w14:paraId="5500D3AC" w14:textId="77777777" w:rsidR="004C511C" w:rsidRDefault="00751A67">
      <w:pPr>
        <w:spacing w:after="30"/>
        <w:ind w:left="360" w:hanging="360"/>
        <w:jc w:val="both"/>
      </w:pPr>
      <w:r>
        <w:rPr>
          <w:rFonts w:cs="Times New Roman"/>
        </w:rPr>
        <w:t xml:space="preserve">[29] P. </w:t>
      </w:r>
      <w:proofErr w:type="spellStart"/>
      <w:r>
        <w:rPr>
          <w:rFonts w:cs="Times New Roman"/>
        </w:rPr>
        <w:t>Jorion</w:t>
      </w:r>
      <w:proofErr w:type="spellEnd"/>
      <w:r>
        <w:rPr>
          <w:rFonts w:cs="Times New Roman"/>
        </w:rPr>
        <w:t xml:space="preserve">, Value at Risk: The New Benchmark for Managing Financial </w:t>
      </w:r>
      <w:proofErr w:type="gramStart"/>
      <w:r>
        <w:rPr>
          <w:rFonts w:cs="Times New Roman"/>
        </w:rPr>
        <w:t>Risk ,</w:t>
      </w:r>
      <w:proofErr w:type="gramEnd"/>
      <w:r>
        <w:rPr>
          <w:rFonts w:cs="Times New Roman"/>
        </w:rPr>
        <w:t xml:space="preserve"> 3rd ed. New York, NY, USA: McGraw-Hill Education, 2006.</w:t>
      </w:r>
    </w:p>
    <w:p w14:paraId="1BC542AE" w14:textId="77777777" w:rsidR="004C511C" w:rsidRDefault="00751A67">
      <w:pPr>
        <w:spacing w:after="30"/>
        <w:ind w:left="360" w:hanging="360"/>
        <w:jc w:val="both"/>
      </w:pPr>
      <w:r>
        <w:rPr>
          <w:rFonts w:cs="Times New Roman"/>
        </w:rPr>
        <w:t>[30] Binance, "Binance Spot API Documentation," Binance Technical Engineering, 2024. [Online]. Available: https://binance-docs.github.io/apidocs/spot/en/.</w:t>
      </w:r>
    </w:p>
    <w:p w14:paraId="799BD4D7" w14:textId="77777777" w:rsidR="004C511C" w:rsidRDefault="00751A67">
      <w:pPr>
        <w:spacing w:after="30"/>
        <w:ind w:left="360" w:hanging="360"/>
        <w:jc w:val="both"/>
      </w:pPr>
      <w:r>
        <w:rPr>
          <w:rFonts w:cs="Times New Roman"/>
        </w:rPr>
        <w:t xml:space="preserve">[31] J. Han, M. Kamber, and J. Pei, Data Mining: Concepts and </w:t>
      </w:r>
      <w:proofErr w:type="gramStart"/>
      <w:r>
        <w:rPr>
          <w:rFonts w:cs="Times New Roman"/>
        </w:rPr>
        <w:t>Techniques ,</w:t>
      </w:r>
      <w:proofErr w:type="gramEnd"/>
      <w:r>
        <w:rPr>
          <w:rFonts w:cs="Times New Roman"/>
        </w:rPr>
        <w:t xml:space="preserve"> 3rd ed. Waltham, MA, USA: Morgan Kaufmann, 2011.</w:t>
      </w:r>
    </w:p>
    <w:p w14:paraId="6A412ED2" w14:textId="77777777" w:rsidR="004C511C" w:rsidRDefault="00751A67">
      <w:pPr>
        <w:spacing w:after="30"/>
        <w:ind w:left="360" w:hanging="360"/>
        <w:jc w:val="both"/>
      </w:pPr>
      <w:r>
        <w:rPr>
          <w:rFonts w:cs="Times New Roman"/>
        </w:rPr>
        <w:t xml:space="preserve">[32] R. J. Hyndman and G. Athanasopoulos, Forecasting: Principles and </w:t>
      </w:r>
      <w:proofErr w:type="gramStart"/>
      <w:r>
        <w:rPr>
          <w:rFonts w:cs="Times New Roman"/>
        </w:rPr>
        <w:t>Practice ,</w:t>
      </w:r>
      <w:proofErr w:type="gramEnd"/>
      <w:r>
        <w:rPr>
          <w:rFonts w:cs="Times New Roman"/>
        </w:rPr>
        <w:t xml:space="preserve"> 3rd ed. Melbourne, Australia: </w:t>
      </w:r>
      <w:proofErr w:type="spellStart"/>
      <w:r>
        <w:rPr>
          <w:rFonts w:cs="Times New Roman"/>
        </w:rPr>
        <w:t>OTexts</w:t>
      </w:r>
      <w:proofErr w:type="spellEnd"/>
      <w:r>
        <w:rPr>
          <w:rFonts w:cs="Times New Roman"/>
        </w:rPr>
        <w:t>, 2021.</w:t>
      </w:r>
    </w:p>
    <w:p w14:paraId="61AE0BB9" w14:textId="77777777" w:rsidR="004C511C" w:rsidRDefault="00751A67">
      <w:pPr>
        <w:spacing w:after="30"/>
        <w:ind w:left="360" w:hanging="360"/>
        <w:jc w:val="both"/>
      </w:pPr>
      <w:r>
        <w:rPr>
          <w:rFonts w:cs="Times New Roman"/>
        </w:rPr>
        <w:t xml:space="preserve">[33] R. S. Tsay, Analysis of Financial Time </w:t>
      </w:r>
      <w:proofErr w:type="gramStart"/>
      <w:r>
        <w:rPr>
          <w:rFonts w:cs="Times New Roman"/>
        </w:rPr>
        <w:t>Series ,</w:t>
      </w:r>
      <w:proofErr w:type="gramEnd"/>
      <w:r>
        <w:rPr>
          <w:rFonts w:cs="Times New Roman"/>
        </w:rPr>
        <w:t xml:space="preserve"> 3rd ed. Hoboken, NJ, USA: John Wiley &amp; Sons, 2010.</w:t>
      </w:r>
    </w:p>
    <w:p w14:paraId="6D04A573" w14:textId="77777777" w:rsidR="004C511C" w:rsidRDefault="00751A67">
      <w:pPr>
        <w:spacing w:after="30"/>
        <w:ind w:left="360" w:hanging="360"/>
        <w:jc w:val="both"/>
      </w:pPr>
      <w:r>
        <w:rPr>
          <w:rFonts w:cs="Times New Roman"/>
        </w:rPr>
        <w:t xml:space="preserve">[34] M. L. de Prado, Advances in Financial Machine </w:t>
      </w:r>
      <w:proofErr w:type="gramStart"/>
      <w:r>
        <w:rPr>
          <w:rFonts w:cs="Times New Roman"/>
        </w:rPr>
        <w:t>Learning .</w:t>
      </w:r>
      <w:proofErr w:type="gramEnd"/>
      <w:r>
        <w:rPr>
          <w:rFonts w:cs="Times New Roman"/>
        </w:rPr>
        <w:t xml:space="preserve"> Hoboken, NJ, USA: John Wiley &amp; Sons, 2018.</w:t>
      </w:r>
    </w:p>
    <w:p w14:paraId="664C2689" w14:textId="77777777" w:rsidR="004C511C" w:rsidRDefault="00751A67">
      <w:pPr>
        <w:spacing w:after="30"/>
        <w:ind w:left="360" w:hanging="360"/>
        <w:jc w:val="both"/>
      </w:pPr>
      <w:r>
        <w:rPr>
          <w:rFonts w:cs="Times New Roman"/>
        </w:rPr>
        <w:t>[35] S. M. Lundberg and S. I. Lee, "A Unified Approach to Interpreting Model Predictions," in Advances in Neural Information Processing Systems (</w:t>
      </w:r>
      <w:proofErr w:type="spellStart"/>
      <w:r>
        <w:rPr>
          <w:rFonts w:cs="Times New Roman"/>
        </w:rPr>
        <w:t>NeurIPS</w:t>
      </w:r>
      <w:proofErr w:type="spellEnd"/>
      <w:proofErr w:type="gramStart"/>
      <w:r>
        <w:rPr>
          <w:rFonts w:cs="Times New Roman"/>
        </w:rPr>
        <w:t>) ,</w:t>
      </w:r>
      <w:proofErr w:type="gramEnd"/>
      <w:r>
        <w:rPr>
          <w:rFonts w:cs="Times New Roman"/>
        </w:rPr>
        <w:t xml:space="preserve"> 2017, pp. 4765-4774.</w:t>
      </w:r>
    </w:p>
    <w:p w14:paraId="126F360E" w14:textId="77777777" w:rsidR="004C511C" w:rsidRDefault="00751A67">
      <w:pPr>
        <w:spacing w:after="30"/>
        <w:ind w:left="360" w:hanging="360"/>
        <w:jc w:val="both"/>
      </w:pPr>
      <w:r>
        <w:rPr>
          <w:rFonts w:cs="Times New Roman"/>
        </w:rPr>
        <w:t xml:space="preserve">[36] F. Diebold and R. Mariano, "Comparing Predictive Accuracy," J. Bus. Econ. </w:t>
      </w:r>
      <w:proofErr w:type="gramStart"/>
      <w:r>
        <w:rPr>
          <w:rFonts w:cs="Times New Roman"/>
        </w:rPr>
        <w:t>Stat. ,</w:t>
      </w:r>
      <w:proofErr w:type="gramEnd"/>
      <w:r>
        <w:rPr>
          <w:rFonts w:cs="Times New Roman"/>
        </w:rPr>
        <w:t xml:space="preserve"> vol. 13, pp. 253-263, 1995.</w:t>
      </w:r>
    </w:p>
    <w:p w14:paraId="4F797A39" w14:textId="77777777" w:rsidR="004C511C" w:rsidRDefault="00751A67">
      <w:pPr>
        <w:spacing w:after="30"/>
        <w:ind w:left="360" w:hanging="360"/>
        <w:jc w:val="both"/>
      </w:pPr>
      <w:r>
        <w:rPr>
          <w:rFonts w:cs="Times New Roman"/>
        </w:rPr>
        <w:t xml:space="preserve">[37] J. Bollen, H. Mao, and X. Zeng, "Twitter mood predicts the stock market," J. </w:t>
      </w:r>
      <w:proofErr w:type="spellStart"/>
      <w:r>
        <w:rPr>
          <w:rFonts w:cs="Times New Roman"/>
        </w:rPr>
        <w:t>Comput</w:t>
      </w:r>
      <w:proofErr w:type="spellEnd"/>
      <w:r>
        <w:rPr>
          <w:rFonts w:cs="Times New Roman"/>
        </w:rPr>
        <w:t xml:space="preserve">. </w:t>
      </w:r>
      <w:proofErr w:type="gramStart"/>
      <w:r>
        <w:rPr>
          <w:rFonts w:cs="Times New Roman"/>
        </w:rPr>
        <w:t>Sci. ,</w:t>
      </w:r>
      <w:proofErr w:type="gramEnd"/>
      <w:r>
        <w:rPr>
          <w:rFonts w:cs="Times New Roman"/>
        </w:rPr>
        <w:t xml:space="preserve"> vol. 2, no. 1, pp. 1-8, 2011.</w:t>
      </w:r>
    </w:p>
    <w:p w14:paraId="0252ACF6" w14:textId="77777777" w:rsidR="004C511C" w:rsidRDefault="00751A67">
      <w:pPr>
        <w:spacing w:after="30"/>
        <w:ind w:left="360" w:hanging="360"/>
        <w:jc w:val="both"/>
      </w:pPr>
      <w:r>
        <w:rPr>
          <w:rFonts w:cs="Times New Roman"/>
        </w:rPr>
        <w:t xml:space="preserve">[38] I. E. </w:t>
      </w:r>
      <w:proofErr w:type="spellStart"/>
      <w:r>
        <w:rPr>
          <w:rFonts w:cs="Times New Roman"/>
        </w:rPr>
        <w:t>Livieris</w:t>
      </w:r>
      <w:proofErr w:type="spellEnd"/>
      <w:r>
        <w:rPr>
          <w:rFonts w:cs="Times New Roman"/>
        </w:rPr>
        <w:t xml:space="preserve"> et al., "Attention-based CNN-LSTM for high-frequency multiple cryptocurrency trend prediction," Expert Systems with </w:t>
      </w:r>
      <w:proofErr w:type="gramStart"/>
      <w:r>
        <w:rPr>
          <w:rFonts w:cs="Times New Roman"/>
        </w:rPr>
        <w:t>Applications ,</w:t>
      </w:r>
      <w:proofErr w:type="gramEnd"/>
      <w:r>
        <w:rPr>
          <w:rFonts w:cs="Times New Roman"/>
        </w:rPr>
        <w:t xml:space="preserve"> vol. 213, 119208, 2024. </w:t>
      </w:r>
      <w:proofErr w:type="spellStart"/>
      <w:r>
        <w:rPr>
          <w:rFonts w:cs="Times New Roman"/>
        </w:rPr>
        <w:t>doi</w:t>
      </w:r>
      <w:proofErr w:type="spellEnd"/>
      <w:r>
        <w:rPr>
          <w:rFonts w:cs="Times New Roman"/>
        </w:rPr>
        <w:t>: 10.1016/j.eswa.2022.119208.</w:t>
      </w:r>
    </w:p>
    <w:p w14:paraId="38C1FB16" w14:textId="77777777" w:rsidR="004C511C" w:rsidRDefault="00751A67">
      <w:pPr>
        <w:spacing w:after="30"/>
        <w:ind w:left="360" w:hanging="360"/>
        <w:jc w:val="both"/>
      </w:pPr>
      <w:r>
        <w:rPr>
          <w:rFonts w:cs="Times New Roman"/>
        </w:rPr>
        <w:t xml:space="preserve">[39] J. Brooke, "SUS: A 'Quick and Dirty' Usability Scale," in Usability Evaluation in </w:t>
      </w:r>
      <w:proofErr w:type="gramStart"/>
      <w:r>
        <w:rPr>
          <w:rFonts w:cs="Times New Roman"/>
        </w:rPr>
        <w:t>Industry ,</w:t>
      </w:r>
      <w:proofErr w:type="gramEnd"/>
      <w:r>
        <w:rPr>
          <w:rFonts w:cs="Times New Roman"/>
        </w:rPr>
        <w:t xml:space="preserve"> P. W. Jordan </w:t>
      </w:r>
      <w:proofErr w:type="gramStart"/>
      <w:r>
        <w:rPr>
          <w:rFonts w:cs="Times New Roman"/>
        </w:rPr>
        <w:t>et al. ,</w:t>
      </w:r>
      <w:proofErr w:type="gramEnd"/>
      <w:r>
        <w:rPr>
          <w:rFonts w:cs="Times New Roman"/>
        </w:rPr>
        <w:t xml:space="preserve"> Eds. London, UK: Taylor &amp; Francis, 1996, pp. 189-194.</w:t>
      </w:r>
    </w:p>
    <w:p w14:paraId="04CA4ACC" w14:textId="77777777" w:rsidR="004C511C" w:rsidRDefault="00751A67">
      <w:pPr>
        <w:spacing w:after="30"/>
        <w:ind w:left="360" w:hanging="360"/>
        <w:jc w:val="both"/>
      </w:pPr>
      <w:r>
        <w:rPr>
          <w:rFonts w:cs="Times New Roman"/>
        </w:rPr>
        <w:t xml:space="preserve">[40] A. Bangor, P. T. Kortum, and J. T. Miller, "Determining what individual SUS scores mean: Adding an adjective rating scale," Journal of Usability </w:t>
      </w:r>
      <w:proofErr w:type="gramStart"/>
      <w:r>
        <w:rPr>
          <w:rFonts w:cs="Times New Roman"/>
        </w:rPr>
        <w:t>Studies ,</w:t>
      </w:r>
      <w:proofErr w:type="gramEnd"/>
      <w:r>
        <w:rPr>
          <w:rFonts w:cs="Times New Roman"/>
        </w:rPr>
        <w:t xml:space="preserve"> vol. 4, no. 3, pp. 114-123, 2009.</w:t>
      </w:r>
    </w:p>
    <w:sectPr w:rsidR="004C511C"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A778" w14:textId="77777777" w:rsidR="00751A67" w:rsidRDefault="00751A67">
      <w:pPr>
        <w:spacing w:after="0" w:line="240" w:lineRule="auto"/>
      </w:pPr>
      <w:r>
        <w:separator/>
      </w:r>
    </w:p>
  </w:endnote>
  <w:endnote w:type="continuationSeparator" w:id="0">
    <w:p w14:paraId="0FBC7BF7" w14:textId="77777777" w:rsidR="00751A67" w:rsidRDefault="0075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DF78" w14:textId="77777777" w:rsidR="004C511C" w:rsidRDefault="00751A67">
    <w:pPr>
      <w:pStyle w:val="Footer"/>
      <w:jc w:val="center"/>
    </w:pPr>
    <w:r>
      <w:fldChar w:fldCharType="begin"/>
    </w:r>
    <w:r>
      <w:instrText>PAGE</w:instrText>
    </w:r>
    <w:r>
      <w:fldChar w:fldCharType="separate"/>
    </w:r>
    <w:r>
      <w:rPr>
        <w:noProof/>
      </w:rPr>
      <w:t>1</w:t>
    </w:r>
    <w:r>
      <w:fldChar w:fldCharType="end"/>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BBB3" w14:textId="77777777" w:rsidR="00751A67" w:rsidRDefault="00751A67">
      <w:pPr>
        <w:spacing w:after="0" w:line="240" w:lineRule="auto"/>
      </w:pPr>
      <w:r>
        <w:separator/>
      </w:r>
    </w:p>
  </w:footnote>
  <w:footnote w:type="continuationSeparator" w:id="0">
    <w:p w14:paraId="38D1ADCD" w14:textId="77777777" w:rsidR="00751A67" w:rsidRDefault="0075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423579">
    <w:abstractNumId w:val="8"/>
  </w:num>
  <w:num w:numId="2" w16cid:durableId="358744949">
    <w:abstractNumId w:val="6"/>
  </w:num>
  <w:num w:numId="3" w16cid:durableId="545989120">
    <w:abstractNumId w:val="5"/>
  </w:num>
  <w:num w:numId="4" w16cid:durableId="493954558">
    <w:abstractNumId w:val="4"/>
  </w:num>
  <w:num w:numId="5" w16cid:durableId="1858151869">
    <w:abstractNumId w:val="7"/>
  </w:num>
  <w:num w:numId="6" w16cid:durableId="794567347">
    <w:abstractNumId w:val="3"/>
  </w:num>
  <w:num w:numId="7" w16cid:durableId="570819279">
    <w:abstractNumId w:val="2"/>
  </w:num>
  <w:num w:numId="8" w16cid:durableId="1148668353">
    <w:abstractNumId w:val="1"/>
  </w:num>
  <w:num w:numId="9" w16cid:durableId="77872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DF"/>
    <w:rsid w:val="0015074B"/>
    <w:rsid w:val="00247611"/>
    <w:rsid w:val="0029639D"/>
    <w:rsid w:val="002E2F7F"/>
    <w:rsid w:val="00326F90"/>
    <w:rsid w:val="00370FBA"/>
    <w:rsid w:val="0038424D"/>
    <w:rsid w:val="004C511C"/>
    <w:rsid w:val="00583811"/>
    <w:rsid w:val="0070387E"/>
    <w:rsid w:val="00751A67"/>
    <w:rsid w:val="00AA1D8D"/>
    <w:rsid w:val="00B47730"/>
    <w:rsid w:val="00CB0664"/>
    <w:rsid w:val="00CC7984"/>
    <w:rsid w:val="00FA3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C897"/>
  <w14:defaultImageDpi w14:val="300"/>
  <w15:docId w15:val="{F017CB22-8153-454B-B794-768E0DAA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4623</Words>
  <Characters>26356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Alter Natef</cp:lastModifiedBy>
  <cp:revision>7</cp:revision>
  <dcterms:created xsi:type="dcterms:W3CDTF">2013-12-23T23:15:00Z</dcterms:created>
  <dcterms:modified xsi:type="dcterms:W3CDTF">2026-05-05T07:14:00Z</dcterms:modified>
  <cp:category/>
</cp:coreProperties>
</file>