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Deep Learning Framework for Cryptocurrency Price Prediction Using Business Intelligence</w:t>
      </w:r>
    </w:p>
    <w:p>
      <w:pPr>
        <w:spacing w:after="40"/>
        <w:jc w:val="center"/>
      </w:pPr>
      <w:r>
        <w:rPr>
          <w:rFonts w:ascii="Times New Roman" w:hAnsi="Times New Roman"/>
          <w:b w:val="0"/>
          <w:i w:val="0"/>
          <w:sz w:val="20"/>
        </w:rPr>
        <w:t>Asep Surahman Sulaeman¹², Deden Witarsyah³, and Aswan Supriyadi Sunge⁴</w:t>
      </w:r>
    </w:p>
    <w:p>
      <w:pPr>
        <w:spacing w:after="160"/>
        <w:jc w:val="center"/>
      </w:pPr>
      <w:r>
        <w:rPr>
          <w:rFonts w:ascii="Times New Roman" w:hAnsi="Times New Roman"/>
          <w:b w:val="0"/>
          <w:i w:val="0"/>
          <w:sz w:val="16"/>
        </w:rPr>
        <w:t>¹Master of Informatics, Nusa Putra University, Sukabumi, Indonesia</w:t>
        <w:br/>
        <w:t>³Informatics Engineering, Universitas Pelita Bangsa, Indonesia</w:t>
        <w:br/>
        <w:t>Email: asep.surahman_mti24@nusaputra.ac.id</w:t>
      </w:r>
    </w:p>
    <w:p>
      <w:pPr>
        <w:spacing w:after="80"/>
      </w:pPr>
      <w:r>
        <w:rPr>
          <w:rFonts w:ascii="Times New Roman" w:hAnsi="Times New Roman"/>
          <w:b/>
          <w:i w:val="0"/>
          <w:sz w:val="20"/>
        </w:rPr>
        <w:t>Abstract—</w:t>
      </w:r>
      <w:r>
        <w:rPr>
          <w:rFonts w:ascii="Times New Roman" w:hAnsi="Times New Roman"/>
          <w:b w:val="0"/>
          <w:i w:val="0"/>
          <w:sz w:val="20"/>
        </w:rPr>
        <w:t>Cryptocurrency markets exhibit inherent volatility that complicates predictive modeling, demanding methods that bridge deep learning with enterprise decision support systems. This study proposes an automated, four-layer Business Intelligence pipeline embedding recurrent and transformer inferences into an enterprise decision support system to dynamically compute risk-adjusted metrics, including Sharpe Ratio and Value-at-Risk. Analyzing 43,786 hourly Bitcoin/USDT records spanning 2021–2026, we evaluated XGBoost, Long Short-Term Memory, Gated Recurrent Unit, and the Informer Transformer. Walk-Forward Validation established the Gated Recurrent Unit as the most accurate model with a Root Mean Square Error of 0.1058 (p &lt; 0.001). However, the Business Intelligence integration revealed a critical trade-off: despite higher error, the Long Short-Term Memory network achieved superior Directional Accuracy of 72.3% and a Sharpe Ratio of 1.45, indicating that numerical error minimization does not inherently guarantee trading profitability. The prototype Microsoft Power BI dashboard demonstrated operational feasibility with an Excellent System Usability Scale score of 86.4, confirming that high-frequency neural forecasts can successfully drive real-world institutional risk management tools.</w:t>
      </w:r>
    </w:p>
    <w:p>
      <w:pPr>
        <w:spacing w:after="160"/>
      </w:pPr>
      <w:r>
        <w:rPr>
          <w:rFonts w:ascii="Times New Roman" w:hAnsi="Times New Roman"/>
          <w:b/>
          <w:i w:val="0"/>
          <w:sz w:val="20"/>
        </w:rPr>
        <w:t>Keywords—</w:t>
      </w:r>
      <w:r>
        <w:rPr>
          <w:rFonts w:ascii="Times New Roman" w:hAnsi="Times New Roman"/>
          <w:b w:val="0"/>
          <w:i w:val="0"/>
          <w:sz w:val="20"/>
        </w:rPr>
        <w:t>Business Intelligence, Informer Transformer, XGBoost, LSTM, GRU, Financial Informatics, Diebold-Mariano Test, Decision Support Systems, Walk-Forward Validation, Explainable AI.</w:t>
      </w:r>
    </w:p>
    <w:p>
      <w:pPr>
        <w:spacing w:before="120" w:after="60"/>
      </w:pPr>
      <w:r>
        <w:rPr>
          <w:rFonts w:ascii="Times New Roman" w:hAnsi="Times New Roman"/>
          <w:b/>
          <w:i w:val="0"/>
          <w:sz w:val="20"/>
        </w:rPr>
        <w:t>1. INTRODUCTION</w:t>
      </w:r>
    </w:p>
    <w:p>
      <w:pPr>
        <w:spacing w:before="0" w:after="80"/>
        <w:ind w:firstLine="283"/>
      </w:pPr>
      <w:r>
        <w:rPr>
          <w:rFonts w:ascii="Times New Roman" w:hAnsi="Times New Roman"/>
          <w:b w:val="0"/>
          <w:i w:val="0"/>
          <w:sz w:val="20"/>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spacing w:before="0" w:after="80"/>
        <w:ind w:firstLine="283"/>
      </w:pPr>
      <w:r>
        <w:rPr>
          <w:rFonts w:ascii="Times New Roman" w:hAnsi="Times New Roman"/>
          <w:b w:val="0"/>
          <w:i w:val="0"/>
          <w:sz w:val="20"/>
        </w:rPr>
        <w:t>Consequently, financial informatics research has increasingly favored data-driven neural networks, which can model complex non-linear sequences absent in classical statistics [5], [6]. However, evaluating advanced architectures like Recurrent Neural Networks or state-of-the-art Transformers strictly upon standard error metrics is insufficient for algorithmic portfolio management [7], [8].</w:t>
      </w:r>
    </w:p>
    <w:p>
      <w:pPr>
        <w:spacing w:before="0" w:after="80"/>
        <w:ind w:firstLine="283"/>
      </w:pPr>
      <w:r>
        <w:rPr>
          <w:rFonts w:ascii="Times New Roman" w:hAnsi="Times New Roman"/>
          <w:b w:val="0"/>
          <w:i w:val="0"/>
          <w:sz w:val="20"/>
        </w:rPr>
        <w:t>Predictive applications in cryptocurrency analytics have transitioned from standard regression models toward more complex deep learning sequences. 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Hochreiter and Schmidhuber [14] proposed the Long Short-Term Memory (LSTM) network, utilizing internal gating to manage vanishing gradients, while Cho et al. [15] subsequently introduced the Gated Recurrent Unit (GRU). Both architectures are frequently utilized for crypto-asset tracking due to their reliable computational performance over sequential tasks [16]–[18].</w:t>
      </w:r>
    </w:p>
    <w:p>
      <w:pPr>
        <w:spacing w:before="0" w:after="80"/>
        <w:ind w:firstLine="283"/>
      </w:pPr>
      <w:r>
        <w:rPr>
          <w:rFonts w:ascii="Times New Roman" w:hAnsi="Times New Roman"/>
          <w:b w:val="0"/>
          <w:i w:val="0"/>
          <w:sz w:val="20"/>
        </w:rPr>
        <w:t>Transformer architectures, relying on self-attention mechanisms [19], have increasingly been adapted for time-series forecasting [20]. The Informer Transformer [21], which utilizes sparse probabilistic self-attention (O(L log L)), has become an established modern benchmark for long-horizon sequences. This study intentionally retains the Informer as the primary Transformer representative, providing a universally recognized, computationally stable baseline extensively stress-tested in hourly cryptocurrency environments. However, Zerveas et al. [24] noted that Transformers may suffer from overfitting during chaotic, short-horizon environments such as 1-hour intervals [25], [26].</w:t>
      </w:r>
    </w:p>
    <w:p>
      <w:pPr>
        <w:spacing w:before="0" w:after="80"/>
        <w:ind w:firstLine="283"/>
      </w:pPr>
      <w:r>
        <w:rPr>
          <w:rFonts w:ascii="Times New Roman" w:hAnsi="Times New Roman"/>
          <w:b w:val="0"/>
          <w:i w:val="0"/>
          <w:sz w:val="20"/>
        </w:rPr>
        <w:t>While comparative forecasting studies are abundant, implementations that systematically translate model outputs into enterprise Decision Support Systems (DSS) remain rare [27], [28]. The prevailing paradigm evaluates models on error metrics alone without addressing whether accuracy translates to trading profitability or institutional operational value. Translating machine predictions into Business Intelligence (BI) dashboards that compute Sharpe Ratios and Value-at-Risk—metrics directly actionable in risk management—represents the principal novelty of this study [29].</w:t>
      </w:r>
    </w:p>
    <w:p>
      <w:pPr>
        <w:spacing w:before="0" w:after="80"/>
        <w:ind w:firstLine="283"/>
      </w:pPr>
      <w:r>
        <w:rPr>
          <w:rFonts w:ascii="Times New Roman" w:hAnsi="Times New Roman"/>
          <w:b w:val="0"/>
          <w:i w:val="0"/>
          <w:sz w:val="20"/>
        </w:rPr>
        <w:t>A critical gap therefore exists between theoretical algorithmic accuracy and operational deployment within enterprise BI platforms [9]. To address this gap, this study proposes an end-to-end BI-Machine Learning framework mapping raw API feeds through automated Walk-Forward Validation into a production-ready Power BI dashboard. BTC/USDT was selected as the sole asset because Bitcoin maintains the highest market capitalization and trading volume among cryptocurrencies, its continuous 24/7 hourly trading provides the highest-density sequential signal environment, and exclusive reliance on a single asset serves as a rigorous experimental control to isolate BI pipeline performance [1], [30]. The framework compares XGBoost, LSTM, GRU, and the Informer Transformer on high-frequency hourly cryptocurrency data.</w:t>
      </w:r>
    </w:p>
    <w:p>
      <w:pPr>
        <w:spacing w:before="120" w:after="60"/>
      </w:pPr>
      <w:r>
        <w:rPr>
          <w:rFonts w:ascii="Times New Roman" w:hAnsi="Times New Roman"/>
          <w:b/>
          <w:i w:val="0"/>
          <w:sz w:val="20"/>
        </w:rPr>
        <w:t>2. METHOD</w:t>
      </w:r>
    </w:p>
    <w:p>
      <w:pPr>
        <w:spacing w:before="0" w:after="80"/>
        <w:ind w:firstLine="283"/>
      </w:pPr>
      <w:r>
        <w:rPr>
          <w:rFonts w:ascii="Times New Roman" w:hAnsi="Times New Roman"/>
          <w:b w:val="0"/>
          <w:i w:val="0"/>
          <w:sz w:val="20"/>
        </w:rPr>
        <w:t>The proposed framework adopts a four-layer architecture mapping data ingestions directly into a BI interface.</w:t>
      </w:r>
    </w:p>
    <w:p>
      <w:pPr>
        <w:spacing w:before="120" w:after="60"/>
      </w:pPr>
      <w:r>
        <w:rPr>
          <w:rFonts w:ascii="Times New Roman" w:hAnsi="Times New Roman"/>
          <w:b/>
          <w:i w:val="0"/>
          <w:sz w:val="20"/>
        </w:rPr>
        <w:t>2.1 High-Frequency Data Extraction</w:t>
      </w:r>
    </w:p>
    <w:p>
      <w:pPr>
        <w:spacing w:before="0" w:after="80"/>
        <w:ind w:firstLine="283"/>
      </w:pPr>
      <w:r>
        <w:rPr>
          <w:rFonts w:ascii="Times New Roman" w:hAnsi="Times New Roman"/>
          <w:b w:val="0"/>
          <w:i w:val="0"/>
          <w:sz w:val="20"/>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spacing w:before="120" w:after="60"/>
      </w:pPr>
      <w:r>
        <w:rPr>
          <w:rFonts w:ascii="Times New Roman" w:hAnsi="Times New Roman"/>
          <w:b/>
          <w:i w:val="0"/>
          <w:sz w:val="20"/>
        </w:rPr>
        <w:t>2.2 Walk-Forward Validation Protocol</w:t>
      </w:r>
    </w:p>
    <w:p>
      <w:pPr>
        <w:spacing w:before="0" w:after="80"/>
        <w:ind w:firstLine="283"/>
      </w:pPr>
      <w:r>
        <w:rPr>
          <w:rFonts w:ascii="Times New Roman" w:hAnsi="Times New Roman"/>
          <w:b w:val="0"/>
          <w:i w:val="0"/>
          <w:sz w:val="20"/>
        </w:rPr>
        <w:t>Missing API timestamps (~0.4% dropout rate) were handled using polynomial linear interpolation [31]. To eliminate look-ahead testing biases, chronological Walk-Forward Validation was applied [32].</w:t>
      </w:r>
    </w:p>
    <w:p>
      <w:pPr>
        <w:spacing w:before="0" w:after="80"/>
        <w:ind w:firstLine="283"/>
      </w:pPr>
      <w:r>
        <w:rPr>
          <w:rFonts w:ascii="Times New Roman" w:hAnsi="Times New Roman"/>
          <w:b w:val="0"/>
          <w:i w:val="0"/>
          <w:sz w:val="20"/>
        </w:rPr>
        <w:t>Min-Max Scaling anchored variables exclusively to localized training folds:</w:t>
      </w:r>
    </w:p>
    <w:p>
      <w:pPr>
        <w:jc w:val="center"/>
      </w:pPr>
      <w:r>
        <w:rPr>
          <w:rFonts w:ascii="Times New Roman" w:hAnsi="Times New Roman"/>
          <w:b w:val="0"/>
          <w:i/>
          <w:sz w:val="20"/>
        </w:rPr>
        <w:t>X_norm = (X - X_min) / (X_max - X_min)   ... (1)</w:t>
      </w:r>
    </w:p>
    <w:p>
      <w:pPr>
        <w:spacing w:before="120" w:after="60"/>
      </w:pPr>
      <w:r>
        <w:rPr>
          <w:rFonts w:ascii="Times New Roman" w:hAnsi="Times New Roman"/>
          <w:b/>
          <w:i w:val="0"/>
          <w:sz w:val="20"/>
        </w:rPr>
        <w:t>2.3 Real-Time BI Implementation Specifications</w:t>
      </w:r>
    </w:p>
    <w:p>
      <w:pPr>
        <w:spacing w:before="0" w:after="80"/>
        <w:ind w:firstLine="283"/>
      </w:pPr>
      <w:r>
        <w:rPr>
          <w:rFonts w:ascii="Times New Roman" w:hAnsi="Times New Roman"/>
          <w:b w:val="0"/>
          <w:i w:val="0"/>
          <w:sz w:val="20"/>
        </w:rPr>
        <w:t>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spacing w:before="120" w:after="60"/>
      </w:pPr>
      <w:r>
        <w:rPr>
          <w:rFonts w:ascii="Times New Roman" w:hAnsi="Times New Roman"/>
          <w:b/>
          <w:i w:val="0"/>
          <w:sz w:val="20"/>
        </w:rPr>
        <w:t>2.4 Feature Engineering and SHAP Analysis</w:t>
      </w:r>
    </w:p>
    <w:p>
      <w:pPr>
        <w:spacing w:before="0" w:after="80"/>
        <w:ind w:firstLine="283"/>
      </w:pPr>
      <w:r>
        <w:rPr>
          <w:rFonts w:ascii="Times New Roman" w:hAnsi="Times New Roman"/>
          <w:b w:val="0"/>
          <w:i w:val="0"/>
          <w:sz w:val="20"/>
        </w:rPr>
        <w:t>Depending categorically on univariate sequences ignores market momentum velocity [33]. Consequently, 15 momentum variables were calculated to provide predictive context. Moving Average Convergence Divergence (MACD) limits were applied [34]:</w:t>
      </w:r>
    </w:p>
    <w:p>
      <w:pPr>
        <w:jc w:val="center"/>
      </w:pPr>
      <w:r>
        <w:rPr>
          <w:rFonts w:ascii="Times New Roman" w:hAnsi="Times New Roman"/>
          <w:b w:val="0"/>
          <w:i/>
          <w:sz w:val="20"/>
        </w:rPr>
        <w:t>MACD = EMA_12(P) - EMA_26(P)   ... (2)</w:t>
      </w:r>
    </w:p>
    <w:p>
      <w:pPr>
        <w:spacing w:before="0" w:after="80"/>
        <w:ind w:firstLine="283"/>
      </w:pPr>
      <w:r>
        <w:rPr>
          <w:rFonts w:ascii="Times New Roman" w:hAnsi="Times New Roman"/>
          <w:b w:val="0"/>
          <w:i w:val="0"/>
          <w:sz w:val="20"/>
        </w:rPr>
        <w:t>Logarithmic normalization arrays defined rolling standard deviation (σ_t):</w:t>
      </w:r>
    </w:p>
    <w:p>
      <w:pPr>
        <w:jc w:val="center"/>
      </w:pPr>
      <w:r>
        <w:rPr>
          <w:rFonts w:ascii="Times New Roman" w:hAnsi="Times New Roman"/>
          <w:b w:val="0"/>
          <w:i/>
          <w:sz w:val="20"/>
        </w:rPr>
        <w:t>σ_t = √[ (1/n) Σ (ΔP_i - ĀP)² ]   ... (3)</w:t>
      </w:r>
    </w:p>
    <w:p>
      <w:pPr>
        <w:spacing w:before="0" w:after="80"/>
        <w:ind w:firstLine="283"/>
      </w:pPr>
      <w:r>
        <w:rPr>
          <w:rFonts w:ascii="Times New Roman" w:hAnsi="Times New Roman"/>
          <w:b w:val="0"/>
          <w:i w:val="0"/>
          <w:sz w:val="20"/>
        </w:rPr>
        <w:t>Assessing dense-layer activation required SHapley Additive exPlanations (SHAP) evaluations [35]. The analysis confirmed that volatility variables outperformed static historical price arrays in contributing toward dense node approximations.</w:t>
      </w:r>
    </w:p>
    <w:p>
      <w:pPr>
        <w:spacing w:before="120" w:after="60"/>
      </w:pPr>
      <w:r>
        <w:rPr>
          <w:rFonts w:ascii="Times New Roman" w:hAnsi="Times New Roman"/>
          <w:b/>
          <w:i w:val="0"/>
          <w:sz w:val="20"/>
        </w:rPr>
        <w:t>2.5 Algorithmic Formulations</w:t>
      </w:r>
    </w:p>
    <w:p>
      <w:pPr>
        <w:spacing w:before="0" w:after="80"/>
        <w:ind w:firstLine="283"/>
      </w:pPr>
      <w:r>
        <w:rPr>
          <w:rFonts w:ascii="Times New Roman" w:hAnsi="Times New Roman"/>
          <w:b w:val="0"/>
          <w:i w:val="0"/>
          <w:sz w:val="20"/>
        </w:rPr>
        <w:t>Evaluations encompassed a 720-hour (30-day) training step paired against a 168-hour (7-day) projection window. Hyperparameters were tuned via Grid Search, utilizing a learning rate of 0.001 (Adam optimizer) alongside a dropout value of 0.2.</w:t>
      </w:r>
    </w:p>
    <w:p>
      <w:pPr>
        <w:spacing w:before="0" w:after="80"/>
        <w:ind w:firstLine="283"/>
      </w:pPr>
      <w:r>
        <w:rPr>
          <w:rFonts w:ascii="Times New Roman" w:hAnsi="Times New Roman"/>
          <w:b w:val="0"/>
          <w:i w:val="0"/>
          <w:sz w:val="20"/>
        </w:rPr>
        <w:t>XGBoost functions as the core benchmark non-sequential regressor. LSTMs operate relying on forget gate arrays (f_t):</w:t>
      </w:r>
    </w:p>
    <w:p>
      <w:pPr>
        <w:jc w:val="center"/>
      </w:pPr>
      <w:r>
        <w:rPr>
          <w:rFonts w:ascii="Times New Roman" w:hAnsi="Times New Roman"/>
          <w:b w:val="0"/>
          <w:i/>
          <w:sz w:val="20"/>
        </w:rPr>
        <w:t>f_t = σ(W_f · [h_{t-1}, x_t] + b_f)   ... (4)</w:t>
      </w:r>
    </w:p>
    <w:p>
      <w:pPr>
        <w:spacing w:before="0" w:after="80"/>
        <w:ind w:firstLine="283"/>
      </w:pPr>
      <w:r>
        <w:rPr>
          <w:rFonts w:ascii="Times New Roman" w:hAnsi="Times New Roman"/>
          <w:b w:val="0"/>
          <w:i w:val="0"/>
          <w:sz w:val="20"/>
        </w:rPr>
        <w:t>The GRU simplifies parameter boundaries utilizing direct Update mechanisms (z_t):</w:t>
      </w:r>
    </w:p>
    <w:p>
      <w:pPr>
        <w:jc w:val="center"/>
      </w:pPr>
      <w:r>
        <w:rPr>
          <w:rFonts w:ascii="Times New Roman" w:hAnsi="Times New Roman"/>
          <w:b w:val="0"/>
          <w:i/>
          <w:sz w:val="20"/>
        </w:rPr>
        <w:t>z_t = σ(W_z · [h_{t-1}, x_t] + b_z)   ... (5)</w:t>
      </w:r>
    </w:p>
    <w:p>
      <w:pPr>
        <w:spacing w:before="0" w:after="80"/>
        <w:ind w:firstLine="283"/>
      </w:pPr>
      <w:r>
        <w:rPr>
          <w:rFonts w:ascii="Times New Roman" w:hAnsi="Times New Roman"/>
          <w:b w:val="0"/>
          <w:i w:val="0"/>
          <w:sz w:val="20"/>
        </w:rPr>
        <w:t>The Informer architecture abandons chronological stepwise recursion. By utilizing ProbSparse Self-Attention (O(L log L)), it evaluates relationships between sequence tokens [21]:</w:t>
      </w:r>
    </w:p>
    <w:p>
      <w:pPr>
        <w:jc w:val="center"/>
      </w:pPr>
      <w:r>
        <w:rPr>
          <w:rFonts w:ascii="Times New Roman" w:hAnsi="Times New Roman"/>
          <w:b w:val="0"/>
          <w:i/>
          <w:sz w:val="20"/>
        </w:rPr>
        <w:t>Attention(Q, K, V) = Softmax( Q̅ Kᵀ / √d ) V   ... (6)</w:t>
      </w:r>
    </w:p>
    <w:p>
      <w:pPr>
        <w:spacing w:before="0" w:after="80"/>
        <w:ind w:firstLine="283"/>
      </w:pPr>
      <w:r>
        <w:rPr>
          <w:rFonts w:ascii="Times New Roman" w:hAnsi="Times New Roman"/>
          <w:b w:val="0"/>
          <w:i w:val="0"/>
          <w:sz w:val="20"/>
        </w:rPr>
        <w:t>where Q̅ isolates selectively dominant query vectors, dramatically increasing temporal extraction speeds across large matrices.</w:t>
      </w:r>
    </w:p>
    <w:p>
      <w:pPr>
        <w:spacing w:before="120" w:after="60"/>
      </w:pPr>
      <w:r>
        <w:rPr>
          <w:rFonts w:ascii="Times New Roman" w:hAnsi="Times New Roman"/>
          <w:b/>
          <w:i w:val="0"/>
          <w:sz w:val="20"/>
        </w:rPr>
        <w:t>3. RESULTS AND DISCUSSION</w:t>
      </w:r>
    </w:p>
    <w:p>
      <w:pPr>
        <w:spacing w:before="120" w:after="60"/>
      </w:pPr>
      <w:r>
        <w:rPr>
          <w:rFonts w:ascii="Times New Roman" w:hAnsi="Times New Roman"/>
          <w:b/>
          <w:i w:val="0"/>
          <w:sz w:val="20"/>
        </w:rPr>
        <w:t>3.1 Validation Across Model Topologies</w:t>
      </w:r>
    </w:p>
    <w:p>
      <w:pPr>
        <w:spacing w:before="0" w:after="80"/>
        <w:ind w:firstLine="283"/>
      </w:pPr>
      <w:r>
        <w:rPr>
          <w:rFonts w:ascii="Times New Roman" w:hAnsi="Times New Roman"/>
          <w:b w:val="0"/>
          <w:i w:val="0"/>
          <w:sz w:val="20"/>
        </w:rPr>
        <w:t>XGBoost exhibited higher bounding deviations, reinforcing classical limitations with multi-step prediction stability. Conversely, the Informer Transformer yielded an elevated RMSE (0.1321 ± 0.0081). This finding reinforces indications that modern Attention topologies can suffer overfitting and scatter when restricted to highly erratic, immediate 1-hour cryptocurrency intervals [24].</w:t>
      </w:r>
    </w:p>
    <w:p>
      <w:pPr>
        <w:spacing w:before="0" w:after="80"/>
        <w:ind w:firstLine="283"/>
      </w:pPr>
      <w:r>
        <w:rPr>
          <w:rFonts w:ascii="Times New Roman" w:hAnsi="Times New Roman"/>
          <w:b w:val="0"/>
          <w:i w:val="0"/>
          <w:sz w:val="20"/>
        </w:rPr>
        <w:t>The GRU effectively secured the lowest nominal trace mapping (RMSE 0.1058 ±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w:t>
      </w:r>
    </w:p>
    <w:p>
      <w:pPr>
        <w:jc w:val="center"/>
      </w:pPr>
      <w:r>
        <w:rPr>
          <w:rFonts w:ascii="Times New Roman" w:hAnsi="Times New Roman"/>
          <w:b w:val="0"/>
          <w:i/>
          <w:sz w:val="20"/>
        </w:rPr>
        <w:t>DM = d̅ / √( V̂_{d̅} / T )   ... (7)</w:t>
      </w:r>
    </w:p>
    <w:p>
      <w:pPr>
        <w:spacing w:before="0" w:after="80"/>
        <w:ind w:firstLine="283"/>
      </w:pPr>
      <w:r>
        <w:rPr>
          <w:rFonts w:ascii="Times New Roman" w:hAnsi="Times New Roman"/>
          <w:b w:val="0"/>
          <w:i w:val="0"/>
          <w:sz w:val="20"/>
        </w:rPr>
        <w:t>The pairwise evaluations yielded highly significant algorithmic divergence, systematically affirming the GRU's superior scalar tracking efficiency globally across both traditional ensembles and state-of-the-art competitive neural models.</w:t>
      </w:r>
    </w:p>
    <w:p>
      <w:pPr>
        <w:spacing w:before="120" w:after="60"/>
      </w:pPr>
      <w:r>
        <w:rPr>
          <w:rFonts w:ascii="Times New Roman" w:hAnsi="Times New Roman"/>
          <w:b/>
          <w:i w:val="0"/>
          <w:sz w:val="20"/>
        </w:rPr>
        <w:t>3.2 Error Distributions and Macro-Regime Anomalies</w:t>
      </w:r>
    </w:p>
    <w:p>
      <w:pPr>
        <w:spacing w:before="0" w:after="80"/>
        <w:ind w:firstLine="283"/>
      </w:pPr>
      <w:r>
        <w:rPr>
          <w:rFonts w:ascii="Times New Roman" w:hAnsi="Times New Roman"/>
          <w:b w:val="0"/>
          <w:i w:val="0"/>
          <w:sz w:val="20"/>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(+3σ) from historical training subsets, the endogenous inference models failed to halt or predict mathematical trend reversals.</w:t>
      </w:r>
    </w:p>
    <w:p>
      <w:pPr>
        <w:spacing w:before="120" w:after="60"/>
      </w:pPr>
      <w:r>
        <w:rPr>
          <w:rFonts w:ascii="Times New Roman" w:hAnsi="Times New Roman"/>
          <w:b/>
          <w:i w:val="0"/>
          <w:sz w:val="20"/>
        </w:rPr>
        <w:t>3.3 Operational Microsoft Power BI Prototype Verification</w:t>
      </w:r>
    </w:p>
    <w:p>
      <w:pPr>
        <w:spacing w:before="0" w:after="80"/>
        <w:ind w:firstLine="283"/>
      </w:pPr>
      <w:r>
        <w:rPr>
          <w:rFonts w:ascii="Times New Roman" w:hAnsi="Times New Roman"/>
          <w:b w:val="0"/>
          <w:i w:val="0"/>
          <w:sz w:val="20"/>
        </w:rPr>
        <w:t>To assess the prototype beyond visual presentation, we apply a structured DSS validation framework adapted from Power [9] and Sharda et al. [27] across three dimensions:</w:t>
      </w:r>
    </w:p>
    <w:p>
      <w:pPr>
        <w:spacing w:before="0" w:after="80"/>
        <w:ind w:firstLine="283"/>
      </w:pPr>
      <w:r>
        <w:rPr>
          <w:rFonts w:ascii="Times New Roman" w:hAnsi="Times New Roman"/>
          <w:b w:val="0"/>
          <w:i w:val="0"/>
          <w:sz w:val="20"/>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spacing w:before="0" w:after="80"/>
        <w:ind w:firstLine="283"/>
      </w:pPr>
      <w:r>
        <w:rPr>
          <w:rFonts w:ascii="Times New Roman" w:hAnsi="Times New Roman"/>
          <w:b w:val="0"/>
          <w:i w:val="0"/>
          <w:sz w:val="20"/>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spacing w:before="0" w:after="80"/>
        <w:ind w:firstLine="283"/>
      </w:pPr>
      <w:r>
        <w:rPr>
          <w:rFonts w:ascii="Times New Roman" w:hAnsi="Times New Roman"/>
          <w:b w:val="0"/>
          <w:i w:val="0"/>
          <w:sz w:val="20"/>
        </w:rPr>
        <w:t>Usability (SUS Evaluation): Dashboard usability was formally assessed using the standard 10-item System Usability Scale (SUS) [39], administered to 15 evaluators comprising postgraduate informatics students (n = 10) and financial analytics practitioners (n = 5) following a structured 30-minute guided walkthrough session. The mean SUS score of 86.4 (SD = 3.2) places the prototype in the Excellent usability tier per Bangor et al. [40], confirming operability by non-specialist financial analysts without technical intervention.</w:t>
      </w:r>
    </w:p>
    <w:p>
      <w:pPr>
        <w:spacing w:before="120" w:after="60"/>
      </w:pPr>
      <w:r>
        <w:rPr>
          <w:rFonts w:ascii="Times New Roman" w:hAnsi="Times New Roman"/>
          <w:b/>
          <w:i w:val="0"/>
          <w:sz w:val="20"/>
        </w:rPr>
        <w:t>3.4 Discussion</w:t>
      </w:r>
    </w:p>
    <w:p>
      <w:pPr>
        <w:spacing w:before="0" w:after="80"/>
        <w:ind w:firstLine="283"/>
      </w:pPr>
      <w:r>
        <w:rPr>
          <w:rFonts w:ascii="Times New Roman" w:hAnsi="Times New Roman"/>
          <w:b w:val="0"/>
          <w:i w:val="0"/>
          <w:sz w:val="20"/>
        </w:rPr>
        <w:t>The empirical outperformance of the GRU (RMSE 0.1058) over Informer and XGBoost is theoretically grounded in its architectural inductive biases. Purely attention-based Transformers capture long-range dependencies but impose quadratic complexity, making them less suitable for 1-hour crypto granularity where local momentum and intra-day micro-volatility dominate. GRU's selective reset and update gates inherently capture these short-lag causal dependencies better.</w:t>
      </w:r>
    </w:p>
    <w:p>
      <w:pPr>
        <w:spacing w:before="0" w:after="80"/>
        <w:ind w:firstLine="283"/>
      </w:pPr>
      <w:r>
        <w:rPr>
          <w:rFonts w:ascii="Times New Roman" w:hAnsi="Times New Roman"/>
          <w:b w:val="0"/>
          <w:i w:val="0"/>
          <w:sz w:val="20"/>
        </w:rPr>
        <w:t>Crucially, the Informer's ProbSparse attention, designed to reduce complexity, inadvertently prunes high-value short-lag correlation pairs vital for 1-hour crypto forecasting. This structural mismatch explains the significant RMSE gap confirmed by the DM test (p = 0.014), aligning with findings that simpler recurrent architectures often surpass attention models on short look-back windows.</w:t>
      </w:r>
    </w:p>
    <w:p>
      <w:pPr>
        <w:spacing w:before="0" w:after="80"/>
        <w:ind w:firstLine="283"/>
      </w:pPr>
      <w:r>
        <w:rPr>
          <w:rFonts w:ascii="Times New Roman" w:hAnsi="Times New Roman"/>
          <w:b w:val="0"/>
          <w:i w:val="0"/>
          <w:sz w:val="20"/>
        </w:rPr>
        <w:t>Contextualizing these results, Livieris et al. [38] reported normalized RMSEs of 0.14–0.17 for hourly BTC, while our GRU achieves a substantially lower 0.1058 RMSE under rigorous Walk-Forward Validation. Furthermore, our LSTM Directional Accuracy of 72.3% surpasses the typical 60–65% range reported in comparable literature [13], [16]. The Sharpe Ratio of 1.45 obtained from our dashboard also compares favourably with algorithmic trading benchmarks.</w:t>
      </w:r>
    </w:p>
    <w:p>
      <w:pPr>
        <w:spacing w:before="0" w:after="80"/>
        <w:ind w:firstLine="283"/>
      </w:pPr>
      <w:r>
        <w:rPr>
          <w:rFonts w:ascii="Times New Roman" w:hAnsi="Times New Roman"/>
          <w:b w:val="0"/>
          <w:i w:val="0"/>
          <w:sz w:val="20"/>
        </w:rPr>
        <w:t>Operationally, the LSTM achieved superior directional market orientation accuracy (72.3%), a highly actionable metric for trading decision support. Using the Power BI DirectQuery integration, the dashboard effectively translates LSTM prediction tensors into actionable risk-threshold indicators, demonstrating that quantitative forecasting can successfully be extended into operator-facing BI layers.</w:t>
      </w:r>
    </w:p>
    <w:p>
      <w:pPr>
        <w:spacing w:before="120" w:after="60"/>
      </w:pPr>
      <w:r>
        <w:rPr>
          <w:rFonts w:ascii="Times New Roman" w:hAnsi="Times New Roman"/>
          <w:b/>
          <w:i w:val="0"/>
          <w:sz w:val="20"/>
        </w:rPr>
        <w:t>4. CONCLUSION</w:t>
      </w:r>
    </w:p>
    <w:p>
      <w:pPr>
        <w:spacing w:before="0" w:after="80"/>
        <w:ind w:firstLine="283"/>
      </w:pPr>
      <w:r>
        <w:rPr>
          <w:rFonts w:ascii="Times New Roman" w:hAnsi="Times New Roman"/>
          <w:b w:val="0"/>
          <w:i w:val="0"/>
          <w:sz w:val="20"/>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w:t>
      </w:r>
    </w:p>
    <w:p>
      <w:pPr>
        <w:spacing w:before="0" w:after="80"/>
        <w:ind w:firstLine="283"/>
      </w:pPr>
      <w:r>
        <w:rPr>
          <w:rFonts w:ascii="Times New Roman" w:hAnsi="Times New Roman"/>
          <w:b w:val="0"/>
          <w:i w:val="0"/>
          <w:sz w:val="20"/>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w:t>
      </w:r>
    </w:p>
    <w:p>
      <w:pPr>
        <w:spacing w:before="120" w:after="60"/>
      </w:pPr>
      <w:r>
        <w:rPr>
          <w:rFonts w:ascii="Times New Roman" w:hAnsi="Times New Roman"/>
          <w:b/>
          <w:i w:val="0"/>
          <w:sz w:val="20"/>
        </w:rPr>
        <w:t>ACKNOWLEDGMENT</w:t>
      </w:r>
    </w:p>
    <w:p>
      <w:pPr>
        <w:spacing w:before="0" w:after="80"/>
        <w:ind w:firstLine="0"/>
      </w:pPr>
      <w:r>
        <w:rPr>
          <w:rFonts w:ascii="Times New Roman" w:hAnsi="Times New Roman"/>
          <w:b w:val="0"/>
          <w:i w:val="0"/>
          <w:sz w:val="20"/>
        </w:rPr>
        <w:t>The authors declare no related funding or competing ideological conflicts of interest regarding the publication of this manuscript.</w:t>
      </w:r>
    </w:p>
    <w:p>
      <w:pPr>
        <w:spacing w:before="120" w:after="60"/>
      </w:pPr>
      <w:r>
        <w:rPr>
          <w:rFonts w:ascii="Times New Roman" w:hAnsi="Times New Roman"/>
          <w:b/>
          <w:i w:val="0"/>
          <w:sz w:val="20"/>
        </w:rPr>
        <w:t>REFERENCES</w:t>
      </w:r>
    </w:p>
    <w:p>
      <w:pPr>
        <w:spacing w:after="40"/>
        <w:ind w:left="283" w:hanging="283"/>
      </w:pPr>
      <w:r>
        <w:rPr>
          <w:rFonts w:ascii="Times New Roman" w:hAnsi="Times New Roman"/>
          <w:b w:val="0"/>
          <w:i w:val="0"/>
          <w:sz w:val="18"/>
        </w:rPr>
        <w:t>[1] A. Urquhart, "The inefficiency of Bitcoin," Econ. Lett., vol. 148, pp. 80-82, 2016.</w:t>
      </w:r>
    </w:p>
    <w:p>
      <w:pPr>
        <w:spacing w:after="40"/>
        <w:ind w:left="283" w:hanging="283"/>
      </w:pPr>
      <w:r>
        <w:rPr>
          <w:rFonts w:ascii="Times New Roman" w:hAnsi="Times New Roman"/>
          <w:b w:val="0"/>
          <w:i w:val="0"/>
          <w:sz w:val="18"/>
        </w:rPr>
        <w:t>[2] P. K. Narayan, "Cryptocurrency market efficiency and predictive analytics," Fin. Res. Lett., vol. 46, 102431, 2022.</w:t>
      </w:r>
    </w:p>
    <w:p>
      <w:pPr>
        <w:spacing w:after="40"/>
        <w:ind w:left="283" w:hanging="283"/>
      </w:pPr>
      <w:r>
        <w:rPr>
          <w:rFonts w:ascii="Times New Roman" w:hAnsi="Times New Roman"/>
          <w:b w:val="0"/>
          <w:i w:val="0"/>
          <w:sz w:val="18"/>
        </w:rPr>
        <w:t>[3] S. Makridakis, E. Spiliotis, and V. Assimakopoulos, "Statistical and Machine Learning forecasting methods: Concerns and ways forward," PLoS ONE, vol. 13, no. 3, p. e0194889, 2018.</w:t>
      </w:r>
    </w:p>
    <w:p>
      <w:pPr>
        <w:spacing w:after="40"/>
        <w:ind w:left="283" w:hanging="283"/>
      </w:pPr>
      <w:r>
        <w:rPr>
          <w:rFonts w:ascii="Times New Roman" w:hAnsi="Times New Roman"/>
          <w:b w:val="0"/>
          <w:i w:val="0"/>
          <w:sz w:val="18"/>
        </w:rPr>
        <w:t>[4] A. F. de O. Silva et al., "Machine learning in financial markets: A systematic review," Expert Syst. Appl., vol. 202, 117283, 2022.</w:t>
      </w:r>
    </w:p>
    <w:p>
      <w:pPr>
        <w:spacing w:after="40"/>
        <w:ind w:left="283" w:hanging="283"/>
      </w:pPr>
      <w:r>
        <w:rPr>
          <w:rFonts w:ascii="Times New Roman" w:hAnsi="Times New Roman"/>
          <w:b w:val="0"/>
          <w:i w:val="0"/>
          <w:sz w:val="18"/>
        </w:rPr>
        <w:t>[5] W. Bao, J. Yue, and Y. Rao, "A deep learning framework for financial time series using stacked autoencoders and long-short term memory," PLoS ONE, vol. 12, no. 7, p. e0180944, 2017.</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