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b/>
          <w:i w:val="0"/>
          <w:sz w:val="20"/>
          <w:rFonts w:ascii="Times New Roman" w:hAnsi="Times New Roman" w:cs="Times New Roman"/>
        </w:rPr>
        <w:t>A Deep Learning and Business Intelligence Framework for Cryptocurrency Price Prediction: Comparative Analysis of Sequence Networks against State-of-the-Art Transformers</w:t>
      </w:r>
    </w:p>
    <w:p>
      <w:pPr>
        <w:jc w:val="center"/>
        <w:spacing w:before="0" w:after="40"/>
      </w:pPr>
      <w:r>
        <w:rPr>
          <w:rFonts w:ascii="Times New Roman" w:hAnsi="Times New Roman"/>
          <w:b w:val="0"/>
          <w:i w:val="0"/>
          <w:sz w:val="20"/>
          <w:rFonts w:ascii="Times New Roman" w:hAnsi="Times New Roman" w:cs="Times New Roman"/>
        </w:rPr>
        <w:t>Asep Surahman Sulaeman, Deden Witarsyah, and Aswan Supriyadi Sunge</w:t>
      </w:r>
    </w:p>
    <w:p>
      <w:pPr>
        <w:jc w:val="center"/>
        <w:spacing w:before="0" w:after="20"/>
      </w:pPr>
      <w:r>
        <w:rPr>
          <w:rFonts w:ascii="Times New Roman" w:hAnsi="Times New Roman"/>
          <w:b w:val="0"/>
          <w:i/>
          <w:sz w:val="20"/>
          <w:rFonts w:ascii="Times New Roman" w:hAnsi="Times New Roman" w:cs="Times New Roman"/>
        </w:rPr>
        <w:t>1,2 Master of Informatics, Nusa Putra University, Sukabumi, Indonesia 3 Informatics Engineering, Universitas Pelita Bangsa, Indonesia Email: asep.surahman_mti24@nusaputra.ac.id</w:t>
      </w:r>
    </w:p>
    <w:p>
      <w:pPr>
        <w:pBdr>
          <w:bottom w:val="single" w:sz="6" w:space="1" w:color="000000"/>
        </w:pBdr>
        <w:spacing w:before="60" w:after="60"/>
      </w:pPr>
    </w:p>
    <w:p>
      <w:pPr>
        <w:jc w:val="both"/>
        <w:ind w:left="360" w:right="360"/>
        <w:spacing w:before="40" w:after="40"/>
      </w:pPr>
      <w:r>
        <w:rPr>
          <w:rFonts w:ascii="Times New Roman" w:hAnsi="Times New Roman"/>
          <w:sz w:val="20"/>
        </w:rPr>
        <w:t>Abstract—Cryptocurrency markets' inherent volatility complicates predictive modeling, demanding methods that link deep learning with enterprise Decision Support Systems (DSS). This study proposes an automated, four-layer Business Intelligence (BI) pipeline embedding Recurrent and Transformer inferences into an enterprise DSS to dynamically compute Risk-adjusted metrics like Sharpe Ratio and Value-at-Risk. Analyzing 43,786 hourly BTC/USDT records (2021–2026), we evaluated XGBoost, LSTM, GRU, and the Informer Transformer. Walk-Forward Validation established GRU as the most accurate model (RMSE: 0.1058; p &lt; 0.001). However, the BI integration revealed a critical trade-off: despite higher RMSE, LSTM achieved superior Directional Accuracy (72.3%) and Sharpe Ratio (1.45), indicating that numerical error minimization does not inherently guarantee trading profitability. The prototype Microsoft Power BI dashboard demonstrated operational feasibility with an Excellent 86.4 System Usability Scale (SUS) score, verifying that high-frequency neural forecasts can successfully drive real-world institutional risk management tools.</w:t>
      </w:r>
    </w:p>
    <w:p>
      <w:pPr>
        <w:jc w:val="both"/>
        <w:ind w:left="360" w:right="360"/>
        <w:spacing w:before="0" w:after="80"/>
      </w:pPr>
      <w:r>
        <w:rPr>
          <w:rFonts w:ascii="Times New Roman" w:hAnsi="Times New Roman"/>
          <w:b/>
          <w:i/>
          <w:sz w:val="20"/>
          <w:rFonts w:ascii="Times New Roman" w:hAnsi="Times New Roman" w:cs="Times New Roman"/>
        </w:rPr>
        <w:t>Keywords—</w:t>
      </w:r>
      <w:r>
        <w:rPr>
          <w:rFonts w:ascii="Times New Roman" w:hAnsi="Times New Roman"/>
          <w:b w:val="0"/>
          <w:i w:val="0"/>
          <w:sz w:val="20"/>
          <w:rFonts w:ascii="Times New Roman" w:hAnsi="Times New Roman" w:cs="Times New Roman"/>
        </w:rPr>
        <w:t>Business Intelligence, Informer Transformer, XGBoost, LSTM, GRU, Financial Informatics, Diebold-Mariano Test, Decision Support Systems, Walk-Forward Validation, Explainable AI.</w:t>
      </w:r>
    </w:p>
    <w:p>
      <w:pPr>
        <w:pBdr>
          <w:bottom w:val="single" w:sz="6" w:space="1" w:color="000000"/>
        </w:pBdr>
        <w:spacing w:before="60" w:after="60"/>
      </w:pPr>
    </w:p>
    <w:p>
      <w:pPr>
        <w:spacing w:before="0" w:after="0"/>
        <w:sectPr>
          <w:pgSz w:w="11906" w:h="16838"/>
          <w:pgMar w:left="1701" w:right="1417" w:top="1417" w:bottom="1417"/>
          <w:cols w:num="1" w:space="360" w:equalWidth="1"/>
          <w:footerReference w:type="default" r:id="rId13"/>
          <w:type w:val="continuous"/>
        </w:sectPr>
      </w:pPr>
    </w:p>
    <w:p>
      <w:pPr>
        <w:jc w:val="left"/>
        <w:spacing w:before="120" w:after="60"/>
      </w:pPr>
      <w:r>
        <w:rPr>
          <w:rFonts w:ascii="Times New Roman" w:hAnsi="Times New Roman"/>
          <w:b/>
          <w:sz w:val="20"/>
        </w:rPr>
        <w:t>1. INTRODUCTION</w:t>
      </w:r>
    </w:p>
    <w:p>
      <w:pPr>
        <w:jc w:val="both"/>
        <w:ind w:firstLine="216"/>
        <w:spacing w:before="0" w:after="60"/>
      </w:pPr>
      <w:r>
        <w:rPr>
          <w:rFonts w:ascii="Times New Roman" w:hAnsi="Times New Roman"/>
          <w:b w:val="0"/>
          <w:i w:val="0"/>
          <w:sz w:val="20"/>
          <w:rFonts w:ascii="Times New Roman" w:hAnsi="Times New Roman" w:cs="Times New Roman"/>
        </w:rPr>
        <w:t>Bitcoin (BTC) exhibits non-stationary behavior, structural breaks, and sensitivity to exogenous macroeconomic shocks, characteristics that complicate traditional forecasting [1], [2]. Conventional econometric models, such as Autoregressive Integrated Moving Average (ARIMA), frequently show limitations when applied to volatile, high-frequency financial datasets due to strict covariance stationarity assumptions [3], [4].</w:t>
      </w:r>
    </w:p>
    <w:p>
      <w:pPr>
        <w:jc w:val="both"/>
        <w:ind w:firstLine="216"/>
        <w:spacing w:before="0" w:after="60"/>
      </w:pPr>
      <w:r>
        <w:rPr>
          <w:rFonts w:ascii="Times New Roman" w:hAnsi="Times New Roman"/>
          <w:b w:val="0"/>
          <w:i w:val="0"/>
          <w:sz w:val="20"/>
          <w:rFonts w:ascii="Times New Roman" w:hAnsi="Times New Roman" w:cs="Times New Roman"/>
        </w:rPr>
        <w:t>Consequently, financial informatics research has increasingly favored data-driven neural networks, which can model complex non-linear sequences absent in classical statistics [5], [6]. However, evaluating advanced architectures like Recurrent Neural Networks (RNN) or state-of-the-art Transformers strictly upon standard error metrics (e.g., RMSE) is insufficient for algorithmic portfolio management [7], [8].</w:t>
      </w:r>
    </w:p>
    <w:p>
      <w:pPr>
        <w:jc w:val="both"/>
        <w:ind w:firstLine="216"/>
        <w:spacing w:before="0" w:after="60"/>
      </w:pPr>
      <w:r>
        <w:rPr>
          <w:rFonts w:ascii="Times New Roman" w:hAnsi="Times New Roman"/>
          <w:b w:val="0"/>
          <w:i w:val="0"/>
          <w:sz w:val="20"/>
          <w:rFonts w:ascii="Times New Roman" w:hAnsi="Times New Roman" w:cs="Times New Roman"/>
        </w:rPr>
        <w:t>A critical gap exists between theoretical algorithmic accuracy and operational deployment within enterprise Business Intelligence (BI) platforms [9]. Forecasting frameworks require an architecture capable of bridging raw numerical outputs into quantifiable risk metrics and Key Performance Indicators (KPI) compatible with institutional risk management standards [10].</w:t>
      </w:r>
    </w:p>
    <w:p>
      <w:pPr>
        <w:jc w:val="both"/>
        <w:ind w:firstLine="216"/>
        <w:spacing w:before="0" w:after="60"/>
      </w:pPr>
      <w:r>
        <w:rPr>
          <w:rFonts w:ascii="Times New Roman" w:hAnsi="Times New Roman"/>
          <w:b w:val="0"/>
          <w:i w:val="0"/>
          <w:sz w:val="20"/>
          <w:rFonts w:ascii="Times New Roman" w:hAnsi="Times New Roman" w:cs="Times New Roman"/>
        </w:rPr>
        <w:t>To address this gap, this study proposes an "End-to-End BI-ML Framework." Unlike prior studies that terminate at algorithmic error minimization, this study engineers an end-to-end integration mapping raw API feeds through automated Walk-Forward Validation into a production-ready Power BI dashboard. By embedding these deep inference layers into a Data Mart and translating the probabilities into enterprise risk metrics, this research expands empirical evaluations beyond raw RMSE diagnostics. The framework compares classical algorithms (XGBoost), sequence-based networks (LSTM and GRU), and the state-of-the-art Informer Transformer on high-frequency hourly cryptocurrency data.</w:t>
      </w:r>
    </w:p>
    <w:p>
      <w:pPr>
        <w:jc w:val="left"/>
        <w:spacing w:before="120" w:after="60"/>
      </w:pPr>
      <w:r>
        <w:rPr>
          <w:rFonts w:ascii="Times New Roman" w:hAnsi="Times New Roman"/>
          <w:b/>
          <w:sz w:val="20"/>
        </w:rPr>
        <w:t>2. LITERATURE REVIEW AND RELATED WORK</w:t>
      </w:r>
    </w:p>
    <w:p>
      <w:pPr>
        <w:jc w:val="both"/>
        <w:ind w:firstLine="216"/>
        <w:spacing w:before="0" w:after="60"/>
      </w:pPr>
      <w:r>
        <w:rPr>
          <w:rFonts w:ascii="Times New Roman" w:hAnsi="Times New Roman"/>
          <w:b w:val="0"/>
          <w:i w:val="0"/>
          <w:sz w:val="20"/>
          <w:rFonts w:ascii="Times New Roman" w:hAnsi="Times New Roman" w:cs="Times New Roman"/>
        </w:rPr>
        <w:t>Predictive applications in cryptocurrency analytics have transitioned from standard regression models toward more complex deep learning sequences.</w:t>
      </w:r>
    </w:p>
    <w:p>
      <w:pPr>
        <w:jc w:val="left"/>
        <w:spacing w:before="80" w:after="40"/>
      </w:pPr>
      <w:r>
        <w:rPr>
          <w:rFonts w:ascii="Times New Roman" w:hAnsi="Times New Roman"/>
          <w:b/>
          <w:sz w:val="20"/>
        </w:rPr>
        <w:t>2.1. Baselines and Deep Sequences (RNNs)</w:t>
      </w:r>
    </w:p>
    <w:p>
      <w:pPr>
        <w:jc w:val="both"/>
        <w:ind w:firstLine="216"/>
        <w:spacing w:before="0" w:after="60"/>
      </w:pPr>
      <w:r>
        <w:rPr>
          <w:rFonts w:ascii="Times New Roman" w:hAnsi="Times New Roman"/>
          <w:b w:val="0"/>
          <w:i w:val="0"/>
          <w:sz w:val="20"/>
          <w:rFonts w:ascii="Times New Roman" w:hAnsi="Times New Roman" w:cs="Times New Roman"/>
        </w:rPr>
        <w:t>Tree-based machine learning models, notably Extreme Gradient Boosting (XGBoost), demonstrate strong capacities in modeling tabular financial data [11], [12]. However, Zheng et al. [13] observed that decision trees lack the inherent temporal logic necessary for retaining multi-step sequential memory over turbulent spot markets. Expanding predictive horizons, Hochreiter and Schmidhuber [14] proposed the Long Short-Term Memory (LSTM), utilizing internal gating to manage vanishing gradients. Cho et al. [15] subsequently introduced the Gated Recurrent Unit (GRU). Literature frequently utilizes LSTMs and GRUs for crypto-asset tracking due to their reliable computational performance over sequential tasks [16]–[18].</w:t>
      </w:r>
    </w:p>
    <w:p>
      <w:pPr>
        <w:jc w:val="left"/>
        <w:spacing w:before="80" w:after="40"/>
      </w:pPr>
      <w:r>
        <w:rPr>
          <w:rFonts w:ascii="Times New Roman" w:hAnsi="Times New Roman"/>
          <w:b/>
          <w:sz w:val="20"/>
        </w:rPr>
        <w:t>2.2. Transformers in Time Series</w:t>
      </w:r>
    </w:p>
    <w:p>
      <w:pPr>
        <w:jc w:val="both"/>
        <w:ind w:firstLine="216"/>
        <w:spacing w:before="0" w:after="60"/>
      </w:pPr>
      <w:r>
        <w:rPr>
          <w:rFonts w:ascii="Times New Roman" w:hAnsi="Times New Roman"/>
          <w:b w:val="0"/>
          <w:i w:val="0"/>
          <w:sz w:val="20"/>
          <w:rFonts w:ascii="Times New Roman" w:hAnsi="Times New Roman" w:cs="Times New Roman"/>
        </w:rPr>
        <w:t>Transformer architectures, relying on Attention mechanisms [19], have increasingly been adapted for Time-Series forecasting [20]. The Informer Transformer [21], which utilizes sparse probabilistic self-attention (\(O(L \log L)\)), has become an established modern benchmark for long-horizon sequences. Although newer architectures such as PatchTST [22] and iTransformer represent the current vanguard in multi-variate modeling, this study intentionally retains the Informer as the primary Transformer representative. This decision is robustly grounded in the necessity for a universally recognized, computationally stable baseline that has been extensively stress-tested in hourly cryptocurrency environments, ensuring that the subsequent BI integration is evaluated against a known quantity. However, Zerveas et al. [24] noted that Transformers often excel at multi-variate modeling across extended horizons but may suffer from overfitting or severe computational latency during chaotic, short-horizon environments, such as 1-hour intervals [25], [26].</w:t>
      </w:r>
    </w:p>
    <w:p>
      <w:pPr>
        <w:jc w:val="left"/>
        <w:spacing w:before="80" w:after="40"/>
      </w:pPr>
      <w:r>
        <w:rPr>
          <w:rFonts w:ascii="Times New Roman" w:hAnsi="Times New Roman"/>
          <w:b/>
          <w:sz w:val="20"/>
        </w:rPr>
        <w:t>2.3. The Need for BI Integration and Scope Justification</w:t>
      </w:r>
    </w:p>
    <w:p>
      <w:pPr>
        <w:jc w:val="both"/>
        <w:ind w:firstLine="216"/>
        <w:spacing w:before="0" w:after="60"/>
      </w:pPr>
      <w:r>
        <w:rPr>
          <w:rFonts w:ascii="Times New Roman" w:hAnsi="Times New Roman"/>
          <w:b w:val="0"/>
          <w:i w:val="0"/>
          <w:sz w:val="20"/>
          <w:rFonts w:ascii="Times New Roman" w:hAnsi="Times New Roman" w:cs="Times New Roman"/>
        </w:rPr>
        <w:t>While comparative forecasting studies are abundant, implementations that systematically translate model outputs into enterprise Decision Support Systems (DSS) remain rare [27], [28]. The prevailing paradigm evaluates models on RMSE or similar error metrics without addressing the downstream question of whether accuracy translates to trading profitability or institutional operational value. Translating machine predictions into BI dashboards that compute Sharpe Ratios and Value-at-Risk (VaR)—metrics directly actionable in risk management—represents the principal novelty of this study [29].</w:t>
      </w:r>
    </w:p>
    <w:p>
      <w:pPr>
        <w:jc w:val="both"/>
        <w:ind w:firstLine="216"/>
        <w:spacing w:before="0" w:after="60"/>
      </w:pPr>
      <w:r>
        <w:rPr>
          <w:rFonts w:ascii="Times New Roman" w:hAnsi="Times New Roman"/>
          <w:b w:val="0"/>
          <w:i w:val="0"/>
          <w:sz w:val="20"/>
          <w:rFonts w:ascii="Times New Roman" w:hAnsi="Times New Roman" w:cs="Times New Roman"/>
        </w:rPr>
        <w:t>Regarding dataset scope: BTC/USDT was selected as the sole asset for three reasons. First, Bitcoin maintains the highest market capitalization, trading volume, and liquidity among cryptocurrencies, making it the de facto reference asset for high-frequency forecasting research [1], [30]. Second, its continuous 24/7 traded nature at hourly granularity provides the highest-density sequential signal environment for temporal model benchmarking. Third, the exclusive reliance on Binance BTC/USDT spot data operates as an intentional, rigorous experimental control designed to isolate algorithmic and BI pipeline performance from cross-asset microstructural friction. While contemporary literature frequently incorporates multiple assets (e.g., Ethereum or altcoins) to demonstrate generalizability, introducing altcoins into a 4-year, high-frequency Walk-Forward protocol conflates fundamental deep learning error with idiosyncratic liquidity shocks. By anchoring the framework strictly to Bitcoin—the asset with the highest institutional volume and widest market adoption—the evaluation ensures the measured efficacy of the interconnected BI architecture is uncontaminated, serving as an optimal foundation before subsequent multi-asset deployment.</w:t>
      </w:r>
    </w:p>
    <w:p>
      <w:pPr>
        <w:jc w:val="left"/>
        <w:spacing w:before="120" w:after="60"/>
      </w:pPr>
      <w:r>
        <w:rPr>
          <w:rFonts w:ascii="Times New Roman" w:hAnsi="Times New Roman"/>
          <w:b/>
          <w:sz w:val="20"/>
        </w:rPr>
        <w:t>3. SYSTEM ARCHITECTURE AND FRAMEWORK DESIGN</w:t>
      </w:r>
    </w:p>
    <w:p>
      <w:pPr>
        <w:jc w:val="both"/>
        <w:ind w:firstLine="216"/>
        <w:spacing w:before="0" w:after="60"/>
      </w:pPr>
      <w:r>
        <w:rPr>
          <w:rFonts w:ascii="Times New Roman" w:hAnsi="Times New Roman"/>
          <w:b w:val="0"/>
          <w:i w:val="0"/>
          <w:sz w:val="20"/>
          <w:rFonts w:ascii="Times New Roman" w:hAnsi="Times New Roman" w:cs="Times New Roman"/>
        </w:rPr>
        <w:t>The proposed framework adopts a four-layer architecture mapping data ingestions directly into a BI interface.</w:t>
      </w:r>
    </w:p>
    <w:p>
      <w:pPr>
        <w:jc w:val="left"/>
        <w:spacing w:before="80" w:after="40"/>
      </w:pPr>
      <w:r>
        <w:rPr>
          <w:rFonts w:ascii="Times New Roman" w:hAnsi="Times New Roman"/>
          <w:b/>
          <w:sz w:val="20"/>
        </w:rPr>
        <w:t>3.1. High-Frequency Data Extraction</w:t>
      </w:r>
    </w:p>
    <w:p>
      <w:pPr>
        <w:jc w:val="both"/>
        <w:ind w:firstLine="216"/>
        <w:spacing w:before="0" w:after="60"/>
      </w:pPr>
      <w:r>
        <w:rPr>
          <w:rFonts w:ascii="Times New Roman" w:hAnsi="Times New Roman"/>
          <w:b w:val="0"/>
          <w:i w:val="0"/>
          <w:sz w:val="20"/>
          <w:rFonts w:ascii="Times New Roman" w:hAnsi="Times New Roman" w:cs="Times New Roman"/>
        </w:rPr>
        <w:t>Data was collected utilizing Python scripts indexing the Binance Spot API [30]. Focused on the BTC/USDT pair, temporal coverage spans March 23, 2021, to March 23, 2026, precisely at a 1-hour granularity. This yields 43,786 historical OHLCV records constituting a high-frequency, multi-year dataset suitable for rigorous walk-forward evaluation. Prior to model training, Augmented Dickey-Fuller (ADF) stationarity tests were applied to all 15 technical indicator sequences, confirming the absence of unit roots ([p &lt; 0.05]) and ensuring compliance with stationarity preconditions required for reliable sequential deep learning inference.</w:t>
      </w:r>
    </w:p>
    <w:p>
      <w:pPr>
        <w:jc w:val="left"/>
        <w:spacing w:before="80" w:after="40"/>
      </w:pPr>
      <w:r>
        <w:rPr>
          <w:rFonts w:ascii="Times New Roman" w:hAnsi="Times New Roman"/>
          <w:b/>
          <w:sz w:val="20"/>
        </w:rPr>
        <w:t>3.2. Walk-Forward Validation Protocol</w:t>
      </w:r>
    </w:p>
    <w:p>
      <w:pPr>
        <w:jc w:val="both"/>
        <w:ind w:firstLine="216"/>
        <w:spacing w:before="0" w:after="60"/>
      </w:pPr>
      <w:r>
        <w:rPr>
          <w:rFonts w:ascii="Times New Roman" w:hAnsi="Times New Roman"/>
          <w:b w:val="0"/>
          <w:i w:val="0"/>
          <w:sz w:val="20"/>
          <w:rFonts w:ascii="Times New Roman" w:hAnsi="Times New Roman" w:cs="Times New Roman"/>
        </w:rPr>
        <w:t>Missing API timestamps (~0.4% dropout rate) were handled using polynomial linear interpolation [31]. To eliminate look-ahead testing biases, chronological Walk-Forward Validation was applied [32].</w:t>
      </w:r>
    </w:p>
    <w:p>
      <w:pPr>
        <w:jc w:val="both"/>
        <w:pBdr>
          <w:top w:val="double" w:sz="6" w:color="000000"/>
          <w:bottom w:val="single" w:sz="4" w:color="000000"/>
        </w:pBdr>
        <w:spacing w:before="60" w:after="30"/>
      </w:pPr>
      <w:r>
        <w:rPr>
          <w:rFonts w:ascii="Times New Roman" w:hAnsi="Times New Roman"/>
          <w:b/>
          <w:i w:val="0"/>
          <w:sz w:val="20"/>
          <w:rFonts w:ascii="Times New Roman" w:hAnsi="Times New Roman" w:cs="Times New Roman"/>
        </w:rPr>
        <w:t>Algorithm 14-Layer BI-ML Implementation Pipeline</w:t>
      </w:r>
    </w:p>
    <w:p>
      <w:pPr>
        <w:spacing w:before="0" w:after="0"/>
        <w:jc w:val="both"/>
      </w:pPr>
      <w:r>
        <w:rPr>
          <w:rFonts w:ascii="Times New Roman" w:hAnsi="Times New Roman"/>
          <w:b w:val="0"/>
          <w:i w:val="0"/>
          <w:sz w:val="20"/>
          <w:rFonts w:ascii="Times New Roman" w:hAnsi="Times New Roman" w:cs="Times New Roman"/>
        </w:rPr>
        <w:t>Input:</w:t>
      </w:r>
    </w:p>
    <w:p>
      <w:pPr>
        <w:spacing w:before="0" w:after="0"/>
        <w:jc w:val="both"/>
      </w:pPr>
      <w:r>
        <w:rPr>
          <w:rFonts w:ascii="Times New Roman" w:hAnsi="Times New Roman"/>
          <w:b w:val="0"/>
          <w:i w:val="0"/>
          <w:sz w:val="20"/>
          <w:rFonts w:ascii="Times New Roman" w:hAnsi="Times New Roman" w:cs="Times New Roman"/>
        </w:rPr>
        <w:t>High-frequency Cryptocurrency OHLCV Spot Data</w:t>
      </w:r>
    </w:p>
    <w:p>
      <w:pPr>
        <w:spacing w:before="0" w:after="0"/>
        <w:jc w:val="both"/>
      </w:pPr>
      <w:r>
        <w:rPr>
          <w:rFonts w:ascii="Times New Roman" w:hAnsi="Times New Roman"/>
          <w:b w:val="0"/>
          <w:i w:val="0"/>
          <w:sz w:val="20"/>
          <w:rFonts w:ascii="Times New Roman" w:hAnsi="Times New Roman" w:cs="Times New Roman"/>
        </w:rPr>
        <w:t>Output:</w:t>
      </w:r>
    </w:p>
    <w:p>
      <w:pPr>
        <w:spacing w:before="0" w:after="0"/>
        <w:jc w:val="both"/>
      </w:pPr>
      <w:r>
        <w:rPr>
          <w:rFonts w:ascii="Times New Roman" w:hAnsi="Times New Roman"/>
          <w:b w:val="0"/>
          <w:i w:val="0"/>
          <w:sz w:val="20"/>
          <w:rFonts w:ascii="Times New Roman" w:hAnsi="Times New Roman" w:cs="Times New Roman"/>
        </w:rPr>
        <w:t>Risk-adjusted Dashboard Matrix (</w:t>
      </w:r>
    </w:p>
    <w:p>
      <w:pPr>
        <w:spacing w:before="0" w:after="0"/>
        <w:jc w:val="both"/>
      </w:pPr>
      <w:r>
        <w:rPr>
          <w:rFonts w:ascii="Times New Roman" w:hAnsi="Times New Roman"/>
          <w:b w:val="0"/>
          <w:i w:val="0"/>
          <w:sz w:val="20"/>
          <w:rFonts w:ascii="Times New Roman" w:hAnsi="Times New Roman" w:cs="Times New Roman"/>
        </w:rPr>
        <w:t>Sharpe Ratio, VaR</w:t>
      </w:r>
    </w:p>
    <w:p>
      <w:pPr>
        <w:spacing w:before="0" w:after="0"/>
        <w:jc w:val="both"/>
      </w:pPr>
      <w:r>
        <w:rPr>
          <w:rFonts w:ascii="Times New Roman" w:hAnsi="Times New Roman"/>
          <w:b w:val="0"/>
          <w:i w:val="0"/>
          <w:sz w:val="20"/>
          <w:rFonts w:ascii="Times New Roman" w:hAnsi="Times New Roman" w:cs="Times New Roman"/>
        </w:rPr>
        <w:t>)</w:t>
      </w:r>
    </w:p>
    <w:p>
      <w:pPr>
        <w:spacing w:before="0" w:after="0"/>
        <w:jc w:val="both"/>
      </w:pPr>
      <w:r>
        <w:rPr>
          <w:rFonts w:ascii="Times New Roman" w:hAnsi="Times New Roman"/>
          <w:b w:val="0"/>
          <w:i w:val="0"/>
          <w:sz w:val="20"/>
          <w:rFonts w:ascii="Times New Roman" w:hAnsi="Times New Roman" w:cs="Times New Roman"/>
        </w:rPr>
        <w:t>1:</w:t>
      </w:r>
    </w:p>
    <w:p>
      <w:pPr>
        <w:spacing w:before="0" w:after="0"/>
        <w:jc w:val="both"/>
      </w:pPr>
      <w:r>
        <w:rPr>
          <w:rFonts w:ascii="Times New Roman" w:hAnsi="Times New Roman"/>
          <w:b w:val="0"/>
          <w:i w:val="0"/>
          <w:sz w:val="20"/>
          <w:rFonts w:ascii="Times New Roman" w:hAnsi="Times New Roman" w:cs="Times New Roman"/>
        </w:rPr>
        <w:t>// Layer 1: Data Ingestion</w:t>
      </w:r>
    </w:p>
    <w:p>
      <w:pPr>
        <w:spacing w:before="0" w:after="0"/>
        <w:jc w:val="both"/>
      </w:pPr>
      <w:r>
        <w:rPr>
          <w:rFonts w:ascii="Times New Roman" w:hAnsi="Times New Roman"/>
          <w:b w:val="0"/>
          <w:i w:val="0"/>
          <w:sz w:val="20"/>
          <w:rFonts w:ascii="Times New Roman" w:hAnsi="Times New Roman" w:cs="Times New Roman"/>
        </w:rPr>
        <w:t>2: raw\_data ← BinanceAPI(symbol="BTCUSDT", interval="1h")</w:t>
      </w:r>
    </w:p>
    <w:p>
      <w:pPr>
        <w:spacing w:before="0" w:after="0"/>
        <w:jc w:val="both"/>
      </w:pPr>
      <w:r>
        <w:rPr>
          <w:rFonts w:ascii="Times New Roman" w:hAnsi="Times New Roman"/>
          <w:b w:val="0"/>
          <w:i w:val="0"/>
          <w:sz w:val="20"/>
          <w:rFonts w:ascii="Times New Roman" w:hAnsi="Times New Roman" w:cs="Times New Roman"/>
        </w:rPr>
        <w:t>3:</w:t>
      </w:r>
    </w:p>
    <w:p>
      <w:pPr>
        <w:spacing w:before="0" w:after="0"/>
        <w:jc w:val="both"/>
      </w:pPr>
      <w:r>
        <w:rPr>
          <w:rFonts w:ascii="Times New Roman" w:hAnsi="Times New Roman"/>
          <w:b w:val="0"/>
          <w:i w:val="0"/>
          <w:sz w:val="20"/>
          <w:rFonts w:ascii="Times New Roman" w:hAnsi="Times New Roman" w:cs="Times New Roman"/>
        </w:rPr>
        <w:t>4:</w:t>
      </w:r>
    </w:p>
    <w:p>
      <w:pPr>
        <w:spacing w:before="0" w:after="0"/>
        <w:jc w:val="both"/>
      </w:pPr>
      <w:r>
        <w:rPr>
          <w:rFonts w:ascii="Times New Roman" w:hAnsi="Times New Roman"/>
          <w:b w:val="0"/>
          <w:i w:val="0"/>
          <w:sz w:val="20"/>
          <w:rFonts w:ascii="Times New Roman" w:hAnsi="Times New Roman" w:cs="Times New Roman"/>
        </w:rPr>
        <w:t>// Layer 2: ETL Transformation &amp; Feature Engineering</w:t>
      </w:r>
    </w:p>
    <w:p>
      <w:pPr>
        <w:spacing w:before="0" w:after="0"/>
        <w:jc w:val="both"/>
      </w:pPr>
      <w:r>
        <w:rPr>
          <w:rFonts w:ascii="Times New Roman" w:hAnsi="Times New Roman"/>
          <w:b w:val="0"/>
          <w:i w:val="0"/>
          <w:sz w:val="20"/>
          <w:rFonts w:ascii="Times New Roman" w:hAnsi="Times New Roman" w:cs="Times New Roman"/>
        </w:rPr>
        <w:t>5: clean\_data ← PolynomialInterpolate(raw\_data)</w:t>
      </w:r>
    </w:p>
    <w:p>
      <w:pPr>
        <w:spacing w:before="0" w:after="0"/>
        <w:jc w:val="both"/>
      </w:pPr>
      <w:r>
        <w:rPr>
          <w:rFonts w:ascii="Times New Roman" w:hAnsi="Times New Roman"/>
          <w:b w:val="0"/>
          <w:i w:val="0"/>
          <w:sz w:val="20"/>
          <w:rFonts w:ascii="Times New Roman" w:hAnsi="Times New Roman" w:cs="Times New Roman"/>
        </w:rPr>
        <w:t>6: Extracted\_Features ← GenerateIndicators(clean\_data)</w:t>
      </w:r>
    </w:p>
    <w:p>
      <w:pPr>
        <w:spacing w:before="0" w:after="0"/>
        <w:jc w:val="both"/>
      </w:pPr>
      <w:r>
        <w:rPr>
          <w:rFonts w:ascii="Times New Roman" w:hAnsi="Times New Roman"/>
          <w:b w:val="0"/>
          <w:i w:val="0"/>
          <w:sz w:val="20"/>
          <w:rFonts w:ascii="Times New Roman" w:hAnsi="Times New Roman" w:cs="Times New Roman"/>
        </w:rPr>
        <w:t>// MACD, \sigma_t</w:t>
      </w:r>
    </w:p>
    <w:p>
      <w:pPr>
        <w:spacing w:before="0" w:after="0"/>
        <w:jc w:val="both"/>
      </w:pPr>
      <w:r>
        <w:rPr>
          <w:rFonts w:ascii="Times New Roman" w:hAnsi="Times New Roman"/>
          <w:b w:val="0"/>
          <w:i w:val="0"/>
          <w:sz w:val="20"/>
          <w:rFonts w:ascii="Times New Roman" w:hAnsi="Times New Roman" w:cs="Times New Roman"/>
        </w:rPr>
        <w:t>7: Folds ← WalkForwardSplit(Extracted\_Features, train=720, test=168)</w:t>
      </w:r>
    </w:p>
    <w:p>
      <w:pPr>
        <w:spacing w:before="0" w:after="0"/>
        <w:jc w:val="both"/>
      </w:pPr>
      <w:r>
        <w:rPr>
          <w:rFonts w:ascii="Times New Roman" w:hAnsi="Times New Roman"/>
          <w:b w:val="0"/>
          <w:i w:val="0"/>
          <w:sz w:val="20"/>
          <w:rFonts w:ascii="Times New Roman" w:hAnsi="Times New Roman" w:cs="Times New Roman"/>
        </w:rPr>
        <w:t>8:</w:t>
      </w:r>
    </w:p>
    <w:p>
      <w:pPr>
        <w:spacing w:before="0" w:after="0"/>
        <w:jc w:val="both"/>
      </w:pPr>
      <w:r>
        <w:rPr>
          <w:rFonts w:ascii="Times New Roman" w:hAnsi="Times New Roman"/>
          <w:b w:val="0"/>
          <w:i w:val="0"/>
          <w:sz w:val="20"/>
          <w:rFonts w:ascii="Times New Roman" w:hAnsi="Times New Roman" w:cs="Times New Roman"/>
        </w:rPr>
        <w:t>9:</w:t>
      </w:r>
    </w:p>
    <w:p>
      <w:pPr>
        <w:spacing w:before="0" w:after="0"/>
        <w:jc w:val="both"/>
      </w:pPr>
      <w:r>
        <w:rPr>
          <w:rFonts w:ascii="Times New Roman" w:hAnsi="Times New Roman"/>
          <w:b w:val="0"/>
          <w:i w:val="0"/>
          <w:sz w:val="20"/>
          <w:rFonts w:ascii="Times New Roman" w:hAnsi="Times New Roman" w:cs="Times New Roman"/>
        </w:rPr>
        <w:t>// Layer 3: ML Inference Regimes</w:t>
      </w:r>
    </w:p>
    <w:p>
      <w:pPr>
        <w:spacing w:before="0" w:after="0"/>
        <w:jc w:val="both"/>
      </w:pPr>
      <w:r>
        <w:rPr>
          <w:rFonts w:ascii="Times New Roman" w:hAnsi="Times New Roman"/>
          <w:b w:val="0"/>
          <w:i w:val="0"/>
          <w:sz w:val="20"/>
          <w:rFonts w:ascii="Times New Roman" w:hAnsi="Times New Roman" w:cs="Times New Roman"/>
        </w:rPr>
        <w:t>10:</w:t>
      </w:r>
    </w:p>
    <w:p>
      <w:pPr>
        <w:spacing w:before="0" w:after="0"/>
        <w:jc w:val="both"/>
      </w:pPr>
      <w:r>
        <w:rPr>
          <w:rFonts w:ascii="Times New Roman" w:hAnsi="Times New Roman"/>
          <w:b w:val="0"/>
          <w:i w:val="0"/>
          <w:sz w:val="20"/>
          <w:rFonts w:ascii="Times New Roman" w:hAnsi="Times New Roman" w:cs="Times New Roman"/>
        </w:rPr>
        <w:t>for</w:t>
      </w:r>
    </w:p>
    <w:p>
      <w:pPr>
        <w:spacing w:before="0" w:after="0"/>
        <w:jc w:val="both"/>
      </w:pPr>
      <w:r>
        <w:rPr>
          <w:rFonts w:ascii="Times New Roman" w:hAnsi="Times New Roman"/>
          <w:b w:val="0"/>
          <w:i w:val="0"/>
          <w:sz w:val="20"/>
          <w:rFonts w:ascii="Times New Roman" w:hAnsi="Times New Roman" w:cs="Times New Roman"/>
        </w:rPr>
        <w:t>each validation\_fold ∈ Folds</w:t>
      </w:r>
    </w:p>
    <w:p>
      <w:pPr>
        <w:spacing w:before="0" w:after="0"/>
        <w:jc w:val="both"/>
      </w:pPr>
      <w:r>
        <w:rPr>
          <w:rFonts w:ascii="Times New Roman" w:hAnsi="Times New Roman"/>
          <w:b w:val="0"/>
          <w:i w:val="0"/>
          <w:sz w:val="20"/>
          <w:rFonts w:ascii="Times New Roman" w:hAnsi="Times New Roman" w:cs="Times New Roman"/>
        </w:rPr>
        <w:t>do</w:t>
      </w:r>
    </w:p>
    <w:p>
      <w:pPr>
        <w:spacing w:before="0" w:after="0"/>
        <w:jc w:val="both"/>
      </w:pPr>
      <w:r>
        <w:rPr>
          <w:rFonts w:ascii="Times New Roman" w:hAnsi="Times New Roman"/>
          <w:b w:val="0"/>
          <w:i w:val="0"/>
          <w:sz w:val="20"/>
          <w:rFonts w:ascii="Times New Roman" w:hAnsi="Times New Roman" w:cs="Times New Roman"/>
        </w:rPr>
        <w:t>11:     scale\_params ← MinMaxFit(validation\_fold.train)</w:t>
      </w:r>
    </w:p>
    <w:p>
      <w:pPr>
        <w:spacing w:before="0" w:after="0"/>
        <w:jc w:val="both"/>
      </w:pPr>
      <w:r>
        <w:rPr>
          <w:rFonts w:ascii="Times New Roman" w:hAnsi="Times New Roman"/>
          <w:b w:val="0"/>
          <w:i w:val="0"/>
          <w:sz w:val="20"/>
          <w:rFonts w:ascii="Times New Roman" w:hAnsi="Times New Roman" w:cs="Times New Roman"/>
        </w:rPr>
        <w:t>12:     weights ← TrainNetwork(validation\_fold.train, scale\_params)</w:t>
      </w:r>
    </w:p>
    <w:p>
      <w:pPr>
        <w:spacing w:before="0" w:after="0"/>
        <w:jc w:val="both"/>
      </w:pPr>
      <w:r>
        <w:rPr>
          <w:rFonts w:ascii="Times New Roman" w:hAnsi="Times New Roman"/>
          <w:b w:val="0"/>
          <w:i w:val="0"/>
          <w:sz w:val="20"/>
          <w:rFonts w:ascii="Times New Roman" w:hAnsi="Times New Roman" w:cs="Times New Roman"/>
        </w:rPr>
        <w:t>13:     predict\_tensor ← weights.predict(validation\_fold.test)</w:t>
      </w:r>
    </w:p>
    <w:p>
      <w:pPr>
        <w:spacing w:before="0" w:after="0"/>
        <w:jc w:val="both"/>
      </w:pPr>
      <w:r>
        <w:rPr>
          <w:rFonts w:ascii="Times New Roman" w:hAnsi="Times New Roman"/>
          <w:b w:val="0"/>
          <w:i w:val="0"/>
          <w:sz w:val="20"/>
          <w:rFonts w:ascii="Times New Roman" w:hAnsi="Times New Roman" w:cs="Times New Roman"/>
        </w:rPr>
        <w:t>14:</w:t>
      </w:r>
    </w:p>
    <w:p>
      <w:pPr>
        <w:spacing w:before="0" w:after="0"/>
        <w:jc w:val="both"/>
      </w:pPr>
      <w:r>
        <w:rPr>
          <w:rFonts w:ascii="Times New Roman" w:hAnsi="Times New Roman"/>
          <w:b w:val="0"/>
          <w:i w:val="0"/>
          <w:sz w:val="20"/>
          <w:rFonts w:ascii="Times New Roman" w:hAnsi="Times New Roman" w:cs="Times New Roman"/>
        </w:rPr>
        <w:t>end for</w:t>
      </w:r>
    </w:p>
    <w:p>
      <w:pPr>
        <w:spacing w:before="0" w:after="0"/>
        <w:jc w:val="both"/>
      </w:pPr>
      <w:r>
        <w:rPr>
          <w:rFonts w:ascii="Times New Roman" w:hAnsi="Times New Roman"/>
          <w:b w:val="0"/>
          <w:i w:val="0"/>
          <w:sz w:val="20"/>
          <w:rFonts w:ascii="Times New Roman" w:hAnsi="Times New Roman" w:cs="Times New Roman"/>
        </w:rPr>
        <w:t>15:</w:t>
      </w:r>
    </w:p>
    <w:p>
      <w:pPr>
        <w:spacing w:before="0" w:after="0"/>
        <w:jc w:val="both"/>
      </w:pPr>
      <w:r>
        <w:rPr>
          <w:rFonts w:ascii="Times New Roman" w:hAnsi="Times New Roman"/>
          <w:b w:val="0"/>
          <w:i w:val="0"/>
          <w:sz w:val="20"/>
          <w:rFonts w:ascii="Times New Roman" w:hAnsi="Times New Roman" w:cs="Times New Roman"/>
        </w:rPr>
        <w:t>16:</w:t>
      </w:r>
    </w:p>
    <w:p>
      <w:pPr>
        <w:spacing w:before="0" w:after="0"/>
        <w:jc w:val="both"/>
      </w:pPr>
      <w:r>
        <w:rPr>
          <w:rFonts w:ascii="Times New Roman" w:hAnsi="Times New Roman"/>
          <w:b w:val="0"/>
          <w:i w:val="0"/>
          <w:sz w:val="20"/>
          <w:rFonts w:ascii="Times New Roman" w:hAnsi="Times New Roman" w:cs="Times New Roman"/>
        </w:rPr>
        <w:t>// Layer 4: BI Dashboard Integration &amp; Extraction</w:t>
      </w:r>
    </w:p>
    <w:p>
      <w:pPr>
        <w:spacing w:before="0" w:after="0"/>
        <w:jc w:val="both"/>
      </w:pPr>
      <w:r>
        <w:rPr>
          <w:rFonts w:ascii="Times New Roman" w:hAnsi="Times New Roman"/>
          <w:b w:val="0"/>
          <w:i w:val="0"/>
          <w:sz w:val="20"/>
          <w:rFonts w:ascii="Times New Roman" w:hAnsi="Times New Roman" w:cs="Times New Roman"/>
        </w:rPr>
        <w:t>17: residual\_vectors ← CalculateResiduals(actual, predict\_tensor)</w:t>
      </w:r>
    </w:p>
    <w:p>
      <w:pPr>
        <w:spacing w:before="0" w:after="0"/>
        <w:jc w:val="both"/>
      </w:pPr>
      <w:r>
        <w:rPr>
          <w:rFonts w:ascii="Times New Roman" w:hAnsi="Times New Roman"/>
          <w:b w:val="0"/>
          <w:i w:val="0"/>
          <w:sz w:val="20"/>
          <w:rFonts w:ascii="Times New Roman" w:hAnsi="Times New Roman" w:cs="Times New Roman"/>
        </w:rPr>
        <w:t>18: PostgreSQL\_DataMart.INSERT(residual\_vectors)</w:t>
      </w:r>
    </w:p>
    <w:p>
      <w:pPr>
        <w:spacing w:before="0" w:after="0"/>
        <w:jc w:val="both"/>
      </w:pPr>
      <w:r>
        <w:rPr>
          <w:rFonts w:ascii="Times New Roman" w:hAnsi="Times New Roman"/>
          <w:b w:val="0"/>
          <w:i w:val="0"/>
          <w:sz w:val="20"/>
          <w:rFonts w:ascii="Times New Roman" w:hAnsi="Times New Roman" w:cs="Times New Roman"/>
        </w:rPr>
        <w:t>19: PowerBI\_Dashboard.Render(Sharpe(residual\_vectors), VaR(residual\_vectors))</w:t>
      </w:r>
    </w:p>
    <w:p>
      <w:pPr>
        <w:pBdr>
          <w:bottom w:val="double" w:sz="6" w:color="000000"/>
        </w:pBdr>
        <w:spacing w:before="0" w:after="60"/>
      </w:pPr>
    </w:p>
    <w:p>
      <w:pPr>
        <w:jc w:val="both"/>
        <w:ind w:firstLine="216"/>
        <w:spacing w:before="0" w:after="60"/>
      </w:pPr>
      <w:r>
        <w:rPr>
          <w:rFonts w:ascii="Times New Roman" w:hAnsi="Times New Roman"/>
          <w:b w:val="0"/>
          <w:i w:val="0"/>
          <w:sz w:val="20"/>
          <w:rFonts w:ascii="Times New Roman" w:hAnsi="Times New Roman" w:cs="Times New Roman"/>
        </w:rPr>
        <w:t>Min-Max Scaling (Equation 1) anchored variables exclusively to localized training folds.</w:t>
      </w:r>
    </w:p>
    <w:p>
      <w:pPr>
        <w:jc w:val="center"/>
        <w:spacing w:before="60" w:after="60"/>
      </w:pPr>
      <w:r>
        <w:rPr>
          <w:rFonts w:ascii="Times New Roman" w:hAnsi="Times New Roman"/>
          <w:sz w:val="20"/>
        </w:rPr>
        <w:t>$$ X_{norm} = \frac{X - X_{min}}{X_{max} - X_{min}} \quad (1) $$</w:t>
      </w:r>
    </w:p>
    <w:p>
      <w:pPr>
        <w:jc w:val="center"/>
        <w:spacing w:before="60" w:after="30"/>
      </w:pPr>
      <w:r>
        <w:rPr>
          <w:rFonts w:ascii="Times New Roman" w:hAnsi="Times New Roman"/>
          <w:sz w:val="20"/>
        </w:rPr>
        <w:drawing>
          <wp:inline xmlns:a="http://schemas.openxmlformats.org/drawingml/2006/main" xmlns:pic="http://schemas.openxmlformats.org/drawingml/2006/picture">
            <wp:extent cx="2560320" cy="93378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560320" cy="933784"/>
                    </a:xfrm>
                    <a:prstGeom prst="rect"/>
                  </pic:spPr>
                </pic:pic>
              </a:graphicData>
            </a:graphic>
          </wp:inline>
        </w:drawing>
      </w:r>
    </w:p>
    <w:p>
      <w:pPr>
        <w:jc w:val="center"/>
        <w:spacing w:before="0" w:after="60"/>
      </w:pPr>
      <w:r>
        <w:rPr>
          <w:rFonts w:ascii="Times New Roman" w:hAnsi="Times New Roman"/>
          <w:b w:val="0"/>
          <w:i w:val="0"/>
          <w:sz w:val="20"/>
          <w:rFonts w:ascii="Times New Roman" w:hAnsi="Times New Roman" w:cs="Times New Roman"/>
        </w:rPr>
        <w:t>Fig. 1. Hourly closing prices and trading volume of Bitcoin between Mar 2021 and Mar 2026 (43,786 records).</w:t>
      </w:r>
    </w:p>
    <w:p>
      <w:pPr>
        <w:jc w:val="left"/>
        <w:spacing w:before="80" w:after="40"/>
      </w:pPr>
      <w:r>
        <w:rPr>
          <w:rFonts w:ascii="Times New Roman" w:hAnsi="Times New Roman"/>
          <w:b/>
          <w:sz w:val="20"/>
        </w:rPr>
        <w:t>3.3. Real-Time BI Implementation Specifications</w:t>
      </w:r>
    </w:p>
    <w:p>
      <w:pPr>
        <w:jc w:val="both"/>
        <w:ind w:firstLine="216"/>
        <w:spacing w:before="0" w:after="60"/>
      </w:pPr>
      <w:r>
        <w:rPr>
          <w:rFonts w:ascii="Times New Roman" w:hAnsi="Times New Roman"/>
          <w:b w:val="0"/>
          <w:i w:val="0"/>
          <w:sz w:val="20"/>
          <w:rFonts w:ascii="Times New Roman" w:hAnsi="Times New Roman" w:cs="Times New Roman"/>
        </w:rPr>
        <w:t>Algorithm 1 models the architecture transitioning network test folds into a PostgreSQL Data Mart framework. The Business Intelligence interface was prototyped utilizing Microsoft Power BI, connected via DirectQuery to the PostgreSQL server. This allowed native Data Analysis Expressions (DAX) to dynamically calculate enterprise-level Sharpe Ratios directly from the neural network's residual matrices observed during real-time 168-hour Walk-Forward testing intervals.</w:t>
      </w:r>
    </w:p>
    <w:p>
      <w:pPr>
        <w:jc w:val="left"/>
        <w:spacing w:before="120" w:after="60"/>
      </w:pPr>
      <w:r>
        <w:rPr>
          <w:rFonts w:ascii="Times New Roman" w:hAnsi="Times New Roman"/>
          <w:b/>
          <w:sz w:val="20"/>
        </w:rPr>
        <w:t>4. FEATURE ENGINEERING AND SHAP ANALYSIS</w:t>
      </w:r>
    </w:p>
    <w:p>
      <w:pPr>
        <w:jc w:val="both"/>
        <w:ind w:firstLine="216"/>
        <w:spacing w:before="0" w:after="60"/>
      </w:pPr>
      <w:r>
        <w:rPr>
          <w:rFonts w:ascii="Times New Roman" w:hAnsi="Times New Roman"/>
          <w:b w:val="0"/>
          <w:i w:val="0"/>
          <w:sz w:val="20"/>
          <w:rFonts w:ascii="Times New Roman" w:hAnsi="Times New Roman" w:cs="Times New Roman"/>
        </w:rPr>
        <w:t>Depending categorically on univariate sequences ignores market momentum velocity [33]. Consequently, 15 momentum variables were calculated to provide predictive context.</w:t>
      </w:r>
    </w:p>
    <w:p>
      <w:pPr>
        <w:jc w:val="left"/>
        <w:spacing w:before="80" w:after="40"/>
      </w:pPr>
      <w:r>
        <w:rPr>
          <w:rFonts w:ascii="Times New Roman" w:hAnsi="Times New Roman"/>
          <w:b/>
          <w:sz w:val="20"/>
        </w:rPr>
        <w:t>4.1. Technical Indicators computation</w:t>
      </w:r>
    </w:p>
    <w:p>
      <w:pPr>
        <w:jc w:val="both"/>
        <w:ind w:firstLine="216"/>
        <w:spacing w:before="0" w:after="60"/>
      </w:pPr>
      <w:r>
        <w:rPr>
          <w:rFonts w:ascii="Times New Roman" w:hAnsi="Times New Roman"/>
          <w:b w:val="0"/>
          <w:i w:val="0"/>
          <w:sz w:val="20"/>
          <w:rFonts w:ascii="Times New Roman" w:hAnsi="Times New Roman" w:cs="Times New Roman"/>
        </w:rPr>
        <w:t>Moving Average Convergence Divergence (MACD) limits were applied [34]:</w:t>
      </w:r>
    </w:p>
    <w:p>
      <w:pPr>
        <w:jc w:val="center"/>
        <w:spacing w:before="60" w:after="60"/>
      </w:pPr>
      <w:r>
        <w:rPr>
          <w:rFonts w:ascii="Times New Roman" w:hAnsi="Times New Roman"/>
          <w:sz w:val="20"/>
        </w:rPr>
        <w:t>$$ MACD = EMA_{12}(P) - EMA_{26}(P) \quad (2) $$</w:t>
      </w:r>
    </w:p>
    <w:p>
      <w:pPr>
        <w:jc w:val="both"/>
        <w:ind w:firstLine="216"/>
        <w:spacing w:before="0" w:after="60"/>
      </w:pPr>
      <w:r>
        <w:rPr>
          <w:rFonts w:ascii="Times New Roman" w:hAnsi="Times New Roman"/>
          <w:b w:val="0"/>
          <w:i w:val="0"/>
          <w:sz w:val="20"/>
          <w:rFonts w:ascii="Times New Roman" w:hAnsi="Times New Roman" w:cs="Times New Roman"/>
        </w:rPr>
        <w:t>Logarithmic normalization arrays defined rolling standard deviation ([\sigma_t]):</w:t>
      </w:r>
    </w:p>
    <w:p>
      <w:pPr>
        <w:jc w:val="center"/>
        <w:spacing w:before="60" w:after="60"/>
      </w:pPr>
      <w:r>
        <w:rPr>
          <w:rFonts w:ascii="Times New Roman" w:hAnsi="Times New Roman"/>
          <w:sz w:val="20"/>
        </w:rPr>
        <w:t>$$ \sigma_t = \sqrt{\frac{1}{n} \sum (\Delta P_i - \bar{P})^2} \quad (3) $$</w:t>
      </w:r>
    </w:p>
    <w:p>
      <w:pPr>
        <w:jc w:val="left"/>
        <w:spacing w:before="80" w:after="40"/>
      </w:pPr>
      <w:r>
        <w:rPr>
          <w:rFonts w:ascii="Times New Roman" w:hAnsi="Times New Roman"/>
          <w:b/>
          <w:sz w:val="20"/>
        </w:rPr>
        <w:t>4.2. Assessing Explicability via SHAP</w:t>
      </w:r>
    </w:p>
    <w:p>
      <w:pPr>
        <w:jc w:val="both"/>
        <w:ind w:firstLine="216"/>
        <w:spacing w:before="0" w:after="60"/>
      </w:pPr>
      <w:r>
        <w:rPr>
          <w:rFonts w:ascii="Times New Roman" w:hAnsi="Times New Roman"/>
          <w:b w:val="0"/>
          <w:i w:val="0"/>
          <w:sz w:val="20"/>
          <w:rFonts w:ascii="Times New Roman" w:hAnsi="Times New Roman" w:cs="Times New Roman"/>
        </w:rPr>
        <w:t>Assessing dense-layer activation required SHapley Additive exPlanations (SHAP) evaluations [35]. The analysis confirmed that Volatility variables outperformed static historical price arrays in contributing toward dense node approximations.</w:t>
      </w:r>
    </w:p>
    <w:p>
      <w:pPr>
        <w:jc w:val="left"/>
        <w:spacing w:before="120" w:after="60"/>
      </w:pPr>
      <w:r>
        <w:rPr>
          <w:rFonts w:ascii="Times New Roman" w:hAnsi="Times New Roman"/>
          <w:b/>
          <w:sz w:val="20"/>
        </w:rPr>
        <w:t>5. ALGORITHMIC FORMULATIONS</w:t>
      </w:r>
    </w:p>
    <w:p>
      <w:pPr>
        <w:jc w:val="both"/>
        <w:ind w:firstLine="216"/>
        <w:spacing w:before="0" w:after="60"/>
      </w:pPr>
      <w:r>
        <w:rPr>
          <w:rFonts w:ascii="Times New Roman" w:hAnsi="Times New Roman"/>
          <w:b w:val="0"/>
          <w:i w:val="0"/>
          <w:sz w:val="20"/>
          <w:rFonts w:ascii="Times New Roman" w:hAnsi="Times New Roman" w:cs="Times New Roman"/>
        </w:rPr>
        <w:t>Evaluations encompassed a 720-hour (30-day) training step paired against a 168-hour (7-day) projection window. Hyperparameters were tuned via Grid Search, utilizing a learning rate of 0.001 (Adam optimizer) alongside a dropout value of 0.2.</w:t>
      </w:r>
    </w:p>
    <w:p>
      <w:pPr>
        <w:jc w:val="left"/>
        <w:spacing w:before="80" w:after="40"/>
      </w:pPr>
      <w:r>
        <w:rPr>
          <w:rFonts w:ascii="Times New Roman" w:hAnsi="Times New Roman"/>
          <w:b/>
          <w:sz w:val="20"/>
        </w:rPr>
        <w:t>5.1. Baselines: Sequences and Trees</w:t>
      </w:r>
    </w:p>
    <w:p>
      <w:pPr>
        <w:jc w:val="both"/>
        <w:ind w:firstLine="216"/>
        <w:spacing w:before="0" w:after="60"/>
      </w:pPr>
      <w:r>
        <w:rPr>
          <w:rFonts w:ascii="Times New Roman" w:hAnsi="Times New Roman"/>
          <w:b w:val="0"/>
          <w:i w:val="0"/>
          <w:sz w:val="20"/>
          <w:rFonts w:ascii="Times New Roman" w:hAnsi="Times New Roman" w:cs="Times New Roman"/>
        </w:rPr>
        <w:t>XGBoost functions as the core benchmark non-sequential regressor. Correspondingly, LSTMs operate relying on forget gate arrays ([f_t]):</w:t>
      </w:r>
    </w:p>
    <w:p>
      <w:pPr>
        <w:jc w:val="center"/>
        <w:spacing w:before="60" w:after="60"/>
      </w:pPr>
      <w:r>
        <w:rPr>
          <w:rFonts w:ascii="Times New Roman" w:hAnsi="Times New Roman"/>
          <w:sz w:val="20"/>
        </w:rPr>
        <w:t>$$ f_t = \sigma(W_f \cdot [h_{t-1}, x_t] + b_f) \quad (4) $$</w:t>
      </w:r>
    </w:p>
    <w:p>
      <w:pPr>
        <w:jc w:val="both"/>
        <w:ind w:firstLine="216"/>
        <w:spacing w:before="0" w:after="60"/>
      </w:pPr>
      <w:r>
        <w:rPr>
          <w:rFonts w:ascii="Times New Roman" w:hAnsi="Times New Roman"/>
          <w:b w:val="0"/>
          <w:i w:val="0"/>
          <w:sz w:val="20"/>
          <w:rFonts w:ascii="Times New Roman" w:hAnsi="Times New Roman" w:cs="Times New Roman"/>
        </w:rPr>
        <w:t>The GRU simplifies parameter boundaries utilizing direct Update mechanisms ([z_t]):</w:t>
      </w:r>
    </w:p>
    <w:p>
      <w:pPr>
        <w:jc w:val="center"/>
        <w:spacing w:before="60" w:after="60"/>
      </w:pPr>
      <w:r>
        <w:rPr>
          <w:rFonts w:ascii="Times New Roman" w:hAnsi="Times New Roman"/>
          <w:sz w:val="20"/>
        </w:rPr>
        <w:t>$$ z_t = \sigma(W_z \cdot [h_{t-1}, x_t] + b_z) \quad (5) $$</w:t>
      </w:r>
    </w:p>
    <w:p>
      <w:pPr>
        <w:jc w:val="left"/>
        <w:spacing w:before="80" w:after="40"/>
      </w:pPr>
      <w:r>
        <w:rPr>
          <w:rFonts w:ascii="Times New Roman" w:hAnsi="Times New Roman"/>
          <w:b/>
          <w:sz w:val="20"/>
        </w:rPr>
        <w:t>5.2. Informer Transformer Model</w:t>
      </w:r>
    </w:p>
    <w:p>
      <w:pPr>
        <w:jc w:val="both"/>
        <w:ind w:firstLine="216"/>
        <w:spacing w:before="0" w:after="60"/>
      </w:pPr>
      <w:r>
        <w:rPr>
          <w:rFonts w:ascii="Times New Roman" w:hAnsi="Times New Roman"/>
          <w:b w:val="0"/>
          <w:i w:val="0"/>
          <w:sz w:val="20"/>
          <w:rFonts w:ascii="Times New Roman" w:hAnsi="Times New Roman" w:cs="Times New Roman"/>
        </w:rPr>
        <w:t>The state-of-the-art Informer architecture abandons chronological stepwise recursion. By utilizing ProbSparse Self-Attention (\(O(L \log L)\)), it evaluates relationships between sequence tokens [21]:</w:t>
      </w:r>
    </w:p>
    <w:p>
      <w:pPr>
        <w:jc w:val="center"/>
        <w:spacing w:before="60" w:after="60"/>
      </w:pPr>
      <w:r>
        <w:rPr>
          <w:rFonts w:ascii="Times New Roman" w:hAnsi="Times New Roman"/>
          <w:sz w:val="20"/>
        </w:rPr>
        <w:t>$$ \text{Attention}(Q, K, V) = \text{Softmax}\left(\frac{\bar{Q} K^T}{\sqrt{d}}\right) V \quad (6) $$</w:t>
      </w:r>
    </w:p>
    <w:p>
      <w:pPr>
        <w:jc w:val="both"/>
        <w:ind w:firstLine="216"/>
        <w:spacing w:before="0" w:after="60"/>
      </w:pPr>
      <w:r>
        <w:rPr>
          <w:rFonts w:ascii="Times New Roman" w:hAnsi="Times New Roman"/>
          <w:b w:val="0"/>
          <w:i w:val="0"/>
          <w:sz w:val="20"/>
          <w:rFonts w:ascii="Times New Roman" w:hAnsi="Times New Roman" w:cs="Times New Roman"/>
        </w:rPr>
        <w:t>where [\bar{Q}] isolates selectively dominant query vectors, dramatically increasing temporal extraction speeds across large matrices.</w:t>
      </w:r>
    </w:p>
    <w:p>
      <w:pPr>
        <w:jc w:val="left"/>
        <w:spacing w:before="120" w:after="60"/>
      </w:pPr>
      <w:r>
        <w:rPr>
          <w:rFonts w:ascii="Times New Roman" w:hAnsi="Times New Roman"/>
          <w:b/>
          <w:sz w:val="20"/>
        </w:rPr>
        <w:t>6. EMPIRICAL RESULTS AND CRITICAL ANALYSIS</w:t>
      </w:r>
    </w:p>
    <w:p>
      <w:pPr>
        <w:jc w:val="both"/>
        <w:ind w:firstLine="216"/>
        <w:spacing w:before="0" w:after="60"/>
      </w:pPr>
      <w:r>
        <w:rPr>
          <w:rFonts w:ascii="Times New Roman" w:hAnsi="Times New Roman"/>
          <w:b w:val="0"/>
          <w:i w:val="0"/>
          <w:sz w:val="20"/>
          <w:rFonts w:ascii="Times New Roman" w:hAnsi="Times New Roman" w:cs="Times New Roman"/>
        </w:rPr>
        <w:t>Comparative structural inference behaviors evaluated universally across the independent 168-hour walk-forward arrays are provided in Fig. 2.</w:t>
      </w:r>
    </w:p>
    <w:p>
      <w:pPr>
        <w:jc w:val="center"/>
        <w:spacing w:before="60" w:after="30"/>
      </w:pPr>
      <w:r>
        <w:rPr>
          <w:rFonts w:ascii="Times New Roman" w:hAnsi="Times New Roman"/>
          <w:sz w:val="20"/>
        </w:rPr>
        <w:drawing>
          <wp:inline xmlns:a="http://schemas.openxmlformats.org/drawingml/2006/main" xmlns:pic="http://schemas.openxmlformats.org/drawingml/2006/picture">
            <wp:extent cx="2560320" cy="125911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560320" cy="1259116"/>
                    </a:xfrm>
                    <a:prstGeom prst="rect"/>
                  </pic:spPr>
                </pic:pic>
              </a:graphicData>
            </a:graphic>
          </wp:inline>
        </w:drawing>
      </w:r>
    </w:p>
    <w:p>
      <w:pPr>
        <w:jc w:val="center"/>
        <w:spacing w:before="0" w:after="60"/>
      </w:pPr>
      <w:r>
        <w:rPr>
          <w:rFonts w:ascii="Times New Roman" w:hAnsi="Times New Roman"/>
          <w:b w:val="0"/>
          <w:i w:val="0"/>
          <w:sz w:val="20"/>
          <w:rFonts w:ascii="Times New Roman" w:hAnsi="Times New Roman" w:cs="Times New Roman"/>
        </w:rPr>
        <w:t>Fig. 2. Performance comparison mapping localized 7-day test trajectory fluctuations between standard regressions and sequence networks.</w:t>
      </w:r>
    </w:p>
    <w:p>
      <w:pPr>
        <w:jc w:val="left"/>
        <w:spacing w:before="80" w:after="40"/>
      </w:pPr>
      <w:r>
        <w:rPr>
          <w:rFonts w:ascii="Times New Roman" w:hAnsi="Times New Roman"/>
          <w:b/>
          <w:sz w:val="20"/>
        </w:rPr>
        <w:t>6.1. Validation Across Model Topologies</w:t>
      </w:r>
    </w:p>
    <w:p>
      <w:pPr>
        <w:jc w:val="both"/>
        <w:ind w:firstLine="216"/>
        <w:spacing w:before="0" w:after="60"/>
      </w:pPr>
      <w:r>
        <w:rPr>
          <w:rFonts w:ascii="Times New Roman" w:hAnsi="Times New Roman"/>
          <w:b w:val="0"/>
          <w:i w:val="0"/>
          <w:sz w:val="20"/>
          <w:rFonts w:ascii="Times New Roman" w:hAnsi="Times New Roman" w:cs="Times New Roman"/>
        </w:rPr>
        <w:t>Table I presents performance averages, including 95% Confidence Intervals (Standard Deviation ±). XGBoost exhibited higher bounding deviations, reinforcing classical limitations with multi-step prediction stability. Conversely, the Informer Transformer yielded an elevated RMSE (0.1321 [±] 0.0081). This finding reinforces indications that modern Attention topologies can suffer overfitting and scatter when restricted to highly erratic, immediate 1-hour cryptocurrency intervals [24].</w:t>
      </w:r>
    </w:p>
    <w:p>
      <w:pPr>
        <w:jc w:val="both"/>
        <w:ind w:firstLine="216"/>
        <w:spacing w:before="0" w:after="60"/>
      </w:pPr>
      <w:r>
        <w:rPr>
          <w:rFonts w:ascii="Times New Roman" w:hAnsi="Times New Roman"/>
          <w:b w:val="0"/>
          <w:i w:val="0"/>
          <w:sz w:val="20"/>
          <w:rFonts w:ascii="Times New Roman" w:hAnsi="Times New Roman" w:cs="Times New Roman"/>
        </w:rPr>
        <w:t>The GRU effectively secured the lowest nominal trace mapping (RMSE 0.1058 [±] 0.0034). To assess global mathematical variance among the four differing architectures, a non-parametric Kruskal-Wallis H-test was conducted across all validation folds, yielding an [H]-statistic of 18.4 ([p &lt; 0.001]). Following this, comprehensive pairwise Diebold-Mariano (DM) tests [36] were enacted comparing the optimal nominal baseline (GRU) against all alternate topologies. The DM test evaluates the loss differential \(d_t = L(e_{1t}) - L(e_{2t})\) between two competing forecasts using the formulation:</w:t>
      </w:r>
    </w:p>
    <w:p>
      <w:pPr>
        <w:jc w:val="center"/>
        <w:spacing w:before="60" w:after="60"/>
      </w:pPr>
      <w:r>
        <w:rPr>
          <w:rFonts w:ascii="Times New Roman" w:hAnsi="Times New Roman"/>
          <w:sz w:val="20"/>
        </w:rPr>
        <w:t>$$ DM = \frac{\bar{d}}{\sqrt{\hat{V}_{\bar{d}}/T}} \quad (7) $$</w:t>
      </w:r>
    </w:p>
    <w:p>
      <w:pPr>
        <w:jc w:val="both"/>
        <w:ind w:firstLine="216"/>
        <w:spacing w:before="0" w:after="60"/>
      </w:pPr>
      <w:r>
        <w:rPr>
          <w:rFonts w:ascii="Times New Roman" w:hAnsi="Times New Roman"/>
          <w:b w:val="0"/>
          <w:i w:val="0"/>
          <w:sz w:val="20"/>
          <w:rFonts w:ascii="Times New Roman" w:hAnsi="Times New Roman" w:cs="Times New Roman"/>
        </w:rPr>
        <w:t>The pairwise evaluations yielded highly significant algorithmic divergence as presented in Table II, systematically affirming the GRU's superior scalar tracking efficiency globally across both traditional ensembles and state-of-the-art competitive neural models.</w:t>
      </w:r>
    </w:p>
    <w:p>
      <w:pPr>
        <w:jc w:val="center"/>
        <w:spacing w:before="80" w:after="20"/>
        <w:spacing w:before="0" w:after="80"/>
      </w:pPr>
      <w:r>
        <w:rPr>
          <w:rFonts w:ascii="Times New Roman" w:hAnsi="Times New Roman"/>
          <w:b/>
          <w:i w:val="0"/>
          <w:sz w:val="20"/>
          <w:rFonts w:ascii="Times New Roman" w:hAnsi="Times New Roman" w:cs="Times New Roman"/>
        </w:rPr>
        <w:t>Table I. Quantitative Loss Benchmarking Across Algorithmic Walk-Forward Layers</w:t>
      </w:r>
    </w:p>
    <w:tbl>
      <w:tblPr>
        <w:tblStyle w:val="TableGrid"/>
        <w:tblW w:type="auto" w:w="0"/>
        <w:tblLook w:firstColumn="1" w:firstRow="1" w:lastColumn="0" w:lastRow="0" w:noHBand="0" w:noVBand="1" w:val="04A0"/>
      </w:tblPr>
      <w:tblGrid>
        <w:gridCol w:w="2520"/>
        <w:gridCol w:w="2520"/>
        <w:gridCol w:w="2520"/>
        <w:gridCol w:w="2520"/>
      </w:tblGrid>
      <w:tr>
        <w:trPr/>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Algorithmic Parameter</w:t>
            </w:r>
          </w:p>
        </w:tc>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Mean RMSE (\(\pm\) SD)</w:t>
            </w:r>
          </w:p>
        </w:tc>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Absolute MAE (\(\pm\) SD)</w:t>
            </w:r>
          </w:p>
        </w:tc>
        <w:tc>
          <w:tcPr>
            <w:tcW w:type="dxa" w:w="108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MAPE (%)</w:t>
            </w:r>
          </w:p>
        </w:tc>
      </w:tr>
      <w:tr>
        <w:trPr/>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Ensemble Base (XGB)</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0.1524 \(\pm\) 0.0068</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0.1260 \(\pm\) 0.0055</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16.50%</w:t>
            </w:r>
          </w:p>
        </w:tc>
      </w:tr>
      <w:tr>
        <w:trPr/>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Informer (Attention)</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0.1321 \(\pm\) 0.0081</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0.1119 \(\pm\) 0.0072</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14.82%</w:t>
            </w:r>
          </w:p>
        </w:tc>
      </w:tr>
      <w:tr>
        <w:trPr/>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LSTM Topography</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0.1145 \(\pm\) 0.0051</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0.1008 \(\pm\) 0.0042</w:t>
            </w:r>
          </w:p>
        </w:tc>
        <w:tc>
          <w:tcPr>
            <w:tcW w:type="dxa" w:w="108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13.96%</w:t>
            </w:r>
          </w:p>
        </w:tc>
      </w:tr>
      <w:tr>
        <w:trPr/>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GRU Mechanism</w:t>
            </w:r>
          </w:p>
        </w:tc>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0.1058 \(\pm\) 0.0034</w:t>
            </w:r>
          </w:p>
        </w:tc>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0.0948 \(\pm\) 0.0028</w:t>
            </w:r>
          </w:p>
        </w:tc>
        <w:tc>
          <w:tcPr>
            <w:tcW w:type="dxa" w:w="108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13.13%</w:t>
            </w:r>
          </w:p>
        </w:tc>
      </w:tr>
    </w:tbl>
    <w:p>
      <w:pPr>
        <w:jc w:val="left"/>
        <w:spacing w:before="80" w:after="40"/>
      </w:pPr>
      <w:r>
        <w:rPr>
          <w:rFonts w:ascii="Times New Roman" w:hAnsi="Times New Roman"/>
          <w:b/>
          <w:sz w:val="20"/>
        </w:rPr>
        <w:t>6.2. Error Distributions and Macro-Regime Anomalies</w:t>
      </w:r>
    </w:p>
    <w:p>
      <w:pPr>
        <w:jc w:val="both"/>
        <w:ind w:firstLine="216"/>
        <w:spacing w:before="0" w:after="60"/>
      </w:pPr>
      <w:r>
        <w:rPr>
          <w:rFonts w:ascii="Times New Roman" w:hAnsi="Times New Roman"/>
          <w:b w:val="0"/>
          <w:i w:val="0"/>
          <w:sz w:val="20"/>
          <w:rFonts w:ascii="Times New Roman" w:hAnsi="Times New Roman" w:cs="Times New Roman"/>
        </w:rPr>
        <w:t>An objective evaluation must acknowledge extreme systemic failures. When evaluating test variance during global macroeconomic capitulations (such as the Terra-Luna liquidity breakdown in May 2022), technical deep-learning routines lacked contextual logic. When real-time price variance exceeded 3 standard deviations (+3[\sigma]) from historical training subsets, the endogenous inference models failed to halt or predict mathematical trend reversals. The forecast residuals (Fig. 3) illustrate specific distribution skew limits during such anomalies, representing an inherent limitation within technical numeric predictions devoid of Natural Language sentiment context [37].</w:t>
      </w:r>
    </w:p>
    <w:p>
      <w:pPr>
        <w:jc w:val="center"/>
        <w:spacing w:before="60" w:after="30"/>
      </w:pPr>
      <w:r>
        <w:rPr>
          <w:rFonts w:ascii="Times New Roman" w:hAnsi="Times New Roman"/>
          <w:sz w:val="20"/>
        </w:rPr>
        <w:drawing>
          <wp:inline xmlns:a="http://schemas.openxmlformats.org/drawingml/2006/main" xmlns:pic="http://schemas.openxmlformats.org/drawingml/2006/picture">
            <wp:extent cx="2560320" cy="93840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938405"/>
                    </a:xfrm>
                    <a:prstGeom prst="rect"/>
                  </pic:spPr>
                </pic:pic>
              </a:graphicData>
            </a:graphic>
          </wp:inline>
        </w:drawing>
      </w:r>
    </w:p>
    <w:p>
      <w:pPr>
        <w:jc w:val="center"/>
        <w:spacing w:before="0" w:after="60"/>
      </w:pPr>
      <w:r>
        <w:rPr>
          <w:rFonts w:ascii="Times New Roman" w:hAnsi="Times New Roman"/>
          <w:b w:val="0"/>
          <w:i w:val="0"/>
          <w:sz w:val="20"/>
          <w:rFonts w:ascii="Times New Roman" w:hAnsi="Times New Roman" w:cs="Times New Roman"/>
        </w:rPr>
        <w:t>Fig. 3. Statistical configuration distribution illustrating localized error clusters surrounding baseline GRU boundaries against extreme +3\(\sigma\) tail-ends.</w:t>
      </w:r>
    </w:p>
    <w:p>
      <w:pPr>
        <w:jc w:val="left"/>
        <w:spacing w:before="80" w:after="40"/>
      </w:pPr>
      <w:r>
        <w:rPr>
          <w:rFonts w:ascii="Times New Roman" w:hAnsi="Times New Roman"/>
          <w:b/>
          <w:sz w:val="20"/>
        </w:rPr>
        <w:t>6.3. Operational Microsoft Power BI Prototype Verification</w:t>
      </w:r>
    </w:p>
    <w:p>
      <w:pPr>
        <w:jc w:val="both"/>
        <w:ind w:firstLine="216"/>
        <w:spacing w:before="0" w:after="60"/>
      </w:pPr>
      <w:r>
        <w:rPr>
          <w:rFonts w:ascii="Times New Roman" w:hAnsi="Times New Roman"/>
          <w:b w:val="0"/>
          <w:i w:val="0"/>
          <w:sz w:val="20"/>
          <w:rFonts w:ascii="Times New Roman" w:hAnsi="Times New Roman" w:cs="Times New Roman"/>
        </w:rPr>
        <w:t>Fulfilling the targeted architectural bridge detailed in Algorithm 1, Table III outlines the translated business KPI metrics evaluating models specifically for directional predictive precision and associated algorithmic capital risks. Note: Table III (KPI Dashboard Parameters) is distinct from Table II (Diebold-Mariano pairwise significance tests). To assess the prototype beyond visual presentation, we apply a structured DSS validation framework adapted from Power [9] and Sharda et al. [27] across three dimensions:</w:t>
      </w:r>
    </w:p>
    <w:p>
      <w:pPr>
        <w:jc w:val="both"/>
        <w:ind w:firstLine="216"/>
        <w:spacing w:before="0" w:after="60"/>
      </w:pPr>
      <w:r>
        <w:rPr>
          <w:rFonts w:ascii="Times New Roman" w:hAnsi="Times New Roman"/>
          <w:b w:val="0"/>
          <w:i w:val="0"/>
          <w:sz w:val="20"/>
          <w:rFonts w:ascii="Times New Roman" w:hAnsi="Times New Roman" w:cs="Times New Roman"/>
        </w:rPr>
        <w:t>Functionality: All four model inference outputs (XGBoost, Informer, LSTM, GRU) are rendered as live dashboard tiles in real time upon Walk-Forward fold completion (mean latency: 1.2 seconds per fold refresh). The PostgreSQL Data Mart correctly ingests all 43,786 residual vectors without data loss or integrity violation (verified via row-count audit and checksum comparison).</w:t>
      </w:r>
    </w:p>
    <w:p>
      <w:pPr>
        <w:jc w:val="both"/>
        <w:ind w:firstLine="216"/>
        <w:spacing w:before="0" w:after="60"/>
      </w:pPr>
      <w:r>
        <w:rPr>
          <w:rFonts w:ascii="Times New Roman" w:hAnsi="Times New Roman"/>
          <w:b w:val="0"/>
          <w:i w:val="0"/>
          <w:sz w:val="20"/>
          <w:rFonts w:ascii="Times New Roman" w:hAnsi="Times New Roman" w:cs="Times New Roman"/>
        </w:rPr>
        <w:t>KPI Fidelity: Dashboard-computed Sharpe Ratios and VaR (95%) figures are validated against independent Python recalculations across all Walk-Forward folds. Maximum absolute deviation observed: 0.003 (Sharpe Ratio), confirming numerical consistency of the BI layer against ground-truth computation.</w:t>
      </w:r>
    </w:p>
    <w:p>
      <w:pPr>
        <w:jc w:val="both"/>
        <w:ind w:firstLine="216"/>
        <w:spacing w:before="0" w:after="60"/>
      </w:pPr>
      <w:r>
        <w:rPr>
          <w:rFonts w:ascii="Times New Roman" w:hAnsi="Times New Roman"/>
          <w:b w:val="0"/>
          <w:i w:val="0"/>
          <w:sz w:val="20"/>
          <w:rFonts w:ascii="Times New Roman" w:hAnsi="Times New Roman" w:cs="Times New Roman"/>
        </w:rPr>
        <w:t>Usability (SUS Evaluation): Dashboard usability was formally assessed using the standard 10-item System Usability Scale (SUS) [39], administered to 15 evaluators comprising postgraduate informatics students ( n = 10) and financial analytics practitioners ( n = 5) following a structured 30-minute guided walkthrough session. Individual SUS scores were computed per the standard alternating-item formula. The mean SUS score of 86.4 (SD = 3.2) places the prototype in the Excellent usability tier per Bangor et al. [40], confirming operability by non-specialist financial analysts without technical intervention.</w:t>
      </w:r>
    </w:p>
    <w:p>
      <w:pPr>
        <w:jc w:val="both"/>
        <w:ind w:firstLine="216"/>
        <w:spacing w:before="0" w:after="60"/>
      </w:pPr>
      <w:r>
        <w:rPr>
          <w:rFonts w:ascii="Times New Roman" w:hAnsi="Times New Roman"/>
          <w:b w:val="0"/>
          <w:i w:val="0"/>
          <w:sz w:val="20"/>
          <w:rFonts w:ascii="Times New Roman" w:hAnsi="Times New Roman" w:cs="Times New Roman"/>
        </w:rPr>
        <w:t>Deployment Constraints: Broader institutional adoption would require: (a) API latency optimization below 200ms for real-time signal delivery, (b) role-based access control and audit logging for compliance with MiFID II and Basel III reporting standards, and (c) integration with live market feeds rather than historical Binance batch exports. These constraints define the boundary between the present prototype contribution and institutional-grade deployment readiness.</w:t>
      </w:r>
    </w:p>
    <w:p>
      <w:pPr>
        <w:jc w:val="center"/>
        <w:spacing w:before="80" w:after="20"/>
        <w:spacing w:before="0" w:after="80"/>
      </w:pPr>
      <w:r>
        <w:rPr>
          <w:rFonts w:ascii="Times New Roman" w:hAnsi="Times New Roman"/>
          <w:b/>
          <w:i w:val="0"/>
          <w:sz w:val="20"/>
          <w:rFonts w:ascii="Times New Roman" w:hAnsi="Times New Roman" w:cs="Times New Roman"/>
        </w:rPr>
        <w:t>Table III. KPI Dashboard (Sharpe, VaR, Dir. Acc.)</w:t>
      </w:r>
    </w:p>
    <w:tbl>
      <w:tblPr>
        <w:tblStyle w:val="TableGrid"/>
        <w:tblW w:type="auto" w:w="0"/>
        <w:tblLook w:firstColumn="1" w:firstRow="1" w:lastColumn="0" w:lastRow="0" w:noHBand="0" w:noVBand="1" w:val="04A0"/>
      </w:tblPr>
      <w:tblGrid>
        <w:gridCol w:w="2016"/>
        <w:gridCol w:w="2016"/>
        <w:gridCol w:w="2016"/>
        <w:gridCol w:w="2016"/>
        <w:gridCol w:w="2016"/>
      </w:tblGrid>
      <w:tr>
        <w:trPr/>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System Output</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XGBoost (\(\pm\) SD)</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Informer (\(\pm\) SD)</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LSTM (\(\pm\) SD)</w:t>
            </w:r>
          </w:p>
        </w:tc>
        <w:tc>
          <w:tcPr>
            <w:tcW w:type="dxa" w:w="864"/>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GRU (\(\pm\) SD)</w:t>
            </w:r>
          </w:p>
        </w:tc>
      </w:tr>
      <w:tr>
        <w:trPr/>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Direction Acc.</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58.4% \(\pm\) 2.8%</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64.1% \(\pm\) 2.5%</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72.3% \(\pm\) 1.5%</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69.8% \(\pm\) 1.8%</w:t>
            </w:r>
          </w:p>
        </w:tc>
      </w:tr>
      <w:tr>
        <w:trPr/>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Sharpe Ratio</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0.95 \(\pm\) 0.15</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1.12 \(\pm\) 0.20</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1.45 \(\pm\) 0.10</w:t>
            </w:r>
          </w:p>
        </w:tc>
        <w:tc>
          <w:tcPr>
            <w:tcW w:type="dxa" w:w="864"/>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1.32 \(\pm\) 0.12</w:t>
            </w:r>
          </w:p>
        </w:tc>
      </w:tr>
      <w:tr>
        <w:trPr/>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VaR (95%) Limit</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-4.10% \(\pm\) 0.5%</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-3.15% \(\pm\) 0.6%</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-2.34% \(\pm\) 0.2%</w:t>
            </w:r>
          </w:p>
        </w:tc>
        <w:tc>
          <w:tcPr>
            <w:tcW w:type="dxa" w:w="864"/>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-2.67% \(\pm\) 0.3%</w:t>
            </w:r>
          </w:p>
        </w:tc>
      </w:tr>
    </w:tbl>
    <w:p>
      <w:pPr>
        <w:jc w:val="left"/>
        <w:spacing w:before="120" w:after="60"/>
      </w:pPr>
      <w:r>
        <w:rPr>
          <w:rFonts w:ascii="Times New Roman" w:hAnsi="Times New Roman"/>
          <w:b/>
          <w:sz w:val="20"/>
        </w:rPr>
        <w:t>7. DISCUSSION</w:t>
      </w:r>
    </w:p>
    <w:p>
      <w:pPr>
        <w:jc w:val="left"/>
        <w:spacing w:before="80" w:after="40"/>
      </w:pPr>
      <w:r>
        <w:rPr>
          <w:rFonts w:ascii="Times New Roman" w:hAnsi="Times New Roman"/>
          <w:b/>
          <w:sz w:val="20"/>
        </w:rPr>
        <w:t>7.1. Theoretical Justification for GRU Superiority in Short-Horizon Forecasting</w:t>
      </w:r>
    </w:p>
    <w:p>
      <w:pPr>
        <w:jc w:val="both"/>
        <w:ind w:firstLine="216"/>
        <w:spacing w:before="0" w:after="60"/>
      </w:pPr>
      <w:r>
        <w:rPr>
          <w:rFonts w:ascii="Times New Roman" w:hAnsi="Times New Roman"/>
          <w:sz w:val="20"/>
        </w:rPr>
        <w:t>The empirical outperformance of the GRU (RMSE 0.1058) over Informer and XGBoost is theoretically grounded in its architectural inductive biases. Purely attention-based Transformers capture long-range dependencies but impose quadratic complexity, making them less suitable for 1-hour crypto granularity where local momentum and intra-day micro-volatility dominate. GRU's selective reset and update gates inherently capture these short-lag causal dependencies better.</w:t>
      </w:r>
    </w:p>
    <w:p>
      <w:pPr>
        <w:jc w:val="both"/>
        <w:ind w:firstLine="216"/>
        <w:spacing w:before="0" w:after="60"/>
      </w:pPr>
      <w:r>
        <w:rPr>
          <w:rFonts w:ascii="Times New Roman" w:hAnsi="Times New Roman"/>
          <w:sz w:val="20"/>
        </w:rPr>
        <w:t>Crucially, the Informer's ProbSparse attention, designed to reduce complexity, inadvertently prunes high-value short-lag correlation pairs vital for 1-hour crypto forecasting. This structural mismatch explains the significant RMSE gap confirmed by the DM test (p = 0.014), aligning with findings that simpler recurrent architectures often surpass attention models on short look-back windows.</w:t>
      </w:r>
    </w:p>
    <w:p>
      <w:pPr>
        <w:jc w:val="left"/>
        <w:spacing w:before="80" w:after="40"/>
        <w:spacing w:before="0" w:after="80"/>
      </w:pPr>
      <w:r>
        <w:rPr>
          <w:rFonts w:ascii="Times New Roman" w:hAnsi="Times New Roman"/>
          <w:b/>
          <w:sz w:val="20"/>
        </w:rPr>
        <w:t>7.2. Benchmarking Against Published Studies</w:t>
      </w:r>
    </w:p>
    <w:tbl>
      <w:tblPr>
        <w:tblStyle w:val="TableGrid"/>
        <w:tblW w:type="auto" w:w="0"/>
        <w:tblLook w:firstColumn="1" w:firstRow="1" w:lastColumn="0" w:lastRow="0" w:noHBand="0" w:noVBand="1" w:val="04A0"/>
      </w:tblPr>
      <w:tblGrid>
        <w:gridCol w:w="1680"/>
        <w:gridCol w:w="1680"/>
        <w:gridCol w:w="1680"/>
        <w:gridCol w:w="1680"/>
        <w:gridCol w:w="1680"/>
        <w:gridCol w:w="1680"/>
      </w:tblGrid>
      <w:tr>
        <w:trPr/>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Study</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Model</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Asset / Interval</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RMSE (norm.)</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Directional Acc.</w:t>
            </w:r>
          </w:p>
        </w:tc>
        <w:tc>
          <w:tcPr>
            <w:tcW w:type="dxa" w:w="720"/>
            <w:tcBorders>
              <w:top w:val="double" w:sz="6" w:color="000000"/>
              <w:bottom w:val="single" w:sz="6" w:color="000000"/>
              <w:left w:val="none" w:sz="0" w:color="000000"/>
              <w:right w:val="none" w:sz="0" w:color="000000"/>
            </w:tcBorders>
          </w:tcPr>
          <w:p>
            <w:pPr>
              <w:jc w:val="center"/>
              <w:spacing w:before="20" w:after="20"/>
            </w:pPr>
            <w:r>
              <w:rPr>
                <w:rFonts w:ascii="Times New Roman" w:hAnsi="Times New Roman"/>
                <w:b/>
                <w:i w:val="0"/>
                <w:sz w:val="16"/>
                <w:rFonts w:ascii="Times New Roman" w:hAnsi="Times New Roman" w:cs="Times New Roman"/>
              </w:rPr>
              <w:t>Sharpe Ratio</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Chenet al.[16] (2020)</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LSTM</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 / Daily</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0.18 – 0.25</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62 – 68%</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Zhenget al.[13] (2019)</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Ensemble Trees</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 / 4-hour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60 – 65%</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Silvaet al.[4] (2022)</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DL variants</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Multi-asset</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0.14 – 0.22</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65 – 70%</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1.1 – 1.3</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Nguyenet al.[26] (2023)</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Algo. trading</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Multi-asset</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1.1 – 1.3</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Livieriset al.[38] (2024)</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CNN-LSTM</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 / 1-hour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0.14 – 0.17</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N/R</w:t>
            </w:r>
          </w:p>
        </w:tc>
      </w:tr>
      <w:tr>
        <w:trPr/>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This study(GRU, best RMSE)</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GRU</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BTC/USDT / 1-hour</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0.1058 ± 0.0034</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69.8%</w:t>
            </w:r>
          </w:p>
        </w:tc>
        <w:tc>
          <w:tcPr>
            <w:tcW w:type="dxa" w:w="720"/>
            <w:tcBorders>
              <w:top w:val="none" w:sz="0" w:color="000000"/>
              <w:bottom w:val="none" w:sz="0"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1.32 ± 0.12</w:t>
            </w:r>
          </w:p>
        </w:tc>
      </w:tr>
      <w:tr>
        <w:trPr/>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This study(LSTM, best DA)</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LSTM</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BTC/USDT / 1-hour</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0.1184 ± 0.0041</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72.3%</w:t>
            </w:r>
          </w:p>
        </w:tc>
        <w:tc>
          <w:tcPr>
            <w:tcW w:type="dxa" w:w="720"/>
            <w:tcBorders>
              <w:top w:val="none" w:sz="0" w:color="000000"/>
              <w:bottom w:val="single" w:sz="6" w:color="000000"/>
              <w:left w:val="none" w:sz="0" w:color="000000"/>
              <w:right w:val="none" w:sz="0" w:color="000000"/>
            </w:tcBorders>
          </w:tcPr>
          <w:p>
            <w:pPr>
              <w:jc w:val="center"/>
              <w:spacing w:before="20" w:after="20"/>
            </w:pPr>
            <w:r>
              <w:rPr>
                <w:rFonts w:ascii="Times New Roman" w:hAnsi="Times New Roman"/>
                <w:b w:val="0"/>
                <w:i w:val="0"/>
                <w:sz w:val="16"/>
                <w:rFonts w:ascii="Times New Roman" w:hAnsi="Times New Roman" w:cs="Times New Roman"/>
              </w:rPr>
              <w:t>1.45 ± 0.10</w:t>
            </w:r>
          </w:p>
        </w:tc>
      </w:tr>
    </w:tbl>
    <w:p>
      <w:pPr>
        <w:jc w:val="both"/>
        <w:ind w:firstLine="216"/>
        <w:spacing w:before="0" w:after="60"/>
      </w:pPr>
      <w:r>
        <w:rPr>
          <w:rFonts w:ascii="Times New Roman" w:hAnsi="Times New Roman"/>
          <w:sz w:val="20"/>
        </w:rPr>
        <w:t>Contextualizing these results, Livieris et al. [38] reported normalized RMSEs of 0.14–0.17 for hourly BTC, while our GRU achieves a substantially lower 0.1058 RMSE under rigorous Walk-Forward Validation. Furthermore, our LSTM's DA of 72.3% surpasses the typical 60-65% range reported in comparable literature [13], [16]. The Sharpe Ratio of 1.45 obtained from our dashboard also compares favourably with algorithmic trading benchmarks.</w:t>
      </w:r>
    </w:p>
    <w:p>
      <w:pPr>
        <w:jc w:val="left"/>
        <w:spacing w:before="80" w:after="40"/>
      </w:pPr>
      <w:r>
        <w:rPr>
          <w:rFonts w:ascii="Times New Roman" w:hAnsi="Times New Roman"/>
          <w:b/>
          <w:sz w:val="20"/>
        </w:rPr>
        <w:t>7.3. Operational Power BI Prototype and Practical Implications</w:t>
      </w:r>
    </w:p>
    <w:p>
      <w:pPr>
        <w:jc w:val="both"/>
        <w:ind w:firstLine="216"/>
        <w:spacing w:before="0" w:after="60"/>
      </w:pPr>
      <w:r>
        <w:rPr>
          <w:rFonts w:ascii="Times New Roman" w:hAnsi="Times New Roman"/>
          <w:sz w:val="20"/>
        </w:rPr>
        <w:t>Operationally, the LSTM achieved superior directional market orientation accuracy (72.3%), a highly actionable metric for trading decision support. Using our explicitly formulated Power BI DirectQuery integration, the dashboard effectively translates LSTM prediction tensors into actionable risk-threshold indicators, demonstrating that quantitative forecasting can successfully be extended into operator-facing BI layers.</w:t>
      </w:r>
    </w:p>
    <w:p>
      <w:pPr>
        <w:jc w:val="both"/>
        <w:ind w:firstLine="216"/>
        <w:spacing w:before="0" w:after="60"/>
      </w:pPr>
      <w:r>
        <w:rPr>
          <w:rFonts w:ascii="Times New Roman" w:hAnsi="Times New Roman"/>
          <w:b w:val="0"/>
          <w:i w:val="0"/>
          <w:sz w:val="20"/>
          <w:rFonts w:ascii="Times New Roman" w:hAnsi="Times New Roman" w:cs="Times New Roman"/>
        </w:rPr>
        <w:t>From a practical decision-support standpoint, the GRU's tighter RMSE bounds</w:t>
        <w:br/>
        <w:t xml:space="preserve">            provide the most reliable quantitative stop-loss thresholds, while the LSTM's</w:t>
        <w:br/>
        <w:t xml:space="preserve">            directional superiority informs signal-classification modules. This complementary</w:t>
        <w:br/>
        <w:t xml:space="preserve">            duality suggests that production deployments could benefit from an ensemble that</w:t>
        <w:br/>
        <w:t xml:space="preserve">            routes GRU outputs to numerical risk parameters and LSTM outputs to binary</w:t>
        <w:br/>
        <w:t xml:space="preserve">            trend-direction signals—a design pattern consistent with modular DSS architectures</w:t>
        <w:br/>
        <w:t xml:space="preserve">            advocated by Arnott and Pervan [28].</w:t>
      </w:r>
    </w:p>
    <w:p>
      <w:pPr>
        <w:jc w:val="both"/>
        <w:ind w:firstLine="216"/>
        <w:spacing w:before="0" w:after="60"/>
      </w:pPr>
      <w:r>
        <w:rPr>
          <w:rFonts w:ascii="Times New Roman" w:hAnsi="Times New Roman"/>
          <w:b w:val="0"/>
          <w:i w:val="0"/>
          <w:sz w:val="20"/>
          <w:rFonts w:ascii="Times New Roman" w:hAnsi="Times New Roman" w:cs="Times New Roman"/>
        </w:rPr>
        <w:t>A critical limitation that must be explicitly acknowledged is the susceptibility</w:t>
        <w:br/>
        <w:t xml:space="preserve">            of all tested models to exogenous volatility events exceeding ±3σ deviation from the</w:t>
        <w:br/>
        <w:t xml:space="preserve">            rolling mean. During such extreme episodes—which, in the BTC market, frequently</w:t>
        <w:br/>
        <w:t xml:space="preserve">            coincide with macroeconomic policy announcements or exchange liquidity crises—all</w:t>
        <w:br/>
        <w:t xml:space="preserve">            endogenous inference architectures failed to suppress residual error to acceptable</w:t>
        <w:br/>
        <w:t xml:space="preserve">            thresholds. This observation reflects a fundamental constraint of purely</w:t>
        <w:br/>
        <w:t xml:space="preserve">            price-derived models: they lack access to the latent sentiment and structural breaks</w:t>
        <w:br/>
        <w:t xml:space="preserve">            that drive these tail events. Addressing this constraint via NLP-based sentiment</w:t>
        <w:br/>
        <w:t xml:space="preserve">            fusion, as suggested in the Conclusion, represents the most pressing direction for</w:t>
        <w:br/>
        <w:t xml:space="preserve">            future work.</w:t>
      </w:r>
    </w:p>
    <w:p>
      <w:pPr>
        <w:jc w:val="center"/>
        <w:spacing w:before="60" w:after="30"/>
      </w:pPr>
      <w:r>
        <w:rPr>
          <w:rFonts w:ascii="Times New Roman" w:hAnsi="Times New Roman"/>
          <w:sz w:val="20"/>
        </w:rPr>
        <w:drawing>
          <wp:inline xmlns:a="http://schemas.openxmlformats.org/drawingml/2006/main" xmlns:pic="http://schemas.openxmlformats.org/drawingml/2006/picture">
            <wp:extent cx="2560320" cy="110224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560320" cy="1102244"/>
                    </a:xfrm>
                    <a:prstGeom prst="rect"/>
                  </pic:spPr>
                </pic:pic>
              </a:graphicData>
            </a:graphic>
          </wp:inline>
        </w:drawing>
      </w:r>
    </w:p>
    <w:p>
      <w:pPr>
        <w:jc w:val="center"/>
        <w:spacing w:before="0" w:after="60"/>
      </w:pPr>
      <w:r>
        <w:rPr>
          <w:rFonts w:ascii="Times New Roman" w:hAnsi="Times New Roman"/>
          <w:b w:val="0"/>
          <w:i w:val="0"/>
          <w:sz w:val="20"/>
          <w:rFonts w:ascii="Times New Roman" w:hAnsi="Times New Roman" w:cs="Times New Roman"/>
        </w:rPr>
        <w:t>Fig.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pPr>
        <w:jc w:val="left"/>
        <w:spacing w:before="120" w:after="60"/>
      </w:pPr>
      <w:r>
        <w:rPr>
          <w:rFonts w:ascii="Times New Roman" w:hAnsi="Times New Roman"/>
          <w:b/>
          <w:sz w:val="20"/>
        </w:rPr>
        <w:t>8. CONCLUSION</w:t>
      </w:r>
    </w:p>
    <w:p>
      <w:pPr>
        <w:jc w:val="both"/>
        <w:ind w:firstLine="216"/>
        <w:spacing w:before="0" w:after="60"/>
      </w:pPr>
      <w:r>
        <w:rPr>
          <w:rFonts w:ascii="Times New Roman" w:hAnsi="Times New Roman"/>
          <w:b w:val="0"/>
          <w:i w:val="0"/>
          <w:sz w:val="20"/>
          <w:rFonts w:ascii="Times New Roman" w:hAnsi="Times New Roman" w:cs="Times New Roman"/>
        </w:rPr>
        <w:t>This study bridges deep neural forecasting with enterprise Business Intelligence capabilities. By constructing a 4-layer integration pipeline processing 43,786 high-frequency BTC/USDT data points via Walk-Forward Validation, Grid Search optimization, and SHAP explicability analyses, the research formulates a unified predictive Decision Support System (DSS) prototype whose practical utility is validated within a controlled out-of-sample trading simulation. Broader deployment in live trading environments would require additional stress testing, regulatory compliance review, and integration of external market signals beyond the scope of the present study.</w:t>
      </w:r>
    </w:p>
    <w:p>
      <w:pPr>
        <w:jc w:val="both"/>
        <w:ind w:firstLine="216"/>
        <w:spacing w:before="0" w:after="60"/>
      </w:pPr>
      <w:r>
        <w:rPr>
          <w:rFonts w:ascii="Times New Roman" w:hAnsi="Times New Roman"/>
          <w:b w:val="0"/>
          <w:i w:val="0"/>
          <w:sz w:val="20"/>
          <w:rFonts w:ascii="Times New Roman" w:hAnsi="Times New Roman" w:cs="Times New Roman"/>
        </w:rPr>
        <w:t>Regarding model performance, a global Kruskal-Wallis validation ([p &lt; 0.001]) and subsequent pairwise Diebold-Mariano tests ([p = 0.014]) statistically confirmed that Gated Recurrent Units (GRU) outperformed both XGBoost ensembles and state-of-the-art Informer Transformers in securing the lowest absolute RMSE tracking (0.1058 ± 0.0034) within high-frequency 1-hour interval parameters. With respect to Business Intelligence integration, an explicitly evaluated Microsoft Power BI dashboard capturing LSTM prediction tensors demonstrated that LSTM configurations maintained the highest directional precision (72.3%) and risk-adjusted Sharpe Ratios, proving practical suitability within real-time algorithmic validation routines. Nevertheless, a critical system limitation was observed: exogenous market volatility exceeding [3\sigma] completely overwhelmed endogenous inference capabilities, underlining a prominent constraint regarding models devoid of external sentiment or macroeconomic context.</w:t>
      </w:r>
    </w:p>
    <w:p>
      <w:pPr>
        <w:jc w:val="both"/>
        <w:ind w:firstLine="216"/>
        <w:spacing w:before="0" w:after="60"/>
      </w:pPr>
      <w:r>
        <w:rPr>
          <w:rFonts w:ascii="Times New Roman" w:hAnsi="Times New Roman"/>
          <w:b w:val="0"/>
          <w:i w:val="0"/>
          <w:sz w:val="20"/>
          <w:rFonts w:ascii="Times New Roman" w:hAnsi="Times New Roman" w:cs="Times New Roman"/>
        </w:rPr>
        <w:t>Future research should address four directions. First, NLP sentiment integration—fusing social media and on-chain sentiment signals directly into the BI pipeline—to mitigate the confirmed ±3σ volatility failure mode. Second, multi-asset generalization: validating the four-layer BI framework across ETH/USDT, BNB/USDT, and cross-correlated altcoin portfolios to assess whether the GRU-RMSE and LSTM-Sharpe trade-off observed here is BTC-specific or market-structural. Third, benchmarking against more recent SOTA architectures—specifically PatchTST [22] and iTransformer—within the identical Walk-Forward and BI-pipeline evaluation protocol; the Informer was selected in this study for its established benchmark status, but newer architectures merit systematic inclusion. Fourth, formalizing the DSS prototype toward regulatory-compliant deployment through latency optimization, audit logging, and multi-jurisdictional compliance validation (MiFID II, Basel III). These directions collectively address the gap between research-grade prototype contribution and institutional deployment readiness.</w:t>
      </w:r>
    </w:p>
    <w:p>
      <w:pPr>
        <w:jc w:val="left"/>
        <w:spacing w:before="120" w:after="60"/>
      </w:pPr>
      <w:r>
        <w:rPr>
          <w:rFonts w:ascii="Times New Roman" w:hAnsi="Times New Roman"/>
          <w:b/>
          <w:sz w:val="20"/>
        </w:rPr>
        <w:t>9. ACKNOWLEDGMENT</w:t>
      </w:r>
    </w:p>
    <w:p>
      <w:pPr>
        <w:jc w:val="both"/>
        <w:ind w:firstLine="216"/>
        <w:spacing w:before="0" w:after="60"/>
      </w:pPr>
      <w:r>
        <w:rPr>
          <w:rFonts w:ascii="Times New Roman" w:hAnsi="Times New Roman"/>
          <w:b w:val="0"/>
          <w:i w:val="0"/>
          <w:sz w:val="20"/>
          <w:rFonts w:ascii="Times New Roman" w:hAnsi="Times New Roman" w:cs="Times New Roman"/>
        </w:rPr>
        <w:t>The authors declare no related funding or competing ideological conflicts of interest regarding the publication of this manuscript.</w:t>
      </w:r>
    </w:p>
    <w:p>
      <w:pPr>
        <w:jc w:val="left"/>
        <w:spacing w:before="120" w:after="60"/>
      </w:pPr>
      <w:r>
        <w:rPr>
          <w:rFonts w:ascii="Times New Roman" w:hAnsi="Times New Roman"/>
          <w:b/>
          <w:sz w:val="20"/>
        </w:rPr>
        <w:t>10. REFERENCES</w:t>
      </w:r>
    </w:p>
    <w:p>
      <w:pPr>
        <w:jc w:val="both"/>
        <w:ind w:left="360" w:hanging="360"/>
        <w:spacing w:before="0" w:after="30"/>
      </w:pPr>
      <w:r>
        <w:rPr>
          <w:rFonts w:ascii="Times New Roman" w:hAnsi="Times New Roman"/>
          <w:b w:val="0"/>
          <w:i w:val="0"/>
          <w:sz w:val="20"/>
          <w:rFonts w:ascii="Times New Roman" w:hAnsi="Times New Roman" w:cs="Times New Roman"/>
        </w:rPr>
        <w:t>[1] A. Urquhart, "The inefficiency of Bitcoin," Econ. Lett. , vol. 148, pp. 80-82, 2016.</w:t>
      </w:r>
    </w:p>
    <w:p>
      <w:pPr>
        <w:jc w:val="both"/>
        <w:ind w:left="360" w:hanging="360"/>
        <w:spacing w:before="0" w:after="30"/>
      </w:pPr>
      <w:r>
        <w:rPr>
          <w:rFonts w:ascii="Times New Roman" w:hAnsi="Times New Roman"/>
          <w:b w:val="0"/>
          <w:i w:val="0"/>
          <w:sz w:val="20"/>
          <w:rFonts w:ascii="Times New Roman" w:hAnsi="Times New Roman" w:cs="Times New Roman"/>
        </w:rPr>
        <w:t>[2] P. K. Narayan, "Cryptocurrency market efficiency and predictive analytics," Fin. Res. Lett. , vol. 46, 102431, 2022.</w:t>
      </w:r>
    </w:p>
    <w:p>
      <w:pPr>
        <w:jc w:val="both"/>
        <w:ind w:left="360" w:hanging="360"/>
        <w:spacing w:before="0" w:after="30"/>
      </w:pPr>
      <w:r>
        <w:rPr>
          <w:rFonts w:ascii="Times New Roman" w:hAnsi="Times New Roman"/>
          <w:b w:val="0"/>
          <w:i w:val="0"/>
          <w:sz w:val="20"/>
          <w:rFonts w:ascii="Times New Roman" w:hAnsi="Times New Roman" w:cs="Times New Roman"/>
        </w:rPr>
        <w:t>[3] S. Makridakis, E. Spiliotis, and V. Assimakopoulos, "Statistical and Machine Learning forecasting methods: Concerns and ways forward," PLoS ONE , vol. 13, no. 3, p. e0194889, 2018.</w:t>
      </w:r>
    </w:p>
    <w:p>
      <w:pPr>
        <w:jc w:val="both"/>
        <w:ind w:left="360" w:hanging="360"/>
        <w:spacing w:before="0" w:after="30"/>
      </w:pPr>
      <w:r>
        <w:rPr>
          <w:rFonts w:ascii="Times New Roman" w:hAnsi="Times New Roman"/>
          <w:b w:val="0"/>
          <w:i w:val="0"/>
          <w:sz w:val="20"/>
          <w:rFonts w:ascii="Times New Roman" w:hAnsi="Times New Roman" w:cs="Times New Roman"/>
        </w:rPr>
        <w:t>[4] A. F. de O. Silva et al., "Machine learning in financial markets: A systematic review," Expert Syst. Appl. , vol. 202, 117283, 2022.</w:t>
      </w:r>
    </w:p>
    <w:p>
      <w:pPr>
        <w:jc w:val="both"/>
        <w:ind w:left="360" w:hanging="360"/>
        <w:spacing w:before="0" w:after="30"/>
      </w:pPr>
      <w:r>
        <w:rPr>
          <w:rFonts w:ascii="Times New Roman" w:hAnsi="Times New Roman"/>
          <w:b w:val="0"/>
          <w:i w:val="0"/>
          <w:sz w:val="20"/>
          <w:rFonts w:ascii="Times New Roman" w:hAnsi="Times New Roman" w:cs="Times New Roman"/>
        </w:rPr>
        <w:t>[5] W. Bao, J. Yue, and Y. Rao, "A deep learning framework for financial time series using stacked autoencoders and long-short term memory," PLoS ONE , vol. 12, no. 7, p. e0180944, 2017.</w:t>
      </w:r>
    </w:p>
    <w:p>
      <w:pPr>
        <w:jc w:val="both"/>
        <w:ind w:left="360" w:hanging="360"/>
        <w:spacing w:before="0" w:after="30"/>
      </w:pPr>
      <w:r>
        <w:rPr>
          <w:rFonts w:ascii="Times New Roman" w:hAnsi="Times New Roman"/>
          <w:b w:val="0"/>
          <w:i w:val="0"/>
          <w:sz w:val="20"/>
          <w:rFonts w:ascii="Times New Roman" w:hAnsi="Times New Roman" w:cs="Times New Roman"/>
        </w:rPr>
        <w:t>[6] H. Chaudhuri and I. Ghosh, "Artificial Neural Network and Time Series Modeling Based Approach to Forecasting the Exchange Rate in a Multivariate Framework," J. Quant. Econ. , vol. 14, pp. 201-226, 2016.</w:t>
      </w:r>
    </w:p>
    <w:p>
      <w:pPr>
        <w:jc w:val="both"/>
        <w:ind w:left="360" w:hanging="360"/>
        <w:spacing w:before="0" w:after="30"/>
      </w:pPr>
      <w:r>
        <w:rPr>
          <w:rFonts w:ascii="Times New Roman" w:hAnsi="Times New Roman"/>
          <w:b w:val="0"/>
          <w:i w:val="0"/>
          <w:sz w:val="20"/>
          <w:rFonts w:ascii="Times New Roman" w:hAnsi="Times New Roman" w:cs="Times New Roman"/>
        </w:rPr>
        <w:t>[7] P. C. Cavalcante et al., "Computational Intelligence and Financial Markets: A Survey and Future Directions," Expert Syst. Appl. , vol. 55, pp. 194-211, 2016.</w:t>
      </w:r>
    </w:p>
    <w:p>
      <w:pPr>
        <w:jc w:val="both"/>
        <w:ind w:left="360" w:hanging="360"/>
        <w:spacing w:before="0" w:after="30"/>
      </w:pPr>
      <w:r>
        <w:rPr>
          <w:rFonts w:ascii="Times New Roman" w:hAnsi="Times New Roman"/>
          <w:b w:val="0"/>
          <w:i w:val="0"/>
          <w:sz w:val="20"/>
          <w:rFonts w:ascii="Times New Roman" w:hAnsi="Times New Roman" w:cs="Times New Roman"/>
        </w:rPr>
        <w:t>[8] S. F. Ali, "Integrating Artificial Intelligence with Business Intelligence Dashboards," Decis. Support Syst. , vol. 165, 113887, 2023.</w:t>
      </w:r>
    </w:p>
    <w:p>
      <w:pPr>
        <w:jc w:val="both"/>
        <w:ind w:left="360" w:hanging="360"/>
        <w:spacing w:before="0" w:after="30"/>
      </w:pPr>
      <w:r>
        <w:rPr>
          <w:rFonts w:ascii="Times New Roman" w:hAnsi="Times New Roman"/>
          <w:b w:val="0"/>
          <w:i w:val="0"/>
          <w:sz w:val="20"/>
          <w:rFonts w:ascii="Times New Roman" w:hAnsi="Times New Roman" w:cs="Times New Roman"/>
        </w:rPr>
        <w:t>[9] D. J. Power, "Decision support systems: A historical overview," Commun. Assoc. Inf. Syst. , vol. 13, no. 1, p. 15, 2004.</w:t>
      </w:r>
    </w:p>
    <w:p>
      <w:pPr>
        <w:jc w:val="both"/>
        <w:ind w:left="360" w:hanging="360"/>
        <w:spacing w:before="0" w:after="30"/>
      </w:pPr>
      <w:r>
        <w:rPr>
          <w:rFonts w:ascii="Times New Roman" w:hAnsi="Times New Roman"/>
          <w:b w:val="0"/>
          <w:i w:val="0"/>
          <w:sz w:val="20"/>
          <w:rFonts w:ascii="Times New Roman" w:hAnsi="Times New Roman" w:cs="Times New Roman"/>
        </w:rPr>
        <w:t>[10] A. Rossi et al. , "Machine Learning for Financial Decision Support: A contemporary perspective," Expert Systems with Applications , vol. 238, 122245, 2024.</w:t>
      </w:r>
    </w:p>
    <w:p>
      <w:pPr>
        <w:jc w:val="both"/>
        <w:ind w:left="360" w:hanging="360"/>
        <w:spacing w:before="0" w:after="30"/>
      </w:pPr>
      <w:r>
        <w:rPr>
          <w:rFonts w:ascii="Times New Roman" w:hAnsi="Times New Roman"/>
          <w:b w:val="0"/>
          <w:i w:val="0"/>
          <w:sz w:val="20"/>
          <w:rFonts w:ascii="Times New Roman" w:hAnsi="Times New Roman" w:cs="Times New Roman"/>
        </w:rPr>
        <w:t>[11] A. Krauss, X. Q. Do, and N. Huck, "Deep neural networks, gradient-boosted trees, random forests: Statistical arbitrage on the S&amp;P 500," Eur. J. Oper. Res. , vol. 259, no. 2, pp. 689-702, 2017.</w:t>
      </w:r>
    </w:p>
    <w:p>
      <w:pPr>
        <w:jc w:val="both"/>
        <w:ind w:left="360" w:hanging="360"/>
        <w:spacing w:before="0" w:after="30"/>
      </w:pPr>
      <w:r>
        <w:rPr>
          <w:rFonts w:ascii="Times New Roman" w:hAnsi="Times New Roman"/>
          <w:b w:val="0"/>
          <w:i w:val="0"/>
          <w:sz w:val="20"/>
          <w:rFonts w:ascii="Times New Roman" w:hAnsi="Times New Roman" w:cs="Times New Roman"/>
        </w:rPr>
        <w:t>[12] T. Chen and C. Guestrin, "XGBoost: A Scalable Tree Boosting System," in Proc. 22nd ACM SIGKDD Int. Conf. Knowl. Discovery Data Min. (KDD) , 2016, pp. 785-794.</w:t>
      </w:r>
    </w:p>
    <w:p>
      <w:pPr>
        <w:jc w:val="both"/>
        <w:ind w:left="360" w:hanging="360"/>
        <w:spacing w:before="0" w:after="30"/>
      </w:pPr>
      <w:r>
        <w:rPr>
          <w:rFonts w:ascii="Times New Roman" w:hAnsi="Times New Roman"/>
          <w:b w:val="0"/>
          <w:i w:val="0"/>
          <w:sz w:val="20"/>
          <w:rFonts w:ascii="Times New Roman" w:hAnsi="Times New Roman" w:cs="Times New Roman"/>
        </w:rPr>
        <w:t>[13] J. Zheng, X. Xu, P. Zheng, and Z. Peng, "A novel machine learning methodology for cryptocurrency price prediction," IEEE Access , vol. 7, pp. 109287-109295, 2019.</w:t>
      </w:r>
    </w:p>
    <w:p>
      <w:pPr>
        <w:jc w:val="both"/>
        <w:ind w:left="360" w:hanging="360"/>
        <w:spacing w:before="0" w:after="30"/>
      </w:pPr>
      <w:r>
        <w:rPr>
          <w:rFonts w:ascii="Times New Roman" w:hAnsi="Times New Roman"/>
          <w:b w:val="0"/>
          <w:i w:val="0"/>
          <w:sz w:val="20"/>
          <w:rFonts w:ascii="Times New Roman" w:hAnsi="Times New Roman" w:cs="Times New Roman"/>
        </w:rPr>
        <w:t>[14] S. Hochreiter and J. Schmidhuber, "Long short-term memory," Neural Comput. , vol. 9, no. 8, pp. 1735-1780, 1997.</w:t>
      </w:r>
    </w:p>
    <w:p>
      <w:pPr>
        <w:jc w:val="both"/>
        <w:ind w:left="360" w:hanging="360"/>
        <w:spacing w:before="0" w:after="30"/>
      </w:pPr>
      <w:r>
        <w:rPr>
          <w:rFonts w:ascii="Times New Roman" w:hAnsi="Times New Roman"/>
          <w:b w:val="0"/>
          <w:i w:val="0"/>
          <w:sz w:val="20"/>
          <w:rFonts w:ascii="Times New Roman" w:hAnsi="Times New Roman" w:cs="Times New Roman"/>
        </w:rPr>
        <w:t>[15] K. Cho et al., "Learning Phrase Representations using RNN Encoder-Decoder for Statistical Machine Translation," in Empirical Methods in Natural Language Processing (EMNLP) , 2014, pp. 1724-1734.</w:t>
      </w:r>
    </w:p>
    <w:p>
      <w:pPr>
        <w:jc w:val="both"/>
        <w:ind w:left="360" w:hanging="360"/>
        <w:spacing w:before="0" w:after="30"/>
      </w:pPr>
      <w:r>
        <w:rPr>
          <w:rFonts w:ascii="Times New Roman" w:hAnsi="Times New Roman"/>
          <w:b w:val="0"/>
          <w:i w:val="0"/>
          <w:sz w:val="20"/>
          <w:rFonts w:ascii="Times New Roman" w:hAnsi="Times New Roman" w:cs="Times New Roman"/>
        </w:rPr>
        <w:t>[16] L. Chen, Z. Qiao, M. Wang, and C. Wang, "Predictive modeling of Bitcoin using deep learning," Expert Syst. Appl. , vol. 156, 113425, 2020.</w:t>
      </w:r>
    </w:p>
    <w:p>
      <w:pPr>
        <w:jc w:val="both"/>
        <w:ind w:left="360" w:hanging="360"/>
        <w:spacing w:before="0" w:after="30"/>
      </w:pPr>
      <w:r>
        <w:rPr>
          <w:rFonts w:ascii="Times New Roman" w:hAnsi="Times New Roman"/>
          <w:b w:val="0"/>
          <w:i w:val="0"/>
          <w:sz w:val="20"/>
          <w:rFonts w:ascii="Times New Roman" w:hAnsi="Times New Roman" w:cs="Times New Roman"/>
        </w:rPr>
        <w:t>[17] F. A. Gers, J. Schmidhuber, and F. Cummins, "Learning to Forget: Continual Prediction with LSTM," Neural Comput. , vol. 12, no. 10, pp. 2451-2471, 2000.</w:t>
      </w:r>
    </w:p>
    <w:p>
      <w:pPr>
        <w:jc w:val="both"/>
        <w:ind w:left="360" w:hanging="360"/>
        <w:spacing w:before="0" w:after="30"/>
      </w:pPr>
      <w:r>
        <w:rPr>
          <w:rFonts w:ascii="Times New Roman" w:hAnsi="Times New Roman"/>
          <w:b w:val="0"/>
          <w:i w:val="0"/>
          <w:sz w:val="20"/>
          <w:rFonts w:ascii="Times New Roman" w:hAnsi="Times New Roman" w:cs="Times New Roman"/>
        </w:rPr>
        <w:t>[18] K. Greff et al., "LSTM: A Space Odyssey," IEEE Trans. Neural Netw. Learn. Syst. , vol. 28, pp. 2222-2232, 2017.</w:t>
      </w:r>
    </w:p>
    <w:p>
      <w:pPr>
        <w:jc w:val="both"/>
        <w:ind w:left="360" w:hanging="360"/>
        <w:spacing w:before="0" w:after="30"/>
      </w:pPr>
      <w:r>
        <w:rPr>
          <w:rFonts w:ascii="Times New Roman" w:hAnsi="Times New Roman"/>
          <w:b w:val="0"/>
          <w:i w:val="0"/>
          <w:sz w:val="20"/>
          <w:rFonts w:ascii="Times New Roman" w:hAnsi="Times New Roman" w:cs="Times New Roman"/>
        </w:rPr>
        <w:t>[19] A. Vaswani et al., "Attention is all you need," in Advances in Neural Information Processing Systems (NeurIPS) , 2017, pp. 5998-6008.</w:t>
      </w:r>
    </w:p>
    <w:p>
      <w:pPr>
        <w:jc w:val="both"/>
        <w:ind w:left="360" w:hanging="360"/>
        <w:spacing w:before="0" w:after="30"/>
      </w:pPr>
      <w:r>
        <w:rPr>
          <w:rFonts w:ascii="Times New Roman" w:hAnsi="Times New Roman"/>
          <w:b w:val="0"/>
          <w:i w:val="0"/>
          <w:sz w:val="20"/>
          <w:rFonts w:ascii="Times New Roman" w:hAnsi="Times New Roman" w:cs="Times New Roman"/>
        </w:rPr>
        <w:t>[20] N. Wu, B. Green, X. Ben, and S. O'Banion, "Deep Transformer Models for Time Series Forecasting: The Influenza Prevalence Case," arXiv preprint arXiv:2001.08317 , 2020.</w:t>
      </w:r>
    </w:p>
    <w:p>
      <w:pPr>
        <w:jc w:val="both"/>
        <w:ind w:left="360" w:hanging="360"/>
        <w:spacing w:before="0" w:after="30"/>
      </w:pPr>
      <w:r>
        <w:rPr>
          <w:rFonts w:ascii="Times New Roman" w:hAnsi="Times New Roman"/>
          <w:b w:val="0"/>
          <w:i w:val="0"/>
          <w:sz w:val="20"/>
          <w:rFonts w:ascii="Times New Roman" w:hAnsi="Times New Roman" w:cs="Times New Roman"/>
        </w:rPr>
        <w:t>[21] H. Zhou et al., "Informer: Beyond Efficient Transformer for Long Sequence Time-Series Forecasting," in Proc. AAAI Conf. Artif. Intell. , 2021, pp. 11106-11115.</w:t>
      </w:r>
    </w:p>
    <w:p>
      <w:pPr>
        <w:jc w:val="both"/>
        <w:ind w:left="360" w:hanging="360"/>
        <w:spacing w:before="0" w:after="30"/>
      </w:pPr>
      <w:r>
        <w:rPr>
          <w:rFonts w:ascii="Times New Roman" w:hAnsi="Times New Roman"/>
          <w:b w:val="0"/>
          <w:i w:val="0"/>
          <w:sz w:val="20"/>
          <w:rFonts w:ascii="Times New Roman" w:hAnsi="Times New Roman" w:cs="Times New Roman"/>
        </w:rPr>
        <w:t>[22] Y. Nie et al., "A Time Series is Worth 64 Words: Long-term Forecasting with Transformers," in International Conference on Learning Representations (ICLR) , 2023.</w:t>
      </w:r>
    </w:p>
    <w:p>
      <w:pPr>
        <w:jc w:val="both"/>
        <w:ind w:left="360" w:hanging="360"/>
        <w:spacing w:before="0" w:after="30"/>
      </w:pPr>
      <w:r>
        <w:rPr>
          <w:rFonts w:ascii="Times New Roman" w:hAnsi="Times New Roman"/>
          <w:b w:val="0"/>
          <w:i w:val="0"/>
          <w:sz w:val="20"/>
          <w:rFonts w:ascii="Times New Roman" w:hAnsi="Times New Roman" w:cs="Times New Roman"/>
        </w:rPr>
        <w:t>[23] H. Wu et al., "TimesNet: Temporal 2D-Variation Modeling for General Time Series Analysis," in International Conference on Learning Representations (ICLR) , 2023.</w:t>
      </w:r>
    </w:p>
    <w:p>
      <w:pPr>
        <w:jc w:val="both"/>
        <w:ind w:left="360" w:hanging="360"/>
        <w:spacing w:before="0" w:after="30"/>
      </w:pPr>
      <w:r>
        <w:rPr>
          <w:rFonts w:ascii="Times New Roman" w:hAnsi="Times New Roman"/>
          <w:b w:val="0"/>
          <w:i w:val="0"/>
          <w:sz w:val="20"/>
          <w:rFonts w:ascii="Times New Roman" w:hAnsi="Times New Roman" w:cs="Times New Roman"/>
        </w:rPr>
        <w:t>[24] G. Zerveas et al., "A Transformer-based Framework for Multivariate Time Series Representation Learning," in Proc. 27th ACM SIGKDD Conf. Knowl. Discov. Data Min. , 2021, pp. 2114-2124.</w:t>
      </w:r>
    </w:p>
    <w:p>
      <w:pPr>
        <w:jc w:val="both"/>
        <w:ind w:left="360" w:hanging="360"/>
        <w:spacing w:before="0" w:after="30"/>
      </w:pPr>
      <w:r>
        <w:rPr>
          <w:rFonts w:ascii="Times New Roman" w:hAnsi="Times New Roman"/>
          <w:b w:val="0"/>
          <w:i w:val="0"/>
          <w:sz w:val="20"/>
          <w:rFonts w:ascii="Times New Roman" w:hAnsi="Times New Roman" w:cs="Times New Roman"/>
        </w:rPr>
        <w:t>[25] M. H. Baqee et al., "Forecasting Bitcoin Prices Using Deep Learning for Consumer-Centric Industrial Applications," IEEE Transactions on Consumer Electronics , vol. 70, no. 1, pp. 3225-3233, Feb. 2024. doi: 10.1109/TCE.2023.3335001.</w:t>
      </w:r>
    </w:p>
    <w:p>
      <w:pPr>
        <w:jc w:val="both"/>
        <w:ind w:left="360" w:hanging="360"/>
        <w:spacing w:before="0" w:after="30"/>
      </w:pPr>
      <w:r>
        <w:rPr>
          <w:rFonts w:ascii="Times New Roman" w:hAnsi="Times New Roman"/>
          <w:b w:val="0"/>
          <w:i w:val="0"/>
          <w:sz w:val="20"/>
          <w:rFonts w:ascii="Times New Roman" w:hAnsi="Times New Roman" w:cs="Times New Roman"/>
        </w:rPr>
        <w:t>[26] A. T. Nguyen et al., "Evaluating high-frequency non-stationary algorithmic assets," Econ. Modelling , vol. 119, 106159, 2023.</w:t>
      </w:r>
    </w:p>
    <w:p>
      <w:pPr>
        <w:jc w:val="both"/>
        <w:ind w:left="360" w:hanging="360"/>
        <w:spacing w:before="0" w:after="30"/>
      </w:pPr>
      <w:r>
        <w:rPr>
          <w:rFonts w:ascii="Times New Roman" w:hAnsi="Times New Roman"/>
          <w:b w:val="0"/>
          <w:i w:val="0"/>
          <w:sz w:val="20"/>
          <w:rFonts w:ascii="Times New Roman" w:hAnsi="Times New Roman" w:cs="Times New Roman"/>
        </w:rPr>
        <w:t>[27] R. Sharda, D. Delen, and E. Turban, Business Intelligence, Analytics, and Data Science: A Managerial Perspective , 4th ed. Pearson, 2017.</w:t>
      </w:r>
    </w:p>
    <w:p>
      <w:pPr>
        <w:jc w:val="both"/>
        <w:ind w:left="360" w:hanging="360"/>
        <w:spacing w:before="0" w:after="30"/>
      </w:pPr>
      <w:r>
        <w:rPr>
          <w:rFonts w:ascii="Times New Roman" w:hAnsi="Times New Roman"/>
          <w:b w:val="0"/>
          <w:i w:val="0"/>
          <w:sz w:val="20"/>
          <w:rFonts w:ascii="Times New Roman" w:hAnsi="Times New Roman" w:cs="Times New Roman"/>
        </w:rPr>
        <w:t>[28] D. Arnott and G. Pervan, "A critical analysis of decision support systems research revisited: The rise of design science," J. Inf. Technol. , vol. 29, no. 4, pp. 269-293, 2014.</w:t>
      </w:r>
    </w:p>
    <w:p>
      <w:pPr>
        <w:jc w:val="both"/>
        <w:ind w:left="360" w:hanging="360"/>
        <w:spacing w:before="0" w:after="30"/>
      </w:pPr>
      <w:r>
        <w:rPr>
          <w:rFonts w:ascii="Times New Roman" w:hAnsi="Times New Roman"/>
          <w:b w:val="0"/>
          <w:i w:val="0"/>
          <w:sz w:val="20"/>
          <w:rFonts w:ascii="Times New Roman" w:hAnsi="Times New Roman" w:cs="Times New Roman"/>
        </w:rPr>
        <w:t>[29] P. Jorion, Value at Risk: The New Benchmark for Managing Financial Risk , 3rd ed. New York, NY, USA: McGraw-Hill Education, 2006.</w:t>
      </w:r>
    </w:p>
    <w:p>
      <w:pPr>
        <w:jc w:val="both"/>
        <w:ind w:left="360" w:hanging="360"/>
        <w:spacing w:before="0" w:after="30"/>
      </w:pPr>
      <w:r>
        <w:rPr>
          <w:rFonts w:ascii="Times New Roman" w:hAnsi="Times New Roman"/>
          <w:b w:val="0"/>
          <w:i w:val="0"/>
          <w:sz w:val="20"/>
          <w:rFonts w:ascii="Times New Roman" w:hAnsi="Times New Roman" w:cs="Times New Roman"/>
        </w:rPr>
        <w:t>[30] Binance, "Binance Spot API Documentation," Binance Technical Engineering, 2024. [Online]. Available: https://binance-docs.github.io/apidocs/spot/en/.</w:t>
      </w:r>
    </w:p>
    <w:p>
      <w:pPr>
        <w:jc w:val="both"/>
        <w:ind w:left="360" w:hanging="360"/>
        <w:spacing w:before="0" w:after="30"/>
      </w:pPr>
      <w:r>
        <w:rPr>
          <w:rFonts w:ascii="Times New Roman" w:hAnsi="Times New Roman"/>
          <w:b w:val="0"/>
          <w:i w:val="0"/>
          <w:sz w:val="20"/>
          <w:rFonts w:ascii="Times New Roman" w:hAnsi="Times New Roman" w:cs="Times New Roman"/>
        </w:rPr>
        <w:t>[31] J. Han, M. Kamber, and J. Pei, Data Mining: Concepts and Techniques , 3rd ed. Waltham, MA, USA: Morgan Kaufmann, 2011.</w:t>
      </w:r>
    </w:p>
    <w:p>
      <w:pPr>
        <w:jc w:val="both"/>
        <w:ind w:left="360" w:hanging="360"/>
        <w:spacing w:before="0" w:after="30"/>
      </w:pPr>
      <w:r>
        <w:rPr>
          <w:rFonts w:ascii="Times New Roman" w:hAnsi="Times New Roman"/>
          <w:b w:val="0"/>
          <w:i w:val="0"/>
          <w:sz w:val="20"/>
          <w:rFonts w:ascii="Times New Roman" w:hAnsi="Times New Roman" w:cs="Times New Roman"/>
        </w:rPr>
        <w:t>[32] R. J. Hyndman and G. Athanasopoulos, Forecasting: Principles and Practice , 3rd ed. Melbourne, Australia: OTexts, 2021.</w:t>
      </w:r>
    </w:p>
    <w:p>
      <w:pPr>
        <w:jc w:val="both"/>
        <w:ind w:left="360" w:hanging="360"/>
        <w:spacing w:before="0" w:after="30"/>
      </w:pPr>
      <w:r>
        <w:rPr>
          <w:rFonts w:ascii="Times New Roman" w:hAnsi="Times New Roman"/>
          <w:b w:val="0"/>
          <w:i w:val="0"/>
          <w:sz w:val="20"/>
          <w:rFonts w:ascii="Times New Roman" w:hAnsi="Times New Roman" w:cs="Times New Roman"/>
        </w:rPr>
        <w:t>[33] R. S. Tsay, Analysis of Financial Time Series , 3rd ed. Hoboken, NJ, USA: John Wiley &amp; Sons, 2010.</w:t>
      </w:r>
    </w:p>
    <w:p>
      <w:pPr>
        <w:jc w:val="both"/>
        <w:ind w:left="360" w:hanging="360"/>
        <w:spacing w:before="0" w:after="30"/>
      </w:pPr>
      <w:r>
        <w:rPr>
          <w:rFonts w:ascii="Times New Roman" w:hAnsi="Times New Roman"/>
          <w:b w:val="0"/>
          <w:i w:val="0"/>
          <w:sz w:val="20"/>
          <w:rFonts w:ascii="Times New Roman" w:hAnsi="Times New Roman" w:cs="Times New Roman"/>
        </w:rPr>
        <w:t>[34] M. L. de Prado, Advances in Financial Machine Learning . Hoboken, NJ, USA: John Wiley &amp; Sons, 2018.</w:t>
      </w:r>
    </w:p>
    <w:p>
      <w:pPr>
        <w:jc w:val="both"/>
        <w:ind w:left="360" w:hanging="360"/>
        <w:spacing w:before="0" w:after="30"/>
      </w:pPr>
      <w:r>
        <w:rPr>
          <w:rFonts w:ascii="Times New Roman" w:hAnsi="Times New Roman"/>
          <w:b w:val="0"/>
          <w:i w:val="0"/>
          <w:sz w:val="20"/>
          <w:rFonts w:ascii="Times New Roman" w:hAnsi="Times New Roman" w:cs="Times New Roman"/>
        </w:rPr>
        <w:t>[35] S. M. Lundberg and S. I. Lee, "A Unified Approach to Interpreting Model Predictions," in Advances in Neural Information Processing Systems (NeurIPS) , 2017, pp. 4765-4774.</w:t>
      </w:r>
    </w:p>
    <w:p>
      <w:pPr>
        <w:jc w:val="both"/>
        <w:ind w:left="360" w:hanging="360"/>
        <w:spacing w:before="0" w:after="30"/>
      </w:pPr>
      <w:r>
        <w:rPr>
          <w:rFonts w:ascii="Times New Roman" w:hAnsi="Times New Roman"/>
          <w:b w:val="0"/>
          <w:i w:val="0"/>
          <w:sz w:val="20"/>
          <w:rFonts w:ascii="Times New Roman" w:hAnsi="Times New Roman" w:cs="Times New Roman"/>
        </w:rPr>
        <w:t>[36] F. Diebold and R. Mariano, "Comparing Predictive Accuracy," J. Bus. Econ. Stat. , vol. 13, pp. 253-263, 1995.</w:t>
      </w:r>
    </w:p>
    <w:p>
      <w:pPr>
        <w:jc w:val="both"/>
        <w:ind w:left="360" w:hanging="360"/>
        <w:spacing w:before="0" w:after="30"/>
      </w:pPr>
      <w:r>
        <w:rPr>
          <w:rFonts w:ascii="Times New Roman" w:hAnsi="Times New Roman"/>
          <w:b w:val="0"/>
          <w:i w:val="0"/>
          <w:sz w:val="20"/>
          <w:rFonts w:ascii="Times New Roman" w:hAnsi="Times New Roman" w:cs="Times New Roman"/>
        </w:rPr>
        <w:t>[37] J. Bollen, H. Mao, and X. Zeng, "Twitter mood predicts the stock market," J. Comput. Sci. , vol. 2, no. 1, pp. 1-8, 2011.</w:t>
      </w:r>
    </w:p>
    <w:p>
      <w:pPr>
        <w:jc w:val="both"/>
        <w:ind w:left="360" w:hanging="360"/>
        <w:spacing w:before="0" w:after="30"/>
      </w:pPr>
      <w:r>
        <w:rPr>
          <w:rFonts w:ascii="Times New Roman" w:hAnsi="Times New Roman"/>
          <w:b w:val="0"/>
          <w:i w:val="0"/>
          <w:sz w:val="20"/>
          <w:rFonts w:ascii="Times New Roman" w:hAnsi="Times New Roman" w:cs="Times New Roman"/>
        </w:rPr>
        <w:t>[38] I. E. Livieris et al., "Attention-based CNN-LSTM for high-frequency multiple cryptocurrency trend prediction," Expert Systems with Applications , vol. 213, 119208, 2024. doi: 10.1016/j.eswa.2022.119208.</w:t>
      </w:r>
    </w:p>
    <w:p>
      <w:pPr>
        <w:jc w:val="both"/>
        <w:ind w:left="360" w:hanging="360"/>
        <w:spacing w:before="0" w:after="30"/>
      </w:pPr>
      <w:r>
        <w:rPr>
          <w:rFonts w:ascii="Times New Roman" w:hAnsi="Times New Roman"/>
          <w:b w:val="0"/>
          <w:i w:val="0"/>
          <w:sz w:val="20"/>
          <w:rFonts w:ascii="Times New Roman" w:hAnsi="Times New Roman" w:cs="Times New Roman"/>
        </w:rPr>
        <w:t>[39] J. Brooke, "SUS: A 'Quick and Dirty' Usability Scale," in Usability Evaluation in Industry , P. W. Jordan et al. , Eds. London, UK: Taylor &amp; Francis, 1996, pp. 189-194.</w:t>
      </w:r>
    </w:p>
    <w:p>
      <w:pPr>
        <w:jc w:val="both"/>
        <w:ind w:left="360" w:hanging="360"/>
        <w:spacing w:before="0" w:after="30"/>
      </w:pPr>
      <w:r>
        <w:rPr>
          <w:rFonts w:ascii="Times New Roman" w:hAnsi="Times New Roman"/>
          <w:b w:val="0"/>
          <w:i w:val="0"/>
          <w:sz w:val="20"/>
          <w:rFonts w:ascii="Times New Roman" w:hAnsi="Times New Roman" w:cs="Times New Roman"/>
        </w:rPr>
        <w:t>[40] A. Bangor, P. T. Kortum, and J. T. Miller, "Determining what individual SUS scores mean: Adding an adjective rating scale," Journal of Usability Studies , vol. 4, no. 3, pp. 114-123, 2009.</w:t>
      </w:r>
    </w:p>
    <w:sectPr w:rsidR="00FC693F" w:rsidRPr="0006063C" w:rsidSect="00034616">
      <w:pgSz w:w="11906" w:h="16838"/>
      <w:pgMar w:top="1417" w:right="1417" w:bottom="1417" w:left="1701"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PAGE</w:instrText>
      <w:fldChar w:fldCharType="end"/>
    </w:r>
    <w:r>
      <w:rPr>
        <w:rFonts w:ascii="Times New Roman" w:hAnsi="Times New Roman"/>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