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E03F" w14:textId="77777777" w:rsidR="004C511C" w:rsidRDefault="00751A67">
      <w:pPr>
        <w:spacing w:after="120"/>
        <w:jc w:val="center"/>
      </w:pPr>
      <w:r>
        <w:rPr>
          <w:rFonts w:cs="Times New Roman"/>
          <w:b/>
          <w:sz w:val="32"/>
        </w:rPr>
        <w:t>A Deep Learning and Business Intelligence Framework for Cryptocurrency Price Prediction: Comparative Analysis of Sequence Networks against State-of-the-Art Transformers</w:t>
      </w:r>
    </w:p>
    <w:p w14:paraId="7423991D" w14:textId="77777777" w:rsidR="004C511C" w:rsidRDefault="00751A67">
      <w:pPr>
        <w:spacing w:after="40"/>
        <w:jc w:val="center"/>
      </w:pPr>
      <w:r>
        <w:rPr>
          <w:rFonts w:cs="Times New Roman"/>
        </w:rPr>
        <w:t>Asep Surahman Sulaeman, Deden Witarsyah, and Aswan Supriyadi Sunge</w:t>
      </w:r>
    </w:p>
    <w:p w14:paraId="14B5F1A3" w14:textId="77777777" w:rsidR="004C511C" w:rsidRDefault="00751A67">
      <w:pPr>
        <w:spacing w:after="20"/>
        <w:jc w:val="center"/>
      </w:pPr>
      <w:r>
        <w:rPr>
          <w:rFonts w:cs="Times New Roman"/>
          <w:i/>
          <w:sz w:val="16"/>
        </w:rPr>
        <w:t>1,2 Master of Informatics, Nusa Putra University, Sukabumi, Indonesia 3 Informatics Engineering, Universitas Pelita Bangsa, Indonesia Email: asep.surahman_mti24@nusaputra.ac.id</w:t>
      </w:r>
    </w:p>
    <w:p w14:paraId="2303B6AF" w14:textId="77777777" w:rsidR="004C511C" w:rsidRDefault="004C511C">
      <w:pPr>
        <w:pBdr>
          <w:bottom w:val="single" w:sz="6" w:space="1" w:color="000000"/>
        </w:pBdr>
        <w:spacing w:before="60" w:after="60"/>
      </w:pPr>
    </w:p>
    <w:p w14:paraId="60842174" w14:textId="77777777" w:rsidR="004C511C" w:rsidRDefault="00751A67">
      <w:pPr>
        <w:spacing w:before="40" w:after="40"/>
        <w:ind w:left="360" w:right="360"/>
        <w:jc w:val="both"/>
      </w:pPr>
      <w:r>
        <w:t>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XGBoost, LSTM, GRU, and the Informer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that high-frequency neural forecasts can successfully drive real-world institutional risk management tools.</w:t>
      </w:r>
    </w:p>
    <w:p w14:paraId="48043CBA" w14:textId="77777777" w:rsidR="004C511C" w:rsidRDefault="00751A67">
      <w:pPr>
        <w:spacing w:after="80"/>
        <w:ind w:left="360" w:right="360"/>
        <w:jc w:val="both"/>
      </w:pPr>
      <w:r>
        <w:rPr>
          <w:rFonts w:cs="Times New Roman"/>
          <w:b/>
          <w:i/>
        </w:rPr>
        <w:t>Keywords—</w:t>
      </w:r>
      <w:r>
        <w:rPr>
          <w:rFonts w:cs="Times New Roman"/>
        </w:rPr>
        <w:t>Business Intelligence, Informer Transformer, XGBoost, LSTM, GRU, Financial Informatics, Diebold-Mariano Test, Decision Support Systems, Walk-Forward Validation, Explainable AI.</w:t>
      </w:r>
    </w:p>
    <w:p w14:paraId="659A8063" w14:textId="77777777" w:rsidR="004C511C" w:rsidRDefault="004C511C">
      <w:pPr>
        <w:pBdr>
          <w:bottom w:val="single" w:sz="6" w:space="1" w:color="000000"/>
        </w:pBdr>
        <w:spacing w:before="60" w:after="60"/>
      </w:pPr>
    </w:p>
    <w:p w14:paraId="733C477A" w14:textId="77777777" w:rsidR="004C511C" w:rsidRDefault="004C511C">
      <w:pPr>
        <w:spacing w:after="0"/>
        <w:sectPr w:rsidR="004C511C">
          <w:footerReference w:type="default" r:id="rId8"/>
          <w:type w:val="continuous"/>
          <w:pgSz w:w="11906" w:h="16838"/>
          <w:pgMar w:top="1417" w:right="1417" w:bottom="1417" w:left="1701" w:header="720" w:footer="720" w:gutter="0"/>
          <w:cols w:space="360"/>
        </w:sectPr>
      </w:pPr>
    </w:p>
    <w:p w14:paraId="6A8F1AA3" w14:textId="77777777" w:rsidR="004C511C" w:rsidRDefault="00751A67">
      <w:pPr>
        <w:spacing w:before="120" w:after="60"/>
      </w:pPr>
      <w:r>
        <w:rPr>
          <w:b/>
        </w:rPr>
        <w:lastRenderedPageBreak/>
        <w:t>1. INTRODUCTION</w:t>
      </w:r>
    </w:p>
    <w:p w14:paraId="0EFDE138" w14:textId="77777777" w:rsidR="004C511C" w:rsidRDefault="00751A67">
      <w:pPr>
        <w:spacing w:after="60"/>
        <w:ind w:firstLine="216"/>
        <w:jc w:val="both"/>
      </w:pPr>
      <w:r>
        <w:rPr>
          <w:rFonts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14:paraId="3CB5DA71" w14:textId="77777777" w:rsidR="004C511C" w:rsidRDefault="00751A67">
      <w:pPr>
        <w:spacing w:after="60"/>
        <w:ind w:firstLine="216"/>
        <w:jc w:val="both"/>
      </w:pPr>
      <w:r>
        <w:rPr>
          <w:rFonts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14:paraId="2789E443" w14:textId="77777777" w:rsidR="004C511C" w:rsidRDefault="00751A67">
      <w:pPr>
        <w:spacing w:after="60"/>
        <w:ind w:firstLine="216"/>
        <w:jc w:val="both"/>
      </w:pPr>
      <w:r>
        <w:rPr>
          <w:rFonts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14:paraId="7006B58E" w14:textId="77777777" w:rsidR="004C511C" w:rsidRDefault="00751A67">
      <w:pPr>
        <w:spacing w:after="60"/>
        <w:ind w:firstLine="216"/>
        <w:jc w:val="both"/>
      </w:pPr>
      <w:r>
        <w:rPr>
          <w:rFonts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14:paraId="4C6FF2E9" w14:textId="77777777" w:rsidR="004C511C" w:rsidRDefault="00751A67">
      <w:pPr>
        <w:spacing w:before="120" w:after="60"/>
      </w:pPr>
      <w:r>
        <w:rPr>
          <w:b/>
        </w:rPr>
        <w:t>2. LITERATURE REVIEW AND RELATED WORK</w:t>
      </w:r>
    </w:p>
    <w:p w14:paraId="7DC6A4E4" w14:textId="77777777" w:rsidR="004C511C" w:rsidRDefault="00751A67">
      <w:pPr>
        <w:spacing w:after="60"/>
        <w:ind w:firstLine="216"/>
        <w:jc w:val="both"/>
      </w:pPr>
      <w:r>
        <w:rPr>
          <w:rFonts w:cs="Times New Roman"/>
        </w:rPr>
        <w:t>Predictive applications in cryptocurrency analytics have transitioned from standard regression models toward more complex deep learning sequences.</w:t>
      </w:r>
    </w:p>
    <w:p w14:paraId="48B0AD46" w14:textId="77777777" w:rsidR="004C511C" w:rsidRDefault="00751A67">
      <w:pPr>
        <w:spacing w:before="80" w:after="40"/>
      </w:pPr>
      <w:r>
        <w:rPr>
          <w:b/>
        </w:rPr>
        <w:t>2.1. Baselines and Deep Sequences (RNNs)</w:t>
      </w:r>
    </w:p>
    <w:p w14:paraId="3CF42661" w14:textId="77777777" w:rsidR="004C511C" w:rsidRDefault="00751A67">
      <w:pPr>
        <w:spacing w:after="60"/>
        <w:ind w:firstLine="216"/>
        <w:jc w:val="both"/>
      </w:pPr>
      <w:r>
        <w:rPr>
          <w:rFonts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14:paraId="7D7129CE" w14:textId="77777777" w:rsidR="004C511C" w:rsidRDefault="00751A67">
      <w:pPr>
        <w:spacing w:before="80" w:after="40"/>
      </w:pPr>
      <w:r>
        <w:rPr>
          <w:b/>
        </w:rPr>
        <w:t>2.2. Transformers in Time Series</w:t>
      </w:r>
    </w:p>
    <w:p w14:paraId="795DCA7B" w14:textId="21C0B9AB" w:rsidR="004C511C" w:rsidRDefault="00751A67">
      <w:pPr>
        <w:spacing w:after="60"/>
        <w:ind w:firstLine="216"/>
        <w:jc w:val="both"/>
      </w:pPr>
      <w:r>
        <w:rPr>
          <w:rFonts w:cs="Times New Roman"/>
        </w:rPr>
        <w:t>Transformer architectures, relying on Attention mechanisms [19], have increasingly been adapted for Time-Series forecasting [20]. The Informer Transformer [21], which utilizes sparse probabilistic self-attention (</w:t>
      </w:r>
      <m:oMath xmlns:mml="http://www.w3.org/1998/Math/MathML">
        <m:r>
          <m:t>O(L</m:t>
        </m:r>
        <m:r>
          <m:rPr>
            <m:sty m:val="p"/>
          </m:rPr>
          <m:t>log</m:t>
        </m:r>
        <m:r>
          <m:t>L)</m:t>
        </m:r>
      </m:oMath>
      <w:r>
        <w:rPr>
          <w:rFonts w:cs="Times New Roman"/>
        </w:rPr>
        <w:t>),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14:paraId="1E2DBA43" w14:textId="77777777" w:rsidR="004C511C" w:rsidRDefault="00751A67">
      <w:pPr>
        <w:spacing w:before="80" w:after="40"/>
      </w:pPr>
      <w:r>
        <w:rPr>
          <w:b/>
        </w:rPr>
        <w:t>2.3. The Need for BI Integration and Scope Justification</w:t>
      </w:r>
    </w:p>
    <w:p w14:paraId="5B4F4D44" w14:textId="77777777" w:rsidR="004C511C" w:rsidRDefault="00751A67">
      <w:pPr>
        <w:spacing w:after="60"/>
        <w:ind w:firstLine="216"/>
        <w:jc w:val="both"/>
      </w:pPr>
      <w:r>
        <w:rPr>
          <w:rFonts w:cs="Times New Roman"/>
        </w:rPr>
        <w:t xml:space="preserve">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w:t>
      </w:r>
      <w:r>
        <w:rPr>
          <w:rFonts w:cs="Times New Roman"/>
        </w:rPr>
        <w:lastRenderedPageBreak/>
        <w:t>into BI dashboards that compute Sharpe Ratios and Value-at-Risk (VaR)—metrics directly actionable in risk management—represents the principal novelty of this study [29].</w:t>
      </w:r>
    </w:p>
    <w:p w14:paraId="0C541B00" w14:textId="77777777" w:rsidR="004C511C" w:rsidRDefault="00751A67">
      <w:pPr>
        <w:spacing w:after="60"/>
        <w:ind w:firstLine="216"/>
        <w:jc w:val="both"/>
      </w:pPr>
      <w:r>
        <w:rPr>
          <w:rFonts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14:paraId="119C74B1" w14:textId="77777777" w:rsidR="004C511C" w:rsidRDefault="00751A67">
      <w:pPr>
        <w:spacing w:before="120" w:after="60"/>
      </w:pPr>
      <w:r>
        <w:rPr>
          <w:b/>
        </w:rPr>
        <w:t>3. SYSTEM ARCHITECTURE AND FRAMEWORK DESIGN</w:t>
      </w:r>
    </w:p>
    <w:p w14:paraId="3A356BCA" w14:textId="77777777" w:rsidR="004C511C" w:rsidRDefault="00751A67">
      <w:pPr>
        <w:spacing w:after="60"/>
        <w:ind w:firstLine="216"/>
        <w:jc w:val="both"/>
      </w:pPr>
      <w:r>
        <w:rPr>
          <w:rFonts w:cs="Times New Roman"/>
        </w:rPr>
        <w:t>The proposed framework adopts a four-layer architecture mapping data ingestions directly into a BI interface.</w:t>
      </w:r>
    </w:p>
    <w:p w14:paraId="2E74F4C8" w14:textId="77777777" w:rsidR="004C511C" w:rsidRDefault="00751A67">
      <w:pPr>
        <w:spacing w:before="80" w:after="40"/>
      </w:pPr>
      <w:r>
        <w:rPr>
          <w:b/>
        </w:rPr>
        <w:t>3.1. High-Frequency Data Extraction</w:t>
      </w:r>
    </w:p>
    <w:p w14:paraId="57DF72AC" w14:textId="02B1D8B9" w:rsidR="004C511C" w:rsidRDefault="00751A67">
      <w:pPr>
        <w:spacing w:after="60"/>
        <w:ind w:firstLine="216"/>
        <w:jc w:val="both"/>
      </w:pPr>
      <w:r>
        <w:rPr>
          <w:rFonts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w:t>
      </w:r>
      <m:oMath xmlns:mml="http://www.w3.org/1998/Math/MathML">
        <m:r>
          <m:t>p&lt;0.05</m:t>
        </m:r>
      </m:oMath>
      <w:r>
        <w:rPr>
          <w:rFonts w:cs="Times New Roman"/>
        </w:rPr>
        <w:t>) and ensuring compliance with stationarity preconditions required for reliable sequential deep learning inference.</w:t>
      </w:r>
    </w:p>
    <w:p w14:paraId="323F1E68" w14:textId="77777777" w:rsidR="004C511C" w:rsidRDefault="00751A67">
      <w:pPr>
        <w:spacing w:before="80" w:after="40"/>
      </w:pPr>
      <w:r>
        <w:rPr>
          <w:b/>
        </w:rPr>
        <w:t>3.2. Walk-Forward Validation Protocol</w:t>
      </w:r>
    </w:p>
    <w:p w14:paraId="3A7E412A" w14:textId="77777777" w:rsidR="004C511C" w:rsidRDefault="00751A67">
      <w:pPr>
        <w:spacing w:after="60"/>
        <w:ind w:firstLine="216"/>
        <w:jc w:val="both"/>
      </w:pPr>
      <w:r>
        <w:rPr>
          <w:rFonts w:cs="Times New Roman"/>
        </w:rPr>
        <w:t>Missing API timestamps (~0.4% dropout rate) were handled using polynomial linear interpolation [31]. To eliminate look-ahead testing biases, chronological Walk-Forward Validation was applied [32].</w:t>
      </w:r>
    </w:p>
    <w:p w14:paraId="1896C9BE" w14:textId="77777777" w:rsidR="004C511C" w:rsidRDefault="00751A67">
      <w:pPr>
        <w:pBdr>
          <w:top w:val="double" w:sz="6" w:space="0" w:color="000000"/>
          <w:bottom w:val="single" w:sz="4" w:space="0" w:color="000000"/>
        </w:pBdr>
        <w:spacing w:before="60" w:after="30"/>
        <w:jc w:val="both"/>
      </w:pPr>
      <w:r>
        <w:rPr>
          <w:rFonts w:cs="Times New Roman"/>
          <w:b/>
        </w:rPr>
        <w:t>Algorithm 14-Layer BI-ML Implementation Pipeline</w:t>
      </w:r>
    </w:p>
    <w:p w14:paraId="6BC63D8F" w14:textId="77777777" w:rsidR="004C511C" w:rsidRDefault="00751A67">
      <w:pPr>
        <w:spacing w:after="0"/>
        <w:jc w:val="both"/>
      </w:pPr>
      <w:r>
        <w:rPr>
          <w:rFonts w:cs="Times New Roman"/>
        </w:rPr>
        <w:t>Input:</w:t>
      </w:r>
    </w:p>
    <w:p w14:paraId="2F34985A" w14:textId="77777777" w:rsidR="004C511C" w:rsidRDefault="00751A67">
      <w:pPr>
        <w:spacing w:after="0"/>
        <w:jc w:val="both"/>
      </w:pPr>
      <w:r>
        <w:rPr>
          <w:rFonts w:cs="Times New Roman"/>
        </w:rPr>
        <w:t>High-frequency Cryptocurrency OHLCV Spot Data</w:t>
      </w:r>
    </w:p>
    <w:p w14:paraId="0FC582D9" w14:textId="77777777" w:rsidR="004C511C" w:rsidRDefault="00751A67">
      <w:pPr>
        <w:spacing w:after="0"/>
        <w:jc w:val="both"/>
      </w:pPr>
      <w:r>
        <w:rPr>
          <w:rFonts w:cs="Times New Roman"/>
        </w:rPr>
        <w:t>Output:</w:t>
      </w:r>
    </w:p>
    <w:p w14:paraId="2739839E" w14:textId="77777777" w:rsidR="004C511C" w:rsidRDefault="00751A67">
      <w:pPr>
        <w:spacing w:after="0"/>
        <w:jc w:val="both"/>
      </w:pPr>
      <w:r>
        <w:rPr>
          <w:rFonts w:cs="Times New Roman"/>
        </w:rPr>
        <w:t>Risk-adjusted Dashboard Matrix (</w:t>
      </w:r>
    </w:p>
    <w:p w14:paraId="647B147F" w14:textId="77777777" w:rsidR="004C511C" w:rsidRDefault="00751A67">
      <w:pPr>
        <w:spacing w:after="0"/>
        <w:jc w:val="both"/>
      </w:pPr>
      <w:r>
        <w:rPr>
          <w:rFonts w:cs="Times New Roman"/>
        </w:rPr>
        <w:t>Sharpe Ratio, VaR</w:t>
      </w:r>
    </w:p>
    <w:p w14:paraId="60CE2CA5" w14:textId="77777777" w:rsidR="004C511C" w:rsidRDefault="00751A67">
      <w:pPr>
        <w:spacing w:after="0"/>
        <w:jc w:val="both"/>
      </w:pPr>
      <w:r>
        <w:rPr>
          <w:rFonts w:cs="Times New Roman"/>
        </w:rPr>
        <w:t>)</w:t>
      </w:r>
    </w:p>
    <w:p w14:paraId="60938DFB" w14:textId="77777777" w:rsidR="004C511C" w:rsidRDefault="00751A67">
      <w:pPr>
        <w:spacing w:after="0"/>
        <w:jc w:val="both"/>
      </w:pPr>
      <w:r>
        <w:rPr>
          <w:rFonts w:cs="Times New Roman"/>
        </w:rPr>
        <w:t>1:</w:t>
      </w:r>
    </w:p>
    <w:p w14:paraId="17BAC06F" w14:textId="77777777" w:rsidR="004C511C" w:rsidRDefault="00751A67">
      <w:pPr>
        <w:spacing w:after="0"/>
        <w:jc w:val="both"/>
      </w:pPr>
      <w:r>
        <w:rPr>
          <w:rFonts w:cs="Times New Roman"/>
        </w:rPr>
        <w:t>// Layer 1: Data Ingestion</w:t>
      </w:r>
    </w:p>
    <w:p w14:paraId="72752B87" w14:textId="77777777" w:rsidR="004C511C" w:rsidRDefault="00751A67">
      <w:pPr>
        <w:spacing w:after="0"/>
        <w:jc w:val="both"/>
      </w:pPr>
      <w:r>
        <w:rPr>
          <w:rFonts w:cs="Times New Roman"/>
        </w:rPr>
        <w:t>2: raw\_data ← BinanceAPI(symbol="BTCUSDT", interval="1h")</w:t>
      </w:r>
    </w:p>
    <w:p w14:paraId="1413C5A5" w14:textId="77777777" w:rsidR="004C511C" w:rsidRDefault="00751A67">
      <w:pPr>
        <w:spacing w:after="0"/>
        <w:jc w:val="both"/>
      </w:pPr>
      <w:r>
        <w:rPr>
          <w:rFonts w:cs="Times New Roman"/>
        </w:rPr>
        <w:t>3:</w:t>
      </w:r>
    </w:p>
    <w:p w14:paraId="5591F81F" w14:textId="77777777" w:rsidR="004C511C" w:rsidRDefault="00751A67">
      <w:pPr>
        <w:spacing w:after="0"/>
        <w:jc w:val="both"/>
      </w:pPr>
      <w:r>
        <w:rPr>
          <w:rFonts w:cs="Times New Roman"/>
        </w:rPr>
        <w:t>4:</w:t>
      </w:r>
    </w:p>
    <w:p w14:paraId="5BE8AB68" w14:textId="77777777" w:rsidR="004C511C" w:rsidRDefault="00751A67">
      <w:pPr>
        <w:spacing w:after="0"/>
        <w:jc w:val="both"/>
      </w:pPr>
      <w:r>
        <w:rPr>
          <w:rFonts w:cs="Times New Roman"/>
        </w:rPr>
        <w:t>// Layer 2: ETL Transformation &amp; Feature Engineering</w:t>
      </w:r>
    </w:p>
    <w:p w14:paraId="08048F13" w14:textId="77777777" w:rsidR="004C511C" w:rsidRDefault="00751A67">
      <w:pPr>
        <w:spacing w:after="0"/>
        <w:jc w:val="both"/>
      </w:pPr>
      <w:r>
        <w:rPr>
          <w:rFonts w:cs="Times New Roman"/>
        </w:rPr>
        <w:t>5: clean\_data ← PolynomialInterpolate(raw\_data)</w:t>
      </w:r>
    </w:p>
    <w:p w14:paraId="31F17AA9" w14:textId="77777777" w:rsidR="004C511C" w:rsidRDefault="00751A67">
      <w:pPr>
        <w:spacing w:after="0"/>
        <w:jc w:val="both"/>
      </w:pPr>
      <w:r>
        <w:rPr>
          <w:rFonts w:cs="Times New Roman"/>
        </w:rPr>
        <w:t>6: Extracted\_Features ← GenerateIndicators(clean\_data)</w:t>
      </w:r>
    </w:p>
    <w:p w14:paraId="17FB660F" w14:textId="77777777" w:rsidR="004C511C" w:rsidRDefault="00751A67">
      <w:pPr>
        <w:spacing w:after="0"/>
        <w:jc w:val="both"/>
      </w:pPr>
      <w:r>
        <w:rPr>
          <w:rFonts w:cs="Times New Roman"/>
        </w:rPr>
        <w:t>// MACD, \sigma_t</w:t>
      </w:r>
    </w:p>
    <w:p w14:paraId="22871DED" w14:textId="77777777" w:rsidR="004C511C" w:rsidRDefault="00751A67">
      <w:pPr>
        <w:spacing w:after="0"/>
        <w:jc w:val="both"/>
      </w:pPr>
      <w:r>
        <w:rPr>
          <w:rFonts w:cs="Times New Roman"/>
        </w:rPr>
        <w:t>7: Folds ← WalkForwardSplit(Extracted\_Features, train=720, test=168)</w:t>
      </w:r>
    </w:p>
    <w:p w14:paraId="3493C3B9" w14:textId="77777777" w:rsidR="004C511C" w:rsidRDefault="00751A67">
      <w:pPr>
        <w:spacing w:after="0"/>
        <w:jc w:val="both"/>
      </w:pPr>
      <w:r>
        <w:rPr>
          <w:rFonts w:cs="Times New Roman"/>
        </w:rPr>
        <w:t>8:</w:t>
      </w:r>
    </w:p>
    <w:p w14:paraId="23C853A5" w14:textId="77777777" w:rsidR="004C511C" w:rsidRDefault="00751A67">
      <w:pPr>
        <w:spacing w:after="0"/>
        <w:jc w:val="both"/>
      </w:pPr>
      <w:r>
        <w:rPr>
          <w:rFonts w:cs="Times New Roman"/>
        </w:rPr>
        <w:t>9:</w:t>
      </w:r>
    </w:p>
    <w:p w14:paraId="573DA6B3" w14:textId="77777777" w:rsidR="004C511C" w:rsidRDefault="00751A67">
      <w:pPr>
        <w:spacing w:after="0"/>
        <w:jc w:val="both"/>
      </w:pPr>
      <w:r>
        <w:rPr>
          <w:rFonts w:cs="Times New Roman"/>
        </w:rPr>
        <w:t>// Layer 3: ML Inference Regimes</w:t>
      </w:r>
    </w:p>
    <w:p w14:paraId="7330FEFC" w14:textId="77777777" w:rsidR="004C511C" w:rsidRDefault="00751A67">
      <w:pPr>
        <w:spacing w:after="0"/>
        <w:jc w:val="both"/>
      </w:pPr>
      <w:r>
        <w:rPr>
          <w:rFonts w:cs="Times New Roman"/>
        </w:rPr>
        <w:t>10:</w:t>
      </w:r>
    </w:p>
    <w:p w14:paraId="39B30135" w14:textId="77777777" w:rsidR="004C511C" w:rsidRDefault="00751A67">
      <w:pPr>
        <w:spacing w:after="0"/>
        <w:jc w:val="both"/>
      </w:pPr>
      <w:r>
        <w:rPr>
          <w:rFonts w:cs="Times New Roman"/>
        </w:rPr>
        <w:t>for</w:t>
      </w:r>
    </w:p>
    <w:p w14:paraId="23422B3E" w14:textId="77777777" w:rsidR="004C511C" w:rsidRDefault="00751A67">
      <w:pPr>
        <w:spacing w:after="0"/>
        <w:jc w:val="both"/>
      </w:pPr>
      <w:r>
        <w:rPr>
          <w:rFonts w:cs="Times New Roman"/>
        </w:rPr>
        <w:t>each validation\_fold ∈ Folds</w:t>
      </w:r>
    </w:p>
    <w:p w14:paraId="3C81ACF6" w14:textId="77777777" w:rsidR="004C511C" w:rsidRDefault="00751A67">
      <w:pPr>
        <w:spacing w:after="0"/>
        <w:jc w:val="both"/>
      </w:pPr>
      <w:r>
        <w:rPr>
          <w:rFonts w:cs="Times New Roman"/>
        </w:rPr>
        <w:t>do</w:t>
      </w:r>
    </w:p>
    <w:p w14:paraId="55D51F20" w14:textId="77777777" w:rsidR="004C511C" w:rsidRDefault="00751A67">
      <w:pPr>
        <w:spacing w:after="0"/>
        <w:jc w:val="both"/>
      </w:pPr>
      <w:r>
        <w:rPr>
          <w:rFonts w:cs="Times New Roman"/>
        </w:rPr>
        <w:t>11:     scale\_params ← MinMaxFit(validation\_fold.train)</w:t>
      </w:r>
    </w:p>
    <w:p w14:paraId="6C17EC95" w14:textId="77777777" w:rsidR="004C511C" w:rsidRDefault="00751A67">
      <w:pPr>
        <w:spacing w:after="0"/>
        <w:jc w:val="both"/>
      </w:pPr>
      <w:r>
        <w:rPr>
          <w:rFonts w:cs="Times New Roman"/>
        </w:rPr>
        <w:t>12:     weights ← TrainNetwork(validation\_fold.train, scale\_params)</w:t>
      </w:r>
    </w:p>
    <w:p w14:paraId="6CDC07C9" w14:textId="77777777" w:rsidR="004C511C" w:rsidRDefault="00751A67">
      <w:pPr>
        <w:spacing w:after="0"/>
        <w:jc w:val="both"/>
      </w:pPr>
      <w:r>
        <w:rPr>
          <w:rFonts w:cs="Times New Roman"/>
        </w:rPr>
        <w:t>13:     predict\_tensor ← weights.predict(validation\_fold.test)</w:t>
      </w:r>
    </w:p>
    <w:p w14:paraId="5023AD5E" w14:textId="77777777" w:rsidR="004C511C" w:rsidRDefault="00751A67">
      <w:pPr>
        <w:spacing w:after="0"/>
        <w:jc w:val="both"/>
      </w:pPr>
      <w:r>
        <w:rPr>
          <w:rFonts w:cs="Times New Roman"/>
        </w:rPr>
        <w:t>14:</w:t>
      </w:r>
    </w:p>
    <w:p w14:paraId="03BED907" w14:textId="77777777" w:rsidR="004C511C" w:rsidRDefault="00751A67">
      <w:pPr>
        <w:spacing w:after="0"/>
        <w:jc w:val="both"/>
      </w:pPr>
      <w:r>
        <w:rPr>
          <w:rFonts w:cs="Times New Roman"/>
        </w:rPr>
        <w:t>end for</w:t>
      </w:r>
    </w:p>
    <w:p w14:paraId="4B9887E8" w14:textId="77777777" w:rsidR="004C511C" w:rsidRDefault="00751A67">
      <w:pPr>
        <w:spacing w:after="0"/>
        <w:jc w:val="both"/>
      </w:pPr>
      <w:r>
        <w:rPr>
          <w:rFonts w:cs="Times New Roman"/>
        </w:rPr>
        <w:t>15:</w:t>
      </w:r>
    </w:p>
    <w:p w14:paraId="35A2A91F" w14:textId="77777777" w:rsidR="004C511C" w:rsidRDefault="00751A67">
      <w:pPr>
        <w:spacing w:after="0"/>
        <w:jc w:val="both"/>
      </w:pPr>
      <w:r>
        <w:rPr>
          <w:rFonts w:cs="Times New Roman"/>
        </w:rPr>
        <w:t>16:</w:t>
      </w:r>
    </w:p>
    <w:p w14:paraId="3C3EDBEF" w14:textId="77777777" w:rsidR="004C511C" w:rsidRDefault="00751A67">
      <w:pPr>
        <w:spacing w:after="0"/>
        <w:jc w:val="both"/>
      </w:pPr>
      <w:r>
        <w:rPr>
          <w:rFonts w:cs="Times New Roman"/>
        </w:rPr>
        <w:t>// Layer 4: BI Dashboard Integration &amp; Extraction</w:t>
      </w:r>
    </w:p>
    <w:p w14:paraId="52883936" w14:textId="77777777" w:rsidR="004C511C" w:rsidRDefault="00751A67">
      <w:pPr>
        <w:spacing w:after="0"/>
        <w:jc w:val="both"/>
      </w:pPr>
      <w:r>
        <w:rPr>
          <w:rFonts w:cs="Times New Roman"/>
        </w:rPr>
        <w:t>17: residual\_vectors ← CalculateResiduals(actual, predict\_tensor)</w:t>
      </w:r>
    </w:p>
    <w:p w14:paraId="4F07C134" w14:textId="77777777" w:rsidR="004C511C" w:rsidRDefault="00751A67">
      <w:pPr>
        <w:spacing w:after="0"/>
        <w:jc w:val="both"/>
      </w:pPr>
      <w:r>
        <w:rPr>
          <w:rFonts w:cs="Times New Roman"/>
        </w:rPr>
        <w:t>18: PostgreSQL\_DataMart.INSERT(residual\_vectors)</w:t>
      </w:r>
    </w:p>
    <w:p w14:paraId="778BDA01" w14:textId="77777777" w:rsidR="004C511C" w:rsidRDefault="00751A67">
      <w:pPr>
        <w:spacing w:after="0"/>
        <w:jc w:val="both"/>
      </w:pPr>
      <w:r>
        <w:rPr>
          <w:rFonts w:cs="Times New Roman"/>
        </w:rPr>
        <w:t>19: PowerBI\_Dashboard.Render(Sharpe(residual\_vectors), VaR(residual\_vectors))</w:t>
      </w:r>
    </w:p>
    <w:p w14:paraId="4B374AB4" w14:textId="77777777" w:rsidR="004C511C" w:rsidRDefault="004C511C">
      <w:pPr>
        <w:pBdr>
          <w:bottom w:val="double" w:sz="6" w:space="0" w:color="000000"/>
        </w:pBdr>
        <w:spacing w:after="60"/>
      </w:pPr>
    </w:p>
    <w:p w14:paraId="2339BC6D" w14:textId="77777777" w:rsidR="004C511C" w:rsidRDefault="00751A67">
      <w:pPr>
        <w:spacing w:after="60"/>
        <w:ind w:firstLine="216"/>
        <w:jc w:val="both"/>
      </w:pPr>
      <w:r>
        <w:rPr>
          <w:rFonts w:cs="Times New Roman"/>
        </w:rPr>
        <w:t>Min-Max Scaling (Equation 1) anchored variables exclusively to localized training folds.</w:t>
      </w:r>
    </w:p>
    <w:p w14:paraId="78FE5DB0" w14:textId="1A8BF0C7" w:rsidR="004C511C" w:rsidRDefault="0070387E">
      <w:pPr>
        <w:spacing w:before="60" w:after="60"/>
        <w:jc w:val="center"/>
      </w:pPr>
      <m:oMathPara>
        <m:oMath xmlns:mml="http://www.w3.org/1998/Math/MathML">
          <m:sSub>
            <m:e>
              <m:r>
                <m:t>X</m:t>
              </m:r>
            </m:e>
            <m:sub>
              <m:r>
                <m:t>norm</m:t>
              </m:r>
            </m:sub>
          </m:sSub>
          <m:r>
            <m:t>=</m:t>
          </m:r>
          <m:f>
            <m:fPr>
              <m:type m:val="bar"/>
            </m:fPr>
            <m:num>
              <m:r>
                <m:t>X−</m:t>
              </m:r>
              <m:sSub>
                <m:e>
                  <m:r>
                    <m:t>X</m:t>
                  </m:r>
                </m:e>
                <m:sub>
                  <m:r>
                    <m:t>min</m:t>
                  </m:r>
                </m:sub>
              </m:sSub>
            </m:num>
            <m:den>
              <m:sSub>
                <m:e>
                  <m:r>
                    <m:t>X</m:t>
                  </m:r>
                </m:e>
                <m:sub>
                  <m:r>
                    <m:t>max</m:t>
                  </m:r>
                </m:sub>
              </m:sSub>
              <m:r>
                <m:t>−</m:t>
              </m:r>
              <m:sSub>
                <m:e>
                  <m:r>
                    <m:t>X</m:t>
                  </m:r>
                </m:e>
                <m:sub>
                  <m:r>
                    <m:t>min</m:t>
                  </m:r>
                </m:sub>
              </m:sSub>
            </m:den>
          </m:f>
        </m:oMath>
      </m:oMathPara>
    </w:p>
    <w:p w14:paraId="515D1CB3" w14:textId="77777777" w:rsidR="004C511C" w:rsidRDefault="00751A67">
      <w:pPr>
        <w:spacing w:before="60" w:after="30"/>
        <w:jc w:val="center"/>
      </w:pPr>
      <w:r>
        <w:rPr>
          <w:noProof/>
        </w:rPr>
        <w:drawing>
          <wp:inline distT="0" distB="0" distL="0" distR="0" wp14:anchorId="5FA42962" wp14:editId="37D47410">
            <wp:extent cx="2560320" cy="933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60320" cy="933784"/>
                    </a:xfrm>
                    <a:prstGeom prst="rect">
                      <a:avLst/>
                    </a:prstGeom>
                  </pic:spPr>
                </pic:pic>
              </a:graphicData>
            </a:graphic>
          </wp:inline>
        </w:drawing>
      </w:r>
    </w:p>
    <w:p w14:paraId="7C22F14A" w14:textId="77777777" w:rsidR="004C511C" w:rsidRDefault="00751A67">
      <w:pPr>
        <w:spacing w:after="60"/>
        <w:jc w:val="center"/>
      </w:pPr>
      <w:r>
        <w:rPr>
          <w:rFonts w:cs="Times New Roman"/>
        </w:rPr>
        <w:t>Fig. 1. Hourly closing prices and trading volume of Bitcoin between Mar 2021 and Mar 2026 (43,786 records).</w:t>
      </w:r>
    </w:p>
    <w:p w14:paraId="638FA428" w14:textId="77777777" w:rsidR="004C511C" w:rsidRDefault="00751A67">
      <w:pPr>
        <w:spacing w:before="80" w:after="40"/>
      </w:pPr>
      <w:r>
        <w:rPr>
          <w:b/>
        </w:rPr>
        <w:t>3.3. Real-Time BI Implementation Specifications</w:t>
      </w:r>
    </w:p>
    <w:p w14:paraId="1899918A" w14:textId="77777777" w:rsidR="004C511C" w:rsidRDefault="00751A67">
      <w:pPr>
        <w:spacing w:after="60"/>
        <w:ind w:firstLine="216"/>
        <w:jc w:val="both"/>
      </w:pPr>
      <w:r>
        <w:rPr>
          <w:rFonts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14:paraId="56710A09" w14:textId="77777777" w:rsidR="004C511C" w:rsidRDefault="00751A67">
      <w:pPr>
        <w:spacing w:before="120" w:after="60"/>
      </w:pPr>
      <w:r>
        <w:rPr>
          <w:b/>
        </w:rPr>
        <w:t>4. FEATURE ENGINEERING AND SHAP ANALYSIS</w:t>
      </w:r>
    </w:p>
    <w:p w14:paraId="499AF03B" w14:textId="77777777" w:rsidR="004C511C" w:rsidRDefault="00751A67">
      <w:pPr>
        <w:spacing w:after="60"/>
        <w:ind w:firstLine="216"/>
        <w:jc w:val="both"/>
      </w:pPr>
      <w:r>
        <w:rPr>
          <w:rFonts w:cs="Times New Roman"/>
        </w:rPr>
        <w:t>Depending categorically on univariate sequences ignores market momentum velocity [33]. Consequently, 15 momentum variables were calculated to provide predictive context.</w:t>
      </w:r>
    </w:p>
    <w:p w14:paraId="57FEF607" w14:textId="77777777" w:rsidR="004C511C" w:rsidRDefault="00751A67">
      <w:pPr>
        <w:spacing w:before="80" w:after="40"/>
      </w:pPr>
      <w:r>
        <w:rPr>
          <w:b/>
        </w:rPr>
        <w:t>4.1. Technical Indicators computation</w:t>
      </w:r>
    </w:p>
    <w:p w14:paraId="6B314847" w14:textId="77777777" w:rsidR="004C511C" w:rsidRDefault="00751A67">
      <w:pPr>
        <w:spacing w:after="60"/>
        <w:ind w:firstLine="216"/>
        <w:jc w:val="both"/>
      </w:pPr>
      <w:r>
        <w:rPr>
          <w:rFonts w:cs="Times New Roman"/>
        </w:rPr>
        <w:t>Moving Average Convergence Divergence (MACD) limits were applied [34]:</w:t>
      </w:r>
    </w:p>
    <w:p w14:paraId="5CAEAE8C" w14:textId="7D12674E" w:rsidR="004C511C" w:rsidRDefault="00751A67">
      <w:pPr>
        <w:spacing w:before="60" w:after="60"/>
        <w:jc w:val="center"/>
      </w:pPr>
      <m:oMathPara>
        <m:oMath xmlns:mml="http://www.w3.org/1998/Math/MathML">
          <m:r>
            <m:t>MACD=EM</m:t>
          </m:r>
          <m:sSub>
            <m:e>
              <m:r>
                <m:t>A</m:t>
              </m:r>
            </m:e>
            <m:sub>
              <m:r>
                <m:t>12</m:t>
              </m:r>
            </m:sub>
          </m:sSub>
          <m:r>
            <m:t>−EM</m:t>
          </m:r>
          <m:sSub>
            <m:e>
              <m:r>
                <m:t>A</m:t>
              </m:r>
            </m:e>
            <m:sub>
              <m:r>
                <m:t>26</m:t>
              </m:r>
            </m:sub>
          </m:sSub>
        </m:oMath>
      </m:oMathPara>
    </w:p>
    <w:p w14:paraId="346B1A49" w14:textId="6DE0633A" w:rsidR="004C511C" w:rsidRDefault="00751A67">
      <w:pPr>
        <w:spacing w:after="60"/>
        <w:ind w:firstLine="216"/>
        <w:jc w:val="both"/>
      </w:pPr>
      <w:r>
        <w:rPr>
          <w:rFonts w:cs="Times New Roman"/>
        </w:rPr>
        <w:t>Logarithmic normalization arrays defined rolling standard deviation (</w:t>
      </w:r>
      <m:oMath xmlns:mml="http://www.w3.org/1998/Math/MathML">
        <m:sSub>
          <m:e>
            <m:r>
              <m:t>σ</m:t>
            </m:r>
          </m:e>
          <m:sub>
            <m:r>
              <m:t>t</m:t>
            </m:r>
          </m:sub>
        </m:sSub>
      </m:oMath>
      <w:r>
        <w:rPr>
          <w:rFonts w:cs="Times New Roman"/>
        </w:rPr>
        <w:t>):</w:t>
      </w:r>
    </w:p>
    <w:p w14:paraId="0BDC2BCE" w14:textId="5541DB96" w:rsidR="004C511C" w:rsidRDefault="0070387E">
      <w:pPr>
        <w:spacing w:before="60" w:after="60"/>
        <w:jc w:val="center"/>
      </w:pPr>
      <m:oMathPara>
        <m:oMath xmlns:mml="http://www.w3.org/1998/Math/MathML">
          <m:sSub>
            <m:e>
              <m:r>
                <m:t>σ</m:t>
              </m:r>
            </m:e>
            <m:sub>
              <m:r>
                <m:t>t</m:t>
              </m:r>
            </m:sub>
          </m:sSub>
          <m:r>
            <m:t>=</m:t>
          </m:r>
          <m:rad>
            <m:radPr>
              <m:degHide m:val="on"/>
            </m:radPr>
            <m:deg/>
            <m:e>
              <m:f>
                <m:fPr>
                  <m:type m:val="bar"/>
                </m:fPr>
                <m:num>
                  <m:r>
                    <m:t>1</m:t>
                  </m:r>
                </m:num>
                <m:den>
                  <m:r>
                    <m:t>n</m:t>
                  </m:r>
                </m:den>
              </m:f>
              <m:nary>
                <m:naryPr>
                  <m:chr m:val="∑"/>
                  <m:limLoc m:val="subSup"/>
                  <m:grow m:val="1"/>
                  <m:subHide m:val="off"/>
                  <m:supHide m:val="off"/>
                </m:naryPr>
                <m:sub>
                  <m:r>
                    <m:t>i=0</m:t>
                  </m:r>
                </m:sub>
                <m:sup>
                  <m:r>
                    <m:t>n−1</m:t>
                  </m:r>
                </m:sup>
                <m:e/>
              </m:nary>
              <m:r>
                <m:t>(</m:t>
              </m:r>
              <m:sSub>
                <m:e>
                  <m:r>
                    <m:t>P</m:t>
                  </m:r>
                </m:e>
                <m:sub>
                  <m:r>
                    <m:t>t−i</m:t>
                  </m:r>
                </m:sub>
              </m:sSub>
              <m:r>
                <m:t>−</m:t>
              </m:r>
              <m:bar>
                <m:barPr>
                  <m:pos m:val="top"/>
                </m:barPr>
                <m:e>
                  <m:r>
                    <m:t>P</m:t>
                  </m:r>
                </m:e>
              </m:bar>
              <m:sSup>
                <m:e>
                  <m:r>
                    <m:t>)</m:t>
                  </m:r>
                </m:e>
                <m:sup>
                  <m:r>
                    <m:t>2</m:t>
                  </m:r>
                </m:sup>
              </m:sSup>
            </m:e>
          </m:rad>
        </m:oMath>
      </m:oMathPara>
    </w:p>
    <w:p w14:paraId="188923AD" w14:textId="77777777" w:rsidR="004C511C" w:rsidRDefault="00751A67">
      <w:pPr>
        <w:spacing w:before="80" w:after="40"/>
      </w:pPr>
      <w:r>
        <w:rPr>
          <w:b/>
        </w:rPr>
        <w:t>4.2. Assessing Explicability via SHAP</w:t>
      </w:r>
    </w:p>
    <w:p w14:paraId="602A7345" w14:textId="77777777" w:rsidR="004C511C" w:rsidRDefault="00751A67">
      <w:pPr>
        <w:spacing w:after="60"/>
        <w:ind w:firstLine="216"/>
        <w:jc w:val="both"/>
      </w:pPr>
      <w:r>
        <w:rPr>
          <w:rFonts w:cs="Times New Roman"/>
        </w:rPr>
        <w:t>Assessing dense-layer activation required SHapley Additive exPlanations (SHAP) evaluations [35]. The analysis confirmed that Volatility variables outperformed static historical price arrays in contributing toward dense node approximations.</w:t>
      </w:r>
    </w:p>
    <w:p w14:paraId="57950C96" w14:textId="77777777" w:rsidR="004C511C" w:rsidRDefault="00751A67">
      <w:pPr>
        <w:spacing w:before="120" w:after="60"/>
      </w:pPr>
      <w:r>
        <w:rPr>
          <w:b/>
        </w:rPr>
        <w:t>5. ALGORITHMIC FORMULATIONS</w:t>
      </w:r>
    </w:p>
    <w:p w14:paraId="0C10AD43" w14:textId="77777777" w:rsidR="004C511C" w:rsidRDefault="00751A67">
      <w:pPr>
        <w:spacing w:after="60"/>
        <w:ind w:firstLine="216"/>
        <w:jc w:val="both"/>
      </w:pPr>
      <w:r>
        <w:rPr>
          <w:rFonts w:cs="Times New Roman"/>
        </w:rPr>
        <w:t>Evaluations encompassed a 720-hour (30-day) training step paired against a 168-hour (7-day) projection window. Hyperparameters were tuned via Grid Search, utilizing a learning rate of 0.001 (Adam optimizer) alongside a dropout value of 0.2.</w:t>
      </w:r>
    </w:p>
    <w:p w14:paraId="76D3A3DA" w14:textId="77777777" w:rsidR="004C511C" w:rsidRDefault="00751A67">
      <w:pPr>
        <w:spacing w:before="80" w:after="40"/>
      </w:pPr>
      <w:r>
        <w:rPr>
          <w:b/>
        </w:rPr>
        <w:t>5.1. Baselines: Sequences and Trees</w:t>
      </w:r>
    </w:p>
    <w:p w14:paraId="3041CB19" w14:textId="5703B88A" w:rsidR="004C511C" w:rsidRDefault="00751A67">
      <w:pPr>
        <w:spacing w:after="60"/>
        <w:ind w:firstLine="216"/>
        <w:jc w:val="both"/>
      </w:pPr>
      <w:r>
        <w:rPr>
          <w:rFonts w:cs="Times New Roman"/>
        </w:rPr>
        <w:t>XGBoost functions as the core benchmark non-sequential regressor. Correspondingly, LSTMs operate relying on forget gate arrays (</w:t>
      </w:r>
      <m:oMath xmlns:mml="http://www.w3.org/1998/Math/MathML">
        <m:sSub>
          <m:e>
            <m:r>
              <m:t>f</m:t>
            </m:r>
          </m:e>
          <m:sub>
            <m:r>
              <m:t>t</m:t>
            </m:r>
          </m:sub>
        </m:sSub>
      </m:oMath>
      <w:r>
        <w:rPr>
          <w:rFonts w:cs="Times New Roman"/>
        </w:rPr>
        <w:t>):</w:t>
      </w:r>
    </w:p>
    <w:p w14:paraId="67193CF2" w14:textId="1B476957" w:rsidR="004C511C" w:rsidRDefault="0070387E">
      <w:pPr>
        <w:spacing w:before="60" w:after="60"/>
        <w:jc w:val="center"/>
      </w:pPr>
      <m:oMathPara>
        <m:oMath xmlns:mml="http://www.w3.org/1998/Math/MathML">
          <m:sSub>
            <m:e>
              <m:r>
                <m:t>f</m:t>
              </m:r>
            </m:e>
            <m:sub>
              <m:r>
                <m:t>t</m:t>
              </m:r>
            </m:sub>
          </m:sSub>
          <m:r>
            <m:t>=σ(</m:t>
          </m:r>
          <m:sSub>
            <m:e>
              <m:r>
                <m:t>W</m:t>
              </m:r>
            </m:e>
            <m:sub>
              <m:r>
                <m:t>f</m:t>
              </m:r>
            </m:sub>
          </m:sSub>
          <m:r>
            <m:t>·[</m:t>
          </m:r>
          <m:sSub>
            <m:e>
              <m:r>
                <m:t>h</m:t>
              </m:r>
            </m:e>
            <m:sub>
              <m:r>
                <m:t>t−1</m:t>
              </m:r>
            </m:sub>
          </m:sSub>
          <m:r>
            <m:t>,</m:t>
          </m:r>
          <m:sSub>
            <m:e>
              <m:r>
                <m:t>x</m:t>
              </m:r>
            </m:e>
            <m:sub>
              <m:r>
                <m:t>t</m:t>
              </m:r>
            </m:sub>
          </m:sSub>
          <m:r>
            <m:t>]+</m:t>
          </m:r>
          <m:sSub>
            <m:e>
              <m:r>
                <m:t>b</m:t>
              </m:r>
            </m:e>
            <m:sub>
              <m:r>
                <m:t>f</m:t>
              </m:r>
            </m:sub>
          </m:sSub>
          <m:r>
            <m:t>)</m:t>
          </m:r>
        </m:oMath>
      </m:oMathPara>
    </w:p>
    <w:p w14:paraId="4E43F8F7" w14:textId="1518A6A7" w:rsidR="004C511C" w:rsidRDefault="00751A67">
      <w:pPr>
        <w:spacing w:after="60"/>
        <w:ind w:firstLine="216"/>
        <w:jc w:val="both"/>
      </w:pPr>
      <w:r>
        <w:rPr>
          <w:rFonts w:cs="Times New Roman"/>
        </w:rPr>
        <w:t>The GRU simplifies parameter boundaries utilizing direct Update mechanisms (</w:t>
      </w:r>
      <m:oMath xmlns:mml="http://www.w3.org/1998/Math/MathML">
        <m:sSub>
          <m:e>
            <m:r>
              <m:t>z</m:t>
            </m:r>
          </m:e>
          <m:sub>
            <m:r>
              <m:t>t</m:t>
            </m:r>
          </m:sub>
        </m:sSub>
      </m:oMath>
      <w:r>
        <w:rPr>
          <w:rFonts w:cs="Times New Roman"/>
        </w:rPr>
        <w:t>):</w:t>
      </w:r>
    </w:p>
    <w:p w14:paraId="20B2E889" w14:textId="146AA9FD" w:rsidR="004C511C" w:rsidRDefault="0070387E">
      <w:pPr>
        <w:spacing w:before="60" w:after="60"/>
        <w:jc w:val="center"/>
      </w:pPr>
      <m:oMathPara>
        <m:oMath xmlns:mml="http://www.w3.org/1998/Math/MathML">
          <m:sSub>
            <m:e>
              <m:r>
                <m:t>z</m:t>
              </m:r>
            </m:e>
            <m:sub>
              <m:r>
                <m:t>t</m:t>
              </m:r>
            </m:sub>
          </m:sSub>
          <m:r>
            <m:t>=σ(</m:t>
          </m:r>
          <m:sSub>
            <m:e>
              <m:r>
                <m:t>W</m:t>
              </m:r>
            </m:e>
            <m:sub>
              <m:r>
                <m:t>z</m:t>
              </m:r>
            </m:sub>
          </m:sSub>
          <m:r>
            <m:t>·[</m:t>
          </m:r>
          <m:sSub>
            <m:e>
              <m:r>
                <m:t>h</m:t>
              </m:r>
            </m:e>
            <m:sub>
              <m:r>
                <m:t>t−1</m:t>
              </m:r>
            </m:sub>
          </m:sSub>
          <m:r>
            <m:t>,</m:t>
          </m:r>
          <m:sSub>
            <m:e>
              <m:r>
                <m:t>x</m:t>
              </m:r>
            </m:e>
            <m:sub>
              <m:r>
                <m:t>t</m:t>
              </m:r>
            </m:sub>
          </m:sSub>
          <m:r>
            <m:t>]+</m:t>
          </m:r>
          <m:sSub>
            <m:e>
              <m:r>
                <m:t>b</m:t>
              </m:r>
            </m:e>
            <m:sub>
              <m:r>
                <m:t>z</m:t>
              </m:r>
            </m:sub>
          </m:sSub>
          <m:r>
            <m:t>)</m:t>
          </m:r>
        </m:oMath>
      </m:oMathPara>
    </w:p>
    <w:p w14:paraId="0A8F8A38" w14:textId="77777777" w:rsidR="004C511C" w:rsidRDefault="00751A67">
      <w:pPr>
        <w:spacing w:before="80" w:after="40"/>
      </w:pPr>
      <w:r>
        <w:rPr>
          <w:b/>
        </w:rPr>
        <w:t>5.2. Informer Transformer Model</w:t>
      </w:r>
    </w:p>
    <w:p w14:paraId="3FB62D88" w14:textId="5CAAEA2D" w:rsidR="004C511C" w:rsidRDefault="00751A67">
      <w:pPr>
        <w:spacing w:after="60"/>
        <w:ind w:firstLine="216"/>
        <w:jc w:val="both"/>
      </w:pPr>
      <w:r>
        <w:rPr>
          <w:rFonts w:cs="Times New Roman"/>
        </w:rPr>
        <w:t>The state-of-the-art Informer architecture abandons chronological stepwise recursion. By utilizing ProbSparse Self-Attention (</w:t>
      </w:r>
      <m:oMath xmlns:mml="http://www.w3.org/1998/Math/MathML">
        <m:r>
          <m:t>O(L</m:t>
        </m:r>
        <m:r>
          <m:rPr>
            <m:sty m:val="p"/>
          </m:rPr>
          <m:t>log</m:t>
        </m:r>
        <m:r>
          <m:t>L)</m:t>
        </m:r>
      </m:oMath>
      <w:r>
        <w:rPr>
          <w:rFonts w:cs="Times New Roman"/>
        </w:rPr>
        <w:t>), it evaluates relationships between sequence tokens [21]:</w:t>
      </w:r>
    </w:p>
    <w:p w14:paraId="4AFD942C" w14:textId="602CA5A8" w:rsidR="004C511C" w:rsidRDefault="00751A67">
      <w:pPr>
        <w:spacing w:before="60" w:after="60"/>
        <w:jc w:val="center"/>
      </w:pPr>
      <m:oMathPara>
        <m:oMath xmlns:mml="http://www.w3.org/1998/Math/MathML">
          <m:r>
            <m:rPr>
              <m:sty m:val="p"/>
            </m:rPr>
            <m:t>Attention</m:t>
          </m:r>
          <m:r>
            <m:t>(Q,K,V)=</m:t>
          </m:r>
          <m:r>
            <m:rPr>
              <m:sty m:val="p"/>
            </m:rPr>
            <m:t>Softmax</m:t>
          </m:r>
          <m:r>
            <m:t>(</m:t>
          </m:r>
          <m:f>
            <m:fPr>
              <m:type m:val="bar"/>
            </m:fPr>
            <m:num>
              <m:r>
                <m:t>Q</m:t>
              </m:r>
              <m:sSup>
                <m:e>
                  <m:r>
                    <m:t>K</m:t>
                  </m:r>
                </m:e>
                <m:sup>
                  <m:r>
                    <m:t>T</m:t>
                  </m:r>
                </m:sup>
              </m:sSup>
            </m:num>
            <m:den>
              <m:rad>
                <m:radPr>
                  <m:degHide m:val="on"/>
                </m:radPr>
                <m:deg/>
                <m:e>
                  <m:sSub>
                    <m:e>
                      <m:r>
                        <m:t>d</m:t>
                      </m:r>
                    </m:e>
                    <m:sub>
                      <m:r>
                        <m:t>k</m:t>
                      </m:r>
                    </m:sub>
                  </m:sSub>
                </m:e>
              </m:rad>
            </m:den>
          </m:f>
          <m:r>
            <m:t>)</m:t>
          </m:r>
          <m:r>
            <m:t>V</m:t>
          </m:r>
        </m:oMath>
      </m:oMathPara>
    </w:p>
    <w:p w14:paraId="7D2A26AF" w14:textId="74B155A6" w:rsidR="004C511C" w:rsidRDefault="00751A67">
      <w:pPr>
        <w:spacing w:after="60"/>
        <w:ind w:firstLine="216"/>
        <w:jc w:val="both"/>
      </w:pPr>
      <w:r>
        <w:rPr>
          <w:rFonts w:cs="Times New Roman"/>
        </w:rPr>
        <w:t xml:space="preserve">where </w:t>
      </w:r>
      <m:oMath xmlns:mml="http://www.w3.org/1998/Math/MathML">
        <m:bar>
          <m:barPr>
            <m:pos m:val="top"/>
          </m:barPr>
          <m:e>
            <m:r>
              <m:t>Q</m:t>
            </m:r>
          </m:e>
        </m:bar>
      </m:oMath>
      <w:r>
        <w:rPr>
          <w:rFonts w:cs="Times New Roman"/>
        </w:rPr>
        <w:t xml:space="preserve"> isolates selectively dominant query vectors, dramatically increasing temporal extraction speeds across large matrices.</w:t>
      </w:r>
    </w:p>
    <w:p w14:paraId="551B0B72" w14:textId="77777777" w:rsidR="004C511C" w:rsidRDefault="00751A67">
      <w:pPr>
        <w:spacing w:before="120" w:after="60"/>
      </w:pPr>
      <w:r>
        <w:rPr>
          <w:b/>
        </w:rPr>
        <w:t>6. EMPIRICAL RESULTS AND CRITICAL ANALYSIS</w:t>
      </w:r>
    </w:p>
    <w:p w14:paraId="099308A2" w14:textId="77777777" w:rsidR="004C511C" w:rsidRDefault="00751A67">
      <w:pPr>
        <w:spacing w:after="60"/>
        <w:ind w:firstLine="216"/>
        <w:jc w:val="both"/>
      </w:pPr>
      <w:r>
        <w:rPr>
          <w:rFonts w:cs="Times New Roman"/>
        </w:rPr>
        <w:t>Comparative structural inference behaviors evaluated universally across the independent 168-hour walk-forward arrays are provided in Fig. 2.</w:t>
      </w:r>
    </w:p>
    <w:p w14:paraId="68BED7C3" w14:textId="77777777" w:rsidR="004C511C" w:rsidRDefault="00751A67">
      <w:pPr>
        <w:spacing w:before="60" w:after="30"/>
        <w:jc w:val="center"/>
      </w:pPr>
      <w:r>
        <w:rPr>
          <w:noProof/>
        </w:rPr>
        <w:drawing>
          <wp:inline distT="0" distB="0" distL="0" distR="0" wp14:anchorId="6C754D05" wp14:editId="6B18B665">
            <wp:extent cx="2560320" cy="1259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60320" cy="1259116"/>
                    </a:xfrm>
                    <a:prstGeom prst="rect">
                      <a:avLst/>
                    </a:prstGeom>
                  </pic:spPr>
                </pic:pic>
              </a:graphicData>
            </a:graphic>
          </wp:inline>
        </w:drawing>
      </w:r>
    </w:p>
    <w:p w14:paraId="7C68346B" w14:textId="77777777" w:rsidR="004C511C" w:rsidRDefault="00751A67">
      <w:pPr>
        <w:spacing w:after="60"/>
        <w:jc w:val="center"/>
      </w:pPr>
      <w:r>
        <w:rPr>
          <w:rFonts w:cs="Times New Roman"/>
        </w:rPr>
        <w:t>Fig. 2. Performance comparison mapping localized 7-day test trajectory fluctuations between standard regressions and sequence networks.</w:t>
      </w:r>
    </w:p>
    <w:p w14:paraId="44AFF23E" w14:textId="77777777" w:rsidR="004C511C" w:rsidRDefault="00751A67">
      <w:pPr>
        <w:spacing w:before="80" w:after="40"/>
      </w:pPr>
      <w:r>
        <w:rPr>
          <w:b/>
        </w:rPr>
        <w:t>6.1. Validation Across Model Topologies</w:t>
      </w:r>
    </w:p>
    <w:p w14:paraId="2CED1AA7" w14:textId="498640B9" w:rsidR="004C511C" w:rsidRDefault="00751A67">
      <w:pPr>
        <w:spacing w:after="60"/>
        <w:ind w:firstLine="216"/>
        <w:jc w:val="both"/>
      </w:pPr>
      <w:r>
        <w:rPr>
          <w:rFonts w:cs="Times New Roman"/>
        </w:rPr>
        <w:t xml:space="preserve">Table I presents performance averages, including 95% Confidence Intervals (Standard Deviation ±). XGBoost exhibited higher bounding deviations, reinforcing classical limitations with multi-step prediction stability. Conversely, the Informer Transformer yielded an elevated RMSE (0.1321 </w:t>
      </w:r>
      <m:oMath xmlns:mml="http://www.w3.org/1998/Math/MathML">
        <m:r>
          <m:t>±</m:t>
        </m:r>
      </m:oMath>
      <w:r>
        <w:rPr>
          <w:rFonts w:cs="Times New Roman"/>
        </w:rPr>
        <w:t xml:space="preserve"> 0.0081). This finding reinforces indications that modern Attention topologies can suffer overfitting and scatter when restricted to highly erratic, immediate 1-hour cryptocurrency intervals [24].</w:t>
      </w:r>
    </w:p>
    <w:p w14:paraId="1F244240" w14:textId="085DF480" w:rsidR="004C511C" w:rsidRDefault="00751A67">
      <w:pPr>
        <w:spacing w:after="60"/>
        <w:ind w:firstLine="216"/>
        <w:jc w:val="both"/>
      </w:pPr>
      <w:r>
        <w:rPr>
          <w:rFonts w:cs="Times New Roman"/>
        </w:rPr>
        <w:t xml:space="preserve">The GRU effectively secured the lowest nominal trace mapping (RMSE 0.1058 </w:t>
      </w:r>
      <m:oMath xmlns:mml="http://www.w3.org/1998/Math/MathML">
        <m:r>
          <m:t>±</m:t>
        </m:r>
      </m:oMath>
      <w:r>
        <w:rPr>
          <w:rFonts w:cs="Times New Roman"/>
        </w:rPr>
        <w:t xml:space="preserve"> 0.0034). To assess global mathematical variance among the four differing architectures, a non-parametric Kruskal-Wallis H-test was conducted across all validation folds, yielding an </w:t>
      </w:r>
      <m:oMath xmlns:mml="http://www.w3.org/1998/Math/MathML">
        <m:r>
          <m:t>H</m:t>
        </m:r>
      </m:oMath>
      <w:r>
        <w:rPr>
          <w:rFonts w:cs="Times New Roman"/>
        </w:rPr>
        <w:t>-statistic of 18.4 (</w:t>
      </w:r>
      <m:oMath xmlns:mml="http://www.w3.org/1998/Math/MathML">
        <m:r>
          <m:t>p&lt;0.001</m:t>
        </m:r>
      </m:oMath>
      <w:r>
        <w:rPr>
          <w:rFonts w:cs="Times New Roman"/>
        </w:rPr>
        <w:t xml:space="preserve">). Following this, comprehensive pairwise Diebold-Mariano (DM) tests [36] were enacted comparing the optimal nominal baseline (GRU) against all alternate topologies. The DM test evaluates the loss differential </w:t>
      </w:r>
      <m:oMath xmlns:mml="http://www.w3.org/1998/Math/MathML">
        <m:sSub>
          <m:e>
            <m:r>
              <m:t>d</m:t>
            </m:r>
          </m:e>
          <m:sub>
            <m:r>
              <m:t>t</m:t>
            </m:r>
          </m:sub>
        </m:sSub>
        <m:r>
          <m:t>=L(</m:t>
        </m:r>
        <m:sSub>
          <m:e>
            <m:r>
              <m:t>e</m:t>
            </m:r>
          </m:e>
          <m:sub>
            <m:r>
              <m:t>1t</m:t>
            </m:r>
          </m:sub>
        </m:sSub>
        <m:r>
          <m:t>)−L(</m:t>
        </m:r>
        <m:sSub>
          <m:e>
            <m:r>
              <m:t>e</m:t>
            </m:r>
          </m:e>
          <m:sub>
            <m:r>
              <m:t>2t</m:t>
            </m:r>
          </m:sub>
        </m:sSub>
        <m:r>
          <m:t>)</m:t>
        </m:r>
      </m:oMath>
      <w:r>
        <w:rPr>
          <w:rFonts w:cs="Times New Roman"/>
        </w:rPr>
        <w:t xml:space="preserve"> between two competing forecasts using the formulation:</w:t>
      </w:r>
    </w:p>
    <w:p w14:paraId="4D0E52F6" w14:textId="240C3A7B" w:rsidR="004C511C" w:rsidRDefault="00751A67">
      <w:pPr>
        <w:spacing w:before="60" w:after="60"/>
        <w:jc w:val="center"/>
      </w:pPr>
      <m:oMathPara>
        <m:oMath xmlns:mml="http://www.w3.org/1998/Math/MathML">
          <m:r>
            <m:t>DM=</m:t>
          </m:r>
          <m:f>
            <m:fPr>
              <m:type m:val="bar"/>
            </m:fPr>
            <m:num>
              <m:bar>
                <m:barPr>
                  <m:pos m:val="top"/>
                </m:barPr>
                <m:e>
                  <m:r>
                    <m:t>d</m:t>
                  </m:r>
                </m:e>
              </m:bar>
            </m:num>
            <m:den>
              <m:rad>
                <m:radPr>
                  <m:degHide m:val="on"/>
                </m:radPr>
                <m:deg/>
                <m:e>
                  <m:f>
                    <m:fPr>
                      <m:type m:val="lin"/>
                    </m:fPr>
                    <m:num>
                      <m:sSub>
                        <m:e>
                          <m:r>
                            <m:t>V</m:t>
                          </m:r>
                        </m:e>
                        <m:sub>
                          <m:r>
                            <m:t>d</m:t>
                          </m:r>
                        </m:sub>
                      </m:sSub>
                    </m:num>
                    <m:den>
                      <m:r>
                        <m:t>T</m:t>
                      </m:r>
                    </m:den>
                  </m:f>
                </m:e>
              </m:rad>
            </m:den>
          </m:f>
        </m:oMath>
      </m:oMathPara>
    </w:p>
    <w:p w14:paraId="39918CAC" w14:textId="77777777" w:rsidR="004C511C" w:rsidRDefault="00751A67">
      <w:pPr>
        <w:spacing w:after="60"/>
        <w:ind w:firstLine="216"/>
        <w:jc w:val="both"/>
      </w:pPr>
      <w:r>
        <w:rPr>
          <w:rFonts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p>
    <w:p w14:paraId="1FCE6C24" w14:textId="77777777" w:rsidR="004C511C" w:rsidRDefault="00751A67">
      <w:pPr>
        <w:spacing w:after="80"/>
        <w:jc w:val="center"/>
      </w:pPr>
      <w:r>
        <w:rPr>
          <w:rFonts w:cs="Times New Roman"/>
          <w:b/>
        </w:rPr>
        <w:t>Table I. Quantitative Loss Benchmarking Across Algorithmic Walk-Forward Layers</w:t>
      </w:r>
    </w:p>
    <w:tbl>
      <w:tblPr>
        <w:tblStyle w:val="TableGrid"/>
        <w:tblW w:w="0" w:type="auto"/>
        <w:tblLook w:val="04A0" w:firstRow="1" w:lastRow="0" w:firstColumn="1" w:lastColumn="0" w:noHBand="0" w:noVBand="1"/>
      </w:tblPr>
      <w:tblGrid>
        <w:gridCol w:w="1080"/>
        <w:gridCol w:w="1080"/>
        <w:gridCol w:w="1080"/>
        <w:gridCol w:w="1080"/>
      </w:tblGrid>
      <w:tr w:rsidR="004C511C" w14:paraId="6FF38E0D" w14:textId="77777777">
        <w:tc>
          <w:tcPr>
            <w:tcW w:w="1080" w:type="dxa"/>
            <w:tcBorders>
              <w:top w:val="double" w:sz="6" w:space="0" w:color="000000"/>
              <w:left w:val="none" w:sz="0" w:space="0" w:color="000000"/>
              <w:bottom w:val="single" w:sz="6" w:space="0" w:color="000000"/>
              <w:right w:val="none" w:sz="0" w:space="0" w:color="000000"/>
            </w:tcBorders>
          </w:tcPr>
          <w:p w14:paraId="4D1769C2" w14:textId="77777777" w:rsidR="004C511C" w:rsidRDefault="00751A67">
            <w:pPr>
              <w:spacing w:before="20" w:after="20"/>
              <w:jc w:val="center"/>
            </w:pPr>
            <w:r>
              <w:rPr>
                <w:rFonts w:cs="Times New Roman"/>
                <w:b/>
                <w:sz w:val="16"/>
              </w:rPr>
              <w:t>Algorithmic Parameter</w:t>
            </w:r>
          </w:p>
        </w:tc>
        <w:tc>
          <w:tcPr>
            <w:tcW w:w="1080" w:type="dxa"/>
            <w:tcBorders>
              <w:top w:val="double" w:sz="6" w:space="0" w:color="000000"/>
              <w:left w:val="none" w:sz="0" w:space="0" w:color="000000"/>
              <w:bottom w:val="single" w:sz="6" w:space="0" w:color="000000"/>
              <w:right w:val="none" w:sz="0" w:space="0" w:color="000000"/>
            </w:tcBorders>
          </w:tcPr>
          <w:p w14:paraId="164118A9" w14:textId="7C1D2BC2" w:rsidR="004C511C" w:rsidRDefault="00751A67">
            <w:pPr>
              <w:spacing w:before="20" w:after="20"/>
              <w:jc w:val="center"/>
            </w:pPr>
            <w:r>
              <w:rPr>
                <w:rFonts w:cs="Times New Roman"/>
                <w:b/>
                <w:sz w:val="16"/>
              </w:rPr>
              <w:t>Mean RMSE (</w:t>
            </w:r>
            <m:oMath xmlns:mml="http://www.w3.org/1998/Math/MathML">
              <m:r>
                <m:t>±</m:t>
              </m:r>
            </m:oMath>
            <w:r>
              <w:rPr>
                <w:rFonts w:cs="Times New Roman"/>
                <w:b/>
                <w:sz w:val="16"/>
              </w:rPr>
              <w:t xml:space="preserve"> SD)</w:t>
            </w:r>
          </w:p>
        </w:tc>
        <w:tc>
          <w:tcPr>
            <w:tcW w:w="1080" w:type="dxa"/>
            <w:tcBorders>
              <w:top w:val="double" w:sz="6" w:space="0" w:color="000000"/>
              <w:left w:val="none" w:sz="0" w:space="0" w:color="000000"/>
              <w:bottom w:val="single" w:sz="6" w:space="0" w:color="000000"/>
              <w:right w:val="none" w:sz="0" w:space="0" w:color="000000"/>
            </w:tcBorders>
          </w:tcPr>
          <w:p w14:paraId="5A5BD56C" w14:textId="3B7B4C52" w:rsidR="004C511C" w:rsidRDefault="00751A67">
            <w:pPr>
              <w:spacing w:before="20" w:after="20"/>
              <w:jc w:val="center"/>
            </w:pPr>
            <w:r>
              <w:rPr>
                <w:rFonts w:cs="Times New Roman"/>
                <w:b/>
                <w:sz w:val="16"/>
              </w:rPr>
              <w:t>Absolute MAE (</w:t>
            </w:r>
            <m:oMath xmlns:mml="http://www.w3.org/1998/Math/MathML">
              <m:r>
                <m:t>±</m:t>
              </m:r>
            </m:oMath>
            <w:r>
              <w:rPr>
                <w:rFonts w:cs="Times New Roman"/>
                <w:b/>
                <w:sz w:val="16"/>
              </w:rPr>
              <w:t xml:space="preserve"> SD)</w:t>
            </w:r>
          </w:p>
        </w:tc>
        <w:tc>
          <w:tcPr>
            <w:tcW w:w="1080" w:type="dxa"/>
            <w:tcBorders>
              <w:top w:val="double" w:sz="6" w:space="0" w:color="000000"/>
              <w:left w:val="none" w:sz="0" w:space="0" w:color="000000"/>
              <w:bottom w:val="single" w:sz="6" w:space="0" w:color="000000"/>
              <w:right w:val="none" w:sz="0" w:space="0" w:color="000000"/>
            </w:tcBorders>
          </w:tcPr>
          <w:p w14:paraId="10177BC2" w14:textId="77777777" w:rsidR="004C511C" w:rsidRDefault="00751A67">
            <w:pPr>
              <w:spacing w:before="20" w:after="20"/>
              <w:jc w:val="center"/>
            </w:pPr>
            <w:r>
              <w:rPr>
                <w:rFonts w:cs="Times New Roman"/>
                <w:b/>
                <w:sz w:val="16"/>
              </w:rPr>
              <w:t>MAPE (%)</w:t>
            </w:r>
          </w:p>
        </w:tc>
      </w:tr>
      <w:tr w:rsidR="004C511C" w14:paraId="6CDEB2A5" w14:textId="77777777">
        <w:tc>
          <w:tcPr>
            <w:tcW w:w="1080" w:type="dxa"/>
            <w:tcBorders>
              <w:top w:val="none" w:sz="0" w:space="0" w:color="000000"/>
              <w:left w:val="none" w:sz="0" w:space="0" w:color="000000"/>
              <w:bottom w:val="none" w:sz="0" w:space="0" w:color="000000"/>
              <w:right w:val="none" w:sz="0" w:space="0" w:color="000000"/>
            </w:tcBorders>
          </w:tcPr>
          <w:p w14:paraId="6D9D7AFC" w14:textId="77777777" w:rsidR="004C511C" w:rsidRDefault="00751A67">
            <w:pPr>
              <w:spacing w:before="20" w:after="20"/>
              <w:jc w:val="center"/>
            </w:pPr>
            <w:r>
              <w:rPr>
                <w:rFonts w:cs="Times New Roman"/>
                <w:sz w:val="16"/>
              </w:rPr>
              <w:t>Ensemble Base (XGB)</w:t>
            </w:r>
          </w:p>
        </w:tc>
        <w:tc>
          <w:tcPr>
            <w:tcW w:w="1080" w:type="dxa"/>
            <w:tcBorders>
              <w:top w:val="none" w:sz="0" w:space="0" w:color="000000"/>
              <w:left w:val="none" w:sz="0" w:space="0" w:color="000000"/>
              <w:bottom w:val="none" w:sz="0" w:space="0" w:color="000000"/>
              <w:right w:val="none" w:sz="0" w:space="0" w:color="000000"/>
            </w:tcBorders>
          </w:tcPr>
          <w:p w14:paraId="4D8415E6" w14:textId="70E27544" w:rsidR="004C511C" w:rsidRDefault="00751A67">
            <w:pPr>
              <w:spacing w:before="20" w:after="20"/>
              <w:jc w:val="center"/>
            </w:pPr>
            <w:r>
              <w:rPr>
                <w:rFonts w:cs="Times New Roman"/>
                <w:sz w:val="16"/>
              </w:rPr>
              <w:t xml:space="preserve">0.1524 </w:t>
            </w:r>
            <m:oMath xmlns:mml="http://www.w3.org/1998/Math/MathML">
              <m:r>
                <m:t>±</m:t>
              </m:r>
            </m:oMath>
            <w:r>
              <w:rPr>
                <w:rFonts w:cs="Times New Roman"/>
                <w:sz w:val="16"/>
              </w:rPr>
              <w:t xml:space="preserve"> 0.0068</w:t>
            </w:r>
          </w:p>
        </w:tc>
        <w:tc>
          <w:tcPr>
            <w:tcW w:w="1080" w:type="dxa"/>
            <w:tcBorders>
              <w:top w:val="none" w:sz="0" w:space="0" w:color="000000"/>
              <w:left w:val="none" w:sz="0" w:space="0" w:color="000000"/>
              <w:bottom w:val="none" w:sz="0" w:space="0" w:color="000000"/>
              <w:right w:val="none" w:sz="0" w:space="0" w:color="000000"/>
            </w:tcBorders>
          </w:tcPr>
          <w:p w14:paraId="5F48F83D" w14:textId="656877B9" w:rsidR="004C511C" w:rsidRDefault="00751A67">
            <w:pPr>
              <w:spacing w:before="20" w:after="20"/>
              <w:jc w:val="center"/>
            </w:pPr>
            <w:r>
              <w:rPr>
                <w:rFonts w:cs="Times New Roman"/>
                <w:sz w:val="16"/>
              </w:rPr>
              <w:t xml:space="preserve">0.1260 </w:t>
            </w:r>
            <m:oMath xmlns:mml="http://www.w3.org/1998/Math/MathML">
              <m:r>
                <m:t>±</m:t>
              </m:r>
            </m:oMath>
            <w:r>
              <w:rPr>
                <w:rFonts w:cs="Times New Roman"/>
                <w:sz w:val="16"/>
              </w:rPr>
              <w:t xml:space="preserve"> 0.0055</w:t>
            </w:r>
          </w:p>
        </w:tc>
        <w:tc>
          <w:tcPr>
            <w:tcW w:w="1080" w:type="dxa"/>
            <w:tcBorders>
              <w:top w:val="none" w:sz="0" w:space="0" w:color="000000"/>
              <w:left w:val="none" w:sz="0" w:space="0" w:color="000000"/>
              <w:bottom w:val="none" w:sz="0" w:space="0" w:color="000000"/>
              <w:right w:val="none" w:sz="0" w:space="0" w:color="000000"/>
            </w:tcBorders>
          </w:tcPr>
          <w:p w14:paraId="0D681447" w14:textId="77777777" w:rsidR="004C511C" w:rsidRDefault="00751A67">
            <w:pPr>
              <w:spacing w:before="20" w:after="20"/>
              <w:jc w:val="center"/>
            </w:pPr>
            <w:r>
              <w:rPr>
                <w:rFonts w:cs="Times New Roman"/>
                <w:sz w:val="16"/>
              </w:rPr>
              <w:t>16.50%</w:t>
            </w:r>
          </w:p>
        </w:tc>
      </w:tr>
      <w:tr w:rsidR="004C511C" w14:paraId="72988B19" w14:textId="77777777">
        <w:tc>
          <w:tcPr>
            <w:tcW w:w="1080" w:type="dxa"/>
            <w:tcBorders>
              <w:top w:val="none" w:sz="0" w:space="0" w:color="000000"/>
              <w:left w:val="none" w:sz="0" w:space="0" w:color="000000"/>
              <w:bottom w:val="none" w:sz="0" w:space="0" w:color="000000"/>
              <w:right w:val="none" w:sz="0" w:space="0" w:color="000000"/>
            </w:tcBorders>
          </w:tcPr>
          <w:p w14:paraId="36784F64" w14:textId="77777777" w:rsidR="004C511C" w:rsidRDefault="00751A67">
            <w:pPr>
              <w:spacing w:before="20" w:after="20"/>
              <w:jc w:val="center"/>
            </w:pPr>
            <w:r>
              <w:rPr>
                <w:rFonts w:cs="Times New Roman"/>
                <w:sz w:val="16"/>
              </w:rPr>
              <w:t>Informer (Attention)</w:t>
            </w:r>
          </w:p>
        </w:tc>
        <w:tc>
          <w:tcPr>
            <w:tcW w:w="1080" w:type="dxa"/>
            <w:tcBorders>
              <w:top w:val="none" w:sz="0" w:space="0" w:color="000000"/>
              <w:left w:val="none" w:sz="0" w:space="0" w:color="000000"/>
              <w:bottom w:val="none" w:sz="0" w:space="0" w:color="000000"/>
              <w:right w:val="none" w:sz="0" w:space="0" w:color="000000"/>
            </w:tcBorders>
          </w:tcPr>
          <w:p w14:paraId="408A7516" w14:textId="2029CDE7" w:rsidR="004C511C" w:rsidRDefault="00751A67">
            <w:pPr>
              <w:spacing w:before="20" w:after="20"/>
              <w:jc w:val="center"/>
            </w:pPr>
            <w:r>
              <w:rPr>
                <w:rFonts w:cs="Times New Roman"/>
                <w:sz w:val="16"/>
              </w:rPr>
              <w:t xml:space="preserve">0.1321 </w:t>
            </w:r>
            <m:oMath xmlns:mml="http://www.w3.org/1998/Math/MathML">
              <m:r>
                <m:t>±</m:t>
              </m:r>
            </m:oMath>
            <w:r>
              <w:rPr>
                <w:rFonts w:cs="Times New Roman"/>
                <w:sz w:val="16"/>
              </w:rPr>
              <w:t xml:space="preserve"> 0.0081</w:t>
            </w:r>
          </w:p>
        </w:tc>
        <w:tc>
          <w:tcPr>
            <w:tcW w:w="1080" w:type="dxa"/>
            <w:tcBorders>
              <w:top w:val="none" w:sz="0" w:space="0" w:color="000000"/>
              <w:left w:val="none" w:sz="0" w:space="0" w:color="000000"/>
              <w:bottom w:val="none" w:sz="0" w:space="0" w:color="000000"/>
              <w:right w:val="none" w:sz="0" w:space="0" w:color="000000"/>
            </w:tcBorders>
          </w:tcPr>
          <w:p w14:paraId="1ABAAAF4" w14:textId="79A1D82A" w:rsidR="004C511C" w:rsidRDefault="00751A67">
            <w:pPr>
              <w:spacing w:before="20" w:after="20"/>
              <w:jc w:val="center"/>
            </w:pPr>
            <w:r>
              <w:rPr>
                <w:rFonts w:cs="Times New Roman"/>
                <w:sz w:val="16"/>
              </w:rPr>
              <w:t xml:space="preserve">0.1119 </w:t>
            </w:r>
            <m:oMath xmlns:mml="http://www.w3.org/1998/Math/MathML">
              <m:r>
                <m:t>±</m:t>
              </m:r>
            </m:oMath>
            <w:r>
              <w:rPr>
                <w:rFonts w:cs="Times New Roman"/>
                <w:sz w:val="16"/>
              </w:rPr>
              <w:t xml:space="preserve"> 0.0072</w:t>
            </w:r>
          </w:p>
        </w:tc>
        <w:tc>
          <w:tcPr>
            <w:tcW w:w="1080" w:type="dxa"/>
            <w:tcBorders>
              <w:top w:val="none" w:sz="0" w:space="0" w:color="000000"/>
              <w:left w:val="none" w:sz="0" w:space="0" w:color="000000"/>
              <w:bottom w:val="none" w:sz="0" w:space="0" w:color="000000"/>
              <w:right w:val="none" w:sz="0" w:space="0" w:color="000000"/>
            </w:tcBorders>
          </w:tcPr>
          <w:p w14:paraId="063D23F1" w14:textId="77777777" w:rsidR="004C511C" w:rsidRDefault="00751A67">
            <w:pPr>
              <w:spacing w:before="20" w:after="20"/>
              <w:jc w:val="center"/>
            </w:pPr>
            <w:r>
              <w:rPr>
                <w:rFonts w:cs="Times New Roman"/>
                <w:sz w:val="16"/>
              </w:rPr>
              <w:t>14.82%</w:t>
            </w:r>
          </w:p>
        </w:tc>
      </w:tr>
      <w:tr w:rsidR="004C511C" w14:paraId="4FE60EDA" w14:textId="77777777">
        <w:tc>
          <w:tcPr>
            <w:tcW w:w="1080" w:type="dxa"/>
            <w:tcBorders>
              <w:top w:val="none" w:sz="0" w:space="0" w:color="000000"/>
              <w:left w:val="none" w:sz="0" w:space="0" w:color="000000"/>
              <w:bottom w:val="none" w:sz="0" w:space="0" w:color="000000"/>
              <w:right w:val="none" w:sz="0" w:space="0" w:color="000000"/>
            </w:tcBorders>
          </w:tcPr>
          <w:p w14:paraId="611D20E9" w14:textId="77777777" w:rsidR="004C511C" w:rsidRDefault="00751A67">
            <w:pPr>
              <w:spacing w:before="20" w:after="20"/>
              <w:jc w:val="center"/>
            </w:pPr>
            <w:r>
              <w:rPr>
                <w:rFonts w:cs="Times New Roman"/>
                <w:sz w:val="16"/>
              </w:rPr>
              <w:t>LSTM Topography</w:t>
            </w:r>
          </w:p>
        </w:tc>
        <w:tc>
          <w:tcPr>
            <w:tcW w:w="1080" w:type="dxa"/>
            <w:tcBorders>
              <w:top w:val="none" w:sz="0" w:space="0" w:color="000000"/>
              <w:left w:val="none" w:sz="0" w:space="0" w:color="000000"/>
              <w:bottom w:val="none" w:sz="0" w:space="0" w:color="000000"/>
              <w:right w:val="none" w:sz="0" w:space="0" w:color="000000"/>
            </w:tcBorders>
          </w:tcPr>
          <w:p w14:paraId="35847AF7" w14:textId="39D4E3F0" w:rsidR="004C511C" w:rsidRDefault="00751A67">
            <w:pPr>
              <w:spacing w:before="20" w:after="20"/>
              <w:jc w:val="center"/>
            </w:pPr>
            <w:r>
              <w:rPr>
                <w:rFonts w:cs="Times New Roman"/>
                <w:sz w:val="16"/>
              </w:rPr>
              <w:t xml:space="preserve">0.1145 </w:t>
            </w:r>
            <m:oMath xmlns:mml="http://www.w3.org/1998/Math/MathML">
              <m:r>
                <m:t>±</m:t>
              </m:r>
            </m:oMath>
            <w:r>
              <w:rPr>
                <w:rFonts w:cs="Times New Roman"/>
                <w:sz w:val="16"/>
              </w:rPr>
              <w:t xml:space="preserve"> 0.0051</w:t>
            </w:r>
          </w:p>
        </w:tc>
        <w:tc>
          <w:tcPr>
            <w:tcW w:w="1080" w:type="dxa"/>
            <w:tcBorders>
              <w:top w:val="none" w:sz="0" w:space="0" w:color="000000"/>
              <w:left w:val="none" w:sz="0" w:space="0" w:color="000000"/>
              <w:bottom w:val="none" w:sz="0" w:space="0" w:color="000000"/>
              <w:right w:val="none" w:sz="0" w:space="0" w:color="000000"/>
            </w:tcBorders>
          </w:tcPr>
          <w:p w14:paraId="366E13EC" w14:textId="72B6E9EB" w:rsidR="004C511C" w:rsidRDefault="00751A67">
            <w:pPr>
              <w:spacing w:before="20" w:after="20"/>
              <w:jc w:val="center"/>
            </w:pPr>
            <w:r>
              <w:rPr>
                <w:rFonts w:cs="Times New Roman"/>
                <w:sz w:val="16"/>
              </w:rPr>
              <w:t xml:space="preserve">0.1008 </w:t>
            </w:r>
            <m:oMath xmlns:mml="http://www.w3.org/1998/Math/MathML">
              <m:r>
                <m:t>±</m:t>
              </m:r>
            </m:oMath>
            <w:r>
              <w:rPr>
                <w:rFonts w:cs="Times New Roman"/>
                <w:sz w:val="16"/>
              </w:rPr>
              <w:t xml:space="preserve"> 0.0042</w:t>
            </w:r>
          </w:p>
        </w:tc>
        <w:tc>
          <w:tcPr>
            <w:tcW w:w="1080" w:type="dxa"/>
            <w:tcBorders>
              <w:top w:val="none" w:sz="0" w:space="0" w:color="000000"/>
              <w:left w:val="none" w:sz="0" w:space="0" w:color="000000"/>
              <w:bottom w:val="none" w:sz="0" w:space="0" w:color="000000"/>
              <w:right w:val="none" w:sz="0" w:space="0" w:color="000000"/>
            </w:tcBorders>
          </w:tcPr>
          <w:p w14:paraId="37FF156F" w14:textId="77777777" w:rsidR="004C511C" w:rsidRDefault="00751A67">
            <w:pPr>
              <w:spacing w:before="20" w:after="20"/>
              <w:jc w:val="center"/>
            </w:pPr>
            <w:r>
              <w:rPr>
                <w:rFonts w:cs="Times New Roman"/>
                <w:sz w:val="16"/>
              </w:rPr>
              <w:t>13.96%</w:t>
            </w:r>
          </w:p>
        </w:tc>
      </w:tr>
      <w:tr w:rsidR="004C511C" w14:paraId="4B0FE1C2" w14:textId="77777777">
        <w:tc>
          <w:tcPr>
            <w:tcW w:w="1080" w:type="dxa"/>
            <w:tcBorders>
              <w:top w:val="none" w:sz="0" w:space="0" w:color="000000"/>
              <w:left w:val="none" w:sz="0" w:space="0" w:color="000000"/>
              <w:bottom w:val="single" w:sz="6" w:space="0" w:color="000000"/>
              <w:right w:val="none" w:sz="0" w:space="0" w:color="000000"/>
            </w:tcBorders>
          </w:tcPr>
          <w:p w14:paraId="47D49EA1" w14:textId="77777777" w:rsidR="004C511C" w:rsidRDefault="00751A67">
            <w:pPr>
              <w:spacing w:before="20" w:after="20"/>
              <w:jc w:val="center"/>
            </w:pPr>
            <w:r>
              <w:rPr>
                <w:rFonts w:cs="Times New Roman"/>
                <w:sz w:val="16"/>
              </w:rPr>
              <w:t>GRU Mechanism</w:t>
            </w:r>
          </w:p>
        </w:tc>
        <w:tc>
          <w:tcPr>
            <w:tcW w:w="1080" w:type="dxa"/>
            <w:tcBorders>
              <w:top w:val="none" w:sz="0" w:space="0" w:color="000000"/>
              <w:left w:val="none" w:sz="0" w:space="0" w:color="000000"/>
              <w:bottom w:val="single" w:sz="6" w:space="0" w:color="000000"/>
              <w:right w:val="none" w:sz="0" w:space="0" w:color="000000"/>
            </w:tcBorders>
          </w:tcPr>
          <w:p w14:paraId="42D673BC" w14:textId="524D9F30" w:rsidR="004C511C" w:rsidRDefault="00751A67">
            <w:pPr>
              <w:spacing w:before="20" w:after="20"/>
              <w:jc w:val="center"/>
            </w:pPr>
            <w:r>
              <w:rPr>
                <w:rFonts w:cs="Times New Roman"/>
                <w:sz w:val="16"/>
              </w:rPr>
              <w:t xml:space="preserve">0.1058 </w:t>
            </w:r>
            <m:oMath xmlns:mml="http://www.w3.org/1998/Math/MathML">
              <m:r>
                <m:t>±</m:t>
              </m:r>
            </m:oMath>
            <w:r>
              <w:rPr>
                <w:rFonts w:cs="Times New Roman"/>
                <w:sz w:val="16"/>
              </w:rPr>
              <w:t xml:space="preserve"> 0.0034</w:t>
            </w:r>
          </w:p>
        </w:tc>
        <w:tc>
          <w:tcPr>
            <w:tcW w:w="1080" w:type="dxa"/>
            <w:tcBorders>
              <w:top w:val="none" w:sz="0" w:space="0" w:color="000000"/>
              <w:left w:val="none" w:sz="0" w:space="0" w:color="000000"/>
              <w:bottom w:val="single" w:sz="6" w:space="0" w:color="000000"/>
              <w:right w:val="none" w:sz="0" w:space="0" w:color="000000"/>
            </w:tcBorders>
          </w:tcPr>
          <w:p w14:paraId="3822C6B1" w14:textId="17041FA1" w:rsidR="004C511C" w:rsidRDefault="00751A67">
            <w:pPr>
              <w:spacing w:before="20" w:after="20"/>
              <w:jc w:val="center"/>
            </w:pPr>
            <w:r>
              <w:rPr>
                <w:rFonts w:cs="Times New Roman"/>
                <w:sz w:val="16"/>
              </w:rPr>
              <w:t xml:space="preserve">0.0948 </w:t>
            </w:r>
            <m:oMath xmlns:mml="http://www.w3.org/1998/Math/MathML">
              <m:r>
                <m:t>±</m:t>
              </m:r>
            </m:oMath>
            <w:r>
              <w:rPr>
                <w:rFonts w:cs="Times New Roman"/>
                <w:sz w:val="16"/>
              </w:rPr>
              <w:t xml:space="preserve"> 0.0028</w:t>
            </w:r>
          </w:p>
        </w:tc>
        <w:tc>
          <w:tcPr>
            <w:tcW w:w="1080" w:type="dxa"/>
            <w:tcBorders>
              <w:top w:val="none" w:sz="0" w:space="0" w:color="000000"/>
              <w:left w:val="none" w:sz="0" w:space="0" w:color="000000"/>
              <w:bottom w:val="single" w:sz="6" w:space="0" w:color="000000"/>
              <w:right w:val="none" w:sz="0" w:space="0" w:color="000000"/>
            </w:tcBorders>
          </w:tcPr>
          <w:p w14:paraId="292D5483" w14:textId="77777777" w:rsidR="004C511C" w:rsidRDefault="00751A67">
            <w:pPr>
              <w:spacing w:before="20" w:after="20"/>
              <w:jc w:val="center"/>
            </w:pPr>
            <w:r>
              <w:rPr>
                <w:rFonts w:cs="Times New Roman"/>
                <w:sz w:val="16"/>
              </w:rPr>
              <w:t>13.13%</w:t>
            </w:r>
          </w:p>
        </w:tc>
      </w:tr>
    </w:tbl>
    <w:p w14:paraId="3B54A3D9" w14:textId="77777777" w:rsidR="004C511C" w:rsidRDefault="00751A67">
      <w:pPr>
        <w:spacing w:before="80" w:after="40"/>
      </w:pPr>
      <w:r>
        <w:rPr>
          <w:b/>
        </w:rPr>
        <w:t>6.2. Error Distributions and Macro-Regime Anomalies</w:t>
      </w:r>
    </w:p>
    <w:p w14:paraId="391E838A" w14:textId="40D1758A" w:rsidR="004C511C" w:rsidRDefault="00751A67">
      <w:pPr>
        <w:spacing w:after="60"/>
        <w:ind w:firstLine="216"/>
        <w:jc w:val="both"/>
      </w:pPr>
      <w:r>
        <w:rPr>
          <w:rFonts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w:t>
      </w:r>
      <m:oMath xmlns:mml="http://www.w3.org/1998/Math/MathML">
        <m:r>
          <m:t>σ</m:t>
        </m:r>
      </m:oMath>
      <w:r>
        <w:rPr>
          <w:rFonts w:cs="Times New Roman"/>
        </w:rPr>
        <w:t>)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14:paraId="62A91874" w14:textId="77777777" w:rsidR="004C511C" w:rsidRDefault="00751A67">
      <w:pPr>
        <w:spacing w:before="60" w:after="30"/>
        <w:jc w:val="center"/>
      </w:pPr>
      <w:r>
        <w:rPr>
          <w:noProof/>
        </w:rPr>
        <w:drawing>
          <wp:inline distT="0" distB="0" distL="0" distR="0" wp14:anchorId="2E1A2B04" wp14:editId="3CF108B4">
            <wp:extent cx="2560320" cy="938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560320" cy="938405"/>
                    </a:xfrm>
                    <a:prstGeom prst="rect">
                      <a:avLst/>
                    </a:prstGeom>
                  </pic:spPr>
                </pic:pic>
              </a:graphicData>
            </a:graphic>
          </wp:inline>
        </w:drawing>
      </w:r>
    </w:p>
    <w:p w14:paraId="0C1BF362" w14:textId="20596795" w:rsidR="004C511C" w:rsidRDefault="00751A67">
      <w:pPr>
        <w:spacing w:after="60"/>
        <w:jc w:val="center"/>
      </w:pPr>
      <w:r>
        <w:rPr>
          <w:rFonts w:cs="Times New Roman"/>
        </w:rPr>
        <w:t>Fig. 3. Statistical configuration distribution illustrating localized error clusters surrounding baseline GRU boundaries against extreme +3</w:t>
      </w:r>
      <m:oMath xmlns:mml="http://www.w3.org/1998/Math/MathML">
        <m:r>
          <m:t>σ</m:t>
        </m:r>
      </m:oMath>
      <w:r>
        <w:rPr>
          <w:rFonts w:cs="Times New Roman"/>
        </w:rPr>
        <w:t xml:space="preserve"> tail-ends.</w:t>
      </w:r>
    </w:p>
    <w:p w14:paraId="2754B6E4" w14:textId="77777777" w:rsidR="004C511C" w:rsidRDefault="00751A67">
      <w:pPr>
        <w:spacing w:before="80" w:after="40"/>
      </w:pPr>
      <w:r>
        <w:rPr>
          <w:b/>
        </w:rPr>
        <w:t>6.3. Operational Microsoft Power BI Prototype Verification</w:t>
      </w:r>
    </w:p>
    <w:p w14:paraId="77F91CD2" w14:textId="77777777" w:rsidR="004C511C" w:rsidRDefault="00751A67">
      <w:pPr>
        <w:spacing w:after="60"/>
        <w:ind w:firstLine="216"/>
        <w:jc w:val="both"/>
      </w:pPr>
      <w:r>
        <w:rPr>
          <w:rFonts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14:paraId="2AD395E2" w14:textId="77777777" w:rsidR="004C511C" w:rsidRDefault="00751A67">
      <w:pPr>
        <w:spacing w:after="60"/>
        <w:ind w:firstLine="216"/>
        <w:jc w:val="both"/>
      </w:pPr>
      <w:r>
        <w:rPr>
          <w:rFonts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14:paraId="1229C0AB" w14:textId="77777777" w:rsidR="004C511C" w:rsidRDefault="00751A67">
      <w:pPr>
        <w:spacing w:after="60"/>
        <w:ind w:firstLine="216"/>
        <w:jc w:val="both"/>
      </w:pPr>
      <w:r>
        <w:rPr>
          <w:rFonts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14:paraId="66D1111F" w14:textId="77777777" w:rsidR="004C511C" w:rsidRDefault="00751A67">
      <w:pPr>
        <w:spacing w:after="60"/>
        <w:ind w:firstLine="216"/>
        <w:jc w:val="both"/>
      </w:pPr>
      <w:r>
        <w:rPr>
          <w:rFonts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14:paraId="7D8ACA85" w14:textId="77777777" w:rsidR="004C511C" w:rsidRDefault="00751A67">
      <w:pPr>
        <w:spacing w:after="60"/>
        <w:ind w:firstLine="216"/>
        <w:jc w:val="both"/>
      </w:pPr>
      <w:r>
        <w:rPr>
          <w:rFonts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14:paraId="50883E9C" w14:textId="77777777" w:rsidR="004C511C" w:rsidRDefault="00751A67">
      <w:pPr>
        <w:spacing w:after="80"/>
        <w:jc w:val="center"/>
      </w:pPr>
      <w:r>
        <w:rPr>
          <w:rFonts w:cs="Times New Roman"/>
          <w:b/>
        </w:rPr>
        <w:t>Table III. KPI Dashboard (Sharpe, VaR, Dir. Acc.)</w:t>
      </w:r>
    </w:p>
    <w:tbl>
      <w:tblPr>
        <w:tblStyle w:val="TableGrid"/>
        <w:tblW w:w="0" w:type="auto"/>
        <w:tblLook w:val="04A0" w:firstRow="1" w:lastRow="0" w:firstColumn="1" w:lastColumn="0" w:noHBand="0" w:noVBand="1"/>
      </w:tblPr>
      <w:tblGrid>
        <w:gridCol w:w="864"/>
        <w:gridCol w:w="864"/>
        <w:gridCol w:w="864"/>
        <w:gridCol w:w="864"/>
        <w:gridCol w:w="864"/>
      </w:tblGrid>
      <w:tr w:rsidR="004C511C" w14:paraId="2191DA15" w14:textId="77777777">
        <w:tc>
          <w:tcPr>
            <w:tcW w:w="864" w:type="dxa"/>
            <w:tcBorders>
              <w:top w:val="double" w:sz="6" w:space="0" w:color="000000"/>
              <w:left w:val="none" w:sz="0" w:space="0" w:color="000000"/>
              <w:bottom w:val="single" w:sz="6" w:space="0" w:color="000000"/>
              <w:right w:val="none" w:sz="0" w:space="0" w:color="000000"/>
            </w:tcBorders>
          </w:tcPr>
          <w:p w14:paraId="15D6CEE6" w14:textId="77777777" w:rsidR="004C511C" w:rsidRDefault="00751A67">
            <w:pPr>
              <w:spacing w:before="20" w:after="20"/>
              <w:jc w:val="center"/>
            </w:pPr>
            <w:r>
              <w:rPr>
                <w:rFonts w:cs="Times New Roman"/>
                <w:b/>
                <w:sz w:val="16"/>
              </w:rPr>
              <w:t>System Output</w:t>
            </w:r>
          </w:p>
        </w:tc>
        <w:tc>
          <w:tcPr>
            <w:tcW w:w="864" w:type="dxa"/>
            <w:tcBorders>
              <w:top w:val="double" w:sz="6" w:space="0" w:color="000000"/>
              <w:left w:val="none" w:sz="0" w:space="0" w:color="000000"/>
              <w:bottom w:val="single" w:sz="6" w:space="0" w:color="000000"/>
              <w:right w:val="none" w:sz="0" w:space="0" w:color="000000"/>
            </w:tcBorders>
          </w:tcPr>
          <w:p w14:paraId="6CCC1A6E" w14:textId="4A859EB6" w:rsidR="004C511C" w:rsidRDefault="00751A67">
            <w:pPr>
              <w:spacing w:before="20" w:after="20"/>
              <w:jc w:val="center"/>
            </w:pPr>
            <w:r>
              <w:rPr>
                <w:rFonts w:cs="Times New Roman"/>
                <w:b/>
                <w:sz w:val="16"/>
              </w:rPr>
              <w:t>XGBoost (</w:t>
            </w:r>
            <m:oMath xmlns:mml="http://www.w3.org/1998/Math/MathML">
              <m:r>
                <m:t>±</m:t>
              </m:r>
            </m:oMath>
            <w:r>
              <w:rPr>
                <w:rFonts w:cs="Times New Roman"/>
                <w:b/>
                <w:sz w:val="16"/>
              </w:rPr>
              <w:t xml:space="preserve"> SD)</w:t>
            </w:r>
          </w:p>
        </w:tc>
        <w:tc>
          <w:tcPr>
            <w:tcW w:w="864" w:type="dxa"/>
            <w:tcBorders>
              <w:top w:val="double" w:sz="6" w:space="0" w:color="000000"/>
              <w:left w:val="none" w:sz="0" w:space="0" w:color="000000"/>
              <w:bottom w:val="single" w:sz="6" w:space="0" w:color="000000"/>
              <w:right w:val="none" w:sz="0" w:space="0" w:color="000000"/>
            </w:tcBorders>
          </w:tcPr>
          <w:p w14:paraId="6D1ED5BC" w14:textId="0358178C" w:rsidR="004C511C" w:rsidRDefault="00751A67">
            <w:pPr>
              <w:spacing w:before="20" w:after="20"/>
              <w:jc w:val="center"/>
            </w:pPr>
            <w:r>
              <w:rPr>
                <w:rFonts w:cs="Times New Roman"/>
                <w:b/>
                <w:sz w:val="16"/>
              </w:rPr>
              <w:t>Informer (</w:t>
            </w:r>
            <m:oMath xmlns:mml="http://www.w3.org/1998/Math/MathML">
              <m:r>
                <m:t>±</m:t>
              </m:r>
            </m:oMath>
            <w:r>
              <w:rPr>
                <w:rFonts w:cs="Times New Roman"/>
                <w:b/>
                <w:sz w:val="16"/>
              </w:rPr>
              <w:t xml:space="preserve"> SD)</w:t>
            </w:r>
          </w:p>
        </w:tc>
        <w:tc>
          <w:tcPr>
            <w:tcW w:w="864" w:type="dxa"/>
            <w:tcBorders>
              <w:top w:val="double" w:sz="6" w:space="0" w:color="000000"/>
              <w:left w:val="none" w:sz="0" w:space="0" w:color="000000"/>
              <w:bottom w:val="single" w:sz="6" w:space="0" w:color="000000"/>
              <w:right w:val="none" w:sz="0" w:space="0" w:color="000000"/>
            </w:tcBorders>
          </w:tcPr>
          <w:p w14:paraId="52FA7D2A" w14:textId="4304F184" w:rsidR="004C511C" w:rsidRDefault="00751A67">
            <w:pPr>
              <w:spacing w:before="20" w:after="20"/>
              <w:jc w:val="center"/>
            </w:pPr>
            <w:r>
              <w:rPr>
                <w:rFonts w:cs="Times New Roman"/>
                <w:b/>
                <w:sz w:val="16"/>
              </w:rPr>
              <w:t>LSTM (</w:t>
            </w:r>
            <m:oMath xmlns:mml="http://www.w3.org/1998/Math/MathML">
              <m:r>
                <m:t>±</m:t>
              </m:r>
            </m:oMath>
            <w:r>
              <w:rPr>
                <w:rFonts w:cs="Times New Roman"/>
                <w:b/>
                <w:sz w:val="16"/>
              </w:rPr>
              <w:t xml:space="preserve"> SD)</w:t>
            </w:r>
          </w:p>
        </w:tc>
        <w:tc>
          <w:tcPr>
            <w:tcW w:w="864" w:type="dxa"/>
            <w:tcBorders>
              <w:top w:val="double" w:sz="6" w:space="0" w:color="000000"/>
              <w:left w:val="none" w:sz="0" w:space="0" w:color="000000"/>
              <w:bottom w:val="single" w:sz="6" w:space="0" w:color="000000"/>
              <w:right w:val="none" w:sz="0" w:space="0" w:color="000000"/>
            </w:tcBorders>
          </w:tcPr>
          <w:p w14:paraId="6EA09570" w14:textId="689088C3" w:rsidR="004C511C" w:rsidRDefault="00751A67">
            <w:pPr>
              <w:spacing w:before="20" w:after="20"/>
              <w:jc w:val="center"/>
            </w:pPr>
            <w:r>
              <w:rPr>
                <w:rFonts w:cs="Times New Roman"/>
                <w:b/>
                <w:sz w:val="16"/>
              </w:rPr>
              <w:t>GRU (</w:t>
            </w:r>
            <m:oMath xmlns:mml="http://www.w3.org/1998/Math/MathML">
              <m:r>
                <m:t>±</m:t>
              </m:r>
            </m:oMath>
            <w:r>
              <w:rPr>
                <w:rFonts w:cs="Times New Roman"/>
                <w:b/>
                <w:sz w:val="16"/>
              </w:rPr>
              <w:t xml:space="preserve"> SD)</w:t>
            </w:r>
          </w:p>
        </w:tc>
      </w:tr>
      <w:tr w:rsidR="004C511C" w14:paraId="3754C938" w14:textId="77777777">
        <w:tc>
          <w:tcPr>
            <w:tcW w:w="864" w:type="dxa"/>
            <w:tcBorders>
              <w:top w:val="none" w:sz="0" w:space="0" w:color="000000"/>
              <w:left w:val="none" w:sz="0" w:space="0" w:color="000000"/>
              <w:bottom w:val="none" w:sz="0" w:space="0" w:color="000000"/>
              <w:right w:val="none" w:sz="0" w:space="0" w:color="000000"/>
            </w:tcBorders>
          </w:tcPr>
          <w:p w14:paraId="73681CC9" w14:textId="77777777" w:rsidR="004C511C" w:rsidRDefault="00751A67">
            <w:pPr>
              <w:spacing w:before="20" w:after="20"/>
              <w:jc w:val="center"/>
            </w:pPr>
            <w:r>
              <w:rPr>
                <w:rFonts w:cs="Times New Roman"/>
                <w:sz w:val="16"/>
              </w:rPr>
              <w:t>Direction Acc.</w:t>
            </w:r>
          </w:p>
        </w:tc>
        <w:tc>
          <w:tcPr>
            <w:tcW w:w="864" w:type="dxa"/>
            <w:tcBorders>
              <w:top w:val="none" w:sz="0" w:space="0" w:color="000000"/>
              <w:left w:val="none" w:sz="0" w:space="0" w:color="000000"/>
              <w:bottom w:val="none" w:sz="0" w:space="0" w:color="000000"/>
              <w:right w:val="none" w:sz="0" w:space="0" w:color="000000"/>
            </w:tcBorders>
          </w:tcPr>
          <w:p w14:paraId="7C253DF5" w14:textId="4520A605" w:rsidR="004C511C" w:rsidRDefault="00751A67">
            <w:pPr>
              <w:spacing w:before="20" w:after="20"/>
              <w:jc w:val="center"/>
            </w:pPr>
            <w:r>
              <w:rPr>
                <w:rFonts w:cs="Times New Roman"/>
                <w:sz w:val="16"/>
              </w:rPr>
              <w:t xml:space="preserve">58.4% </w:t>
            </w:r>
            <m:oMath xmlns:mml="http://www.w3.org/1998/Math/MathML">
              <m:r>
                <m:t>±</m:t>
              </m:r>
            </m:oMath>
            <w:r>
              <w:rPr>
                <w:rFonts w:cs="Times New Roman"/>
                <w:sz w:val="16"/>
              </w:rPr>
              <w:t xml:space="preserve"> 2.8%</w:t>
            </w:r>
          </w:p>
        </w:tc>
        <w:tc>
          <w:tcPr>
            <w:tcW w:w="864" w:type="dxa"/>
            <w:tcBorders>
              <w:top w:val="none" w:sz="0" w:space="0" w:color="000000"/>
              <w:left w:val="none" w:sz="0" w:space="0" w:color="000000"/>
              <w:bottom w:val="none" w:sz="0" w:space="0" w:color="000000"/>
              <w:right w:val="none" w:sz="0" w:space="0" w:color="000000"/>
            </w:tcBorders>
          </w:tcPr>
          <w:p w14:paraId="3BC6D26C" w14:textId="26D70B93" w:rsidR="004C511C" w:rsidRDefault="00751A67">
            <w:pPr>
              <w:spacing w:before="20" w:after="20"/>
              <w:jc w:val="center"/>
            </w:pPr>
            <w:r>
              <w:rPr>
                <w:rFonts w:cs="Times New Roman"/>
                <w:sz w:val="16"/>
              </w:rPr>
              <w:t xml:space="preserve">64.1% </w:t>
            </w:r>
            <m:oMath xmlns:mml="http://www.w3.org/1998/Math/MathML">
              <m:r>
                <m:t>±</m:t>
              </m:r>
            </m:oMath>
            <w:r>
              <w:rPr>
                <w:rFonts w:cs="Times New Roman"/>
                <w:sz w:val="16"/>
              </w:rPr>
              <w:t xml:space="preserve"> 2.5%</w:t>
            </w:r>
          </w:p>
        </w:tc>
        <w:tc>
          <w:tcPr>
            <w:tcW w:w="864" w:type="dxa"/>
            <w:tcBorders>
              <w:top w:val="none" w:sz="0" w:space="0" w:color="000000"/>
              <w:left w:val="none" w:sz="0" w:space="0" w:color="000000"/>
              <w:bottom w:val="none" w:sz="0" w:space="0" w:color="000000"/>
              <w:right w:val="none" w:sz="0" w:space="0" w:color="000000"/>
            </w:tcBorders>
          </w:tcPr>
          <w:p w14:paraId="55833ACC" w14:textId="1E298D56" w:rsidR="004C511C" w:rsidRDefault="00751A67">
            <w:pPr>
              <w:spacing w:before="20" w:after="20"/>
              <w:jc w:val="center"/>
            </w:pPr>
            <w:r>
              <w:rPr>
                <w:rFonts w:cs="Times New Roman"/>
                <w:sz w:val="16"/>
              </w:rPr>
              <w:t xml:space="preserve">72.3% </w:t>
            </w:r>
            <m:oMath xmlns:mml="http://www.w3.org/1998/Math/MathML">
              <m:r>
                <m:t>±</m:t>
              </m:r>
            </m:oMath>
            <w:r>
              <w:rPr>
                <w:rFonts w:cs="Times New Roman"/>
                <w:sz w:val="16"/>
              </w:rPr>
              <w:t xml:space="preserve"> 1.5%</w:t>
            </w:r>
          </w:p>
        </w:tc>
        <w:tc>
          <w:tcPr>
            <w:tcW w:w="864" w:type="dxa"/>
            <w:tcBorders>
              <w:top w:val="none" w:sz="0" w:space="0" w:color="000000"/>
              <w:left w:val="none" w:sz="0" w:space="0" w:color="000000"/>
              <w:bottom w:val="none" w:sz="0" w:space="0" w:color="000000"/>
              <w:right w:val="none" w:sz="0" w:space="0" w:color="000000"/>
            </w:tcBorders>
          </w:tcPr>
          <w:p w14:paraId="26737B7A" w14:textId="1EE40186" w:rsidR="004C511C" w:rsidRDefault="00751A67">
            <w:pPr>
              <w:spacing w:before="20" w:after="20"/>
              <w:jc w:val="center"/>
            </w:pPr>
            <w:r>
              <w:rPr>
                <w:rFonts w:cs="Times New Roman"/>
                <w:sz w:val="16"/>
              </w:rPr>
              <w:t xml:space="preserve">69.8% </w:t>
            </w:r>
            <m:oMath xmlns:mml="http://www.w3.org/1998/Math/MathML">
              <m:r>
                <m:t>±</m:t>
              </m:r>
            </m:oMath>
            <w:r>
              <w:rPr>
                <w:rFonts w:cs="Times New Roman"/>
                <w:sz w:val="16"/>
              </w:rPr>
              <w:t xml:space="preserve"> 1.8%</w:t>
            </w:r>
          </w:p>
        </w:tc>
      </w:tr>
      <w:tr w:rsidR="004C511C" w14:paraId="5CC234E0" w14:textId="77777777">
        <w:tc>
          <w:tcPr>
            <w:tcW w:w="864" w:type="dxa"/>
            <w:tcBorders>
              <w:top w:val="none" w:sz="0" w:space="0" w:color="000000"/>
              <w:left w:val="none" w:sz="0" w:space="0" w:color="000000"/>
              <w:bottom w:val="none" w:sz="0" w:space="0" w:color="000000"/>
              <w:right w:val="none" w:sz="0" w:space="0" w:color="000000"/>
            </w:tcBorders>
          </w:tcPr>
          <w:p w14:paraId="4AB83146" w14:textId="77777777" w:rsidR="004C511C" w:rsidRDefault="00751A67">
            <w:pPr>
              <w:spacing w:before="20" w:after="20"/>
              <w:jc w:val="center"/>
            </w:pPr>
            <w:r>
              <w:rPr>
                <w:rFonts w:cs="Times New Roman"/>
                <w:sz w:val="16"/>
              </w:rPr>
              <w:t>Sharpe Ratio</w:t>
            </w:r>
          </w:p>
        </w:tc>
        <w:tc>
          <w:tcPr>
            <w:tcW w:w="864" w:type="dxa"/>
            <w:tcBorders>
              <w:top w:val="none" w:sz="0" w:space="0" w:color="000000"/>
              <w:left w:val="none" w:sz="0" w:space="0" w:color="000000"/>
              <w:bottom w:val="none" w:sz="0" w:space="0" w:color="000000"/>
              <w:right w:val="none" w:sz="0" w:space="0" w:color="000000"/>
            </w:tcBorders>
          </w:tcPr>
          <w:p w14:paraId="174732A8" w14:textId="4A37427A" w:rsidR="004C511C" w:rsidRDefault="00751A67">
            <w:pPr>
              <w:spacing w:before="20" w:after="20"/>
              <w:jc w:val="center"/>
            </w:pPr>
            <w:r>
              <w:rPr>
                <w:rFonts w:cs="Times New Roman"/>
                <w:sz w:val="16"/>
              </w:rPr>
              <w:t xml:space="preserve">0.95 </w:t>
            </w:r>
            <m:oMath xmlns:mml="http://www.w3.org/1998/Math/MathML">
              <m:r>
                <m:t>±</m:t>
              </m:r>
            </m:oMath>
            <w:r>
              <w:rPr>
                <w:rFonts w:cs="Times New Roman"/>
                <w:sz w:val="16"/>
              </w:rPr>
              <w:t xml:space="preserve"> 0.15</w:t>
            </w:r>
          </w:p>
        </w:tc>
        <w:tc>
          <w:tcPr>
            <w:tcW w:w="864" w:type="dxa"/>
            <w:tcBorders>
              <w:top w:val="none" w:sz="0" w:space="0" w:color="000000"/>
              <w:left w:val="none" w:sz="0" w:space="0" w:color="000000"/>
              <w:bottom w:val="none" w:sz="0" w:space="0" w:color="000000"/>
              <w:right w:val="none" w:sz="0" w:space="0" w:color="000000"/>
            </w:tcBorders>
          </w:tcPr>
          <w:p w14:paraId="216F23E9" w14:textId="3D3690AD" w:rsidR="004C511C" w:rsidRDefault="00751A67">
            <w:pPr>
              <w:spacing w:before="20" w:after="20"/>
              <w:jc w:val="center"/>
            </w:pPr>
            <w:r>
              <w:rPr>
                <w:rFonts w:cs="Times New Roman"/>
                <w:sz w:val="16"/>
              </w:rPr>
              <w:t xml:space="preserve">1.12 </w:t>
            </w:r>
            <m:oMath xmlns:mml="http://www.w3.org/1998/Math/MathML">
              <m:r>
                <m:t>±</m:t>
              </m:r>
            </m:oMath>
            <w:r>
              <w:rPr>
                <w:rFonts w:cs="Times New Roman"/>
                <w:sz w:val="16"/>
              </w:rPr>
              <w:t xml:space="preserve"> 0.20</w:t>
            </w:r>
          </w:p>
        </w:tc>
        <w:tc>
          <w:tcPr>
            <w:tcW w:w="864" w:type="dxa"/>
            <w:tcBorders>
              <w:top w:val="none" w:sz="0" w:space="0" w:color="000000"/>
              <w:left w:val="none" w:sz="0" w:space="0" w:color="000000"/>
              <w:bottom w:val="none" w:sz="0" w:space="0" w:color="000000"/>
              <w:right w:val="none" w:sz="0" w:space="0" w:color="000000"/>
            </w:tcBorders>
          </w:tcPr>
          <w:p w14:paraId="3FC1630F" w14:textId="6B0EB07E" w:rsidR="004C511C" w:rsidRDefault="00751A67">
            <w:pPr>
              <w:spacing w:before="20" w:after="20"/>
              <w:jc w:val="center"/>
            </w:pPr>
            <w:r>
              <w:rPr>
                <w:rFonts w:cs="Times New Roman"/>
                <w:sz w:val="16"/>
              </w:rPr>
              <w:t xml:space="preserve">1.45 </w:t>
            </w:r>
            <m:oMath xmlns:mml="http://www.w3.org/1998/Math/MathML">
              <m:r>
                <m:t>±</m:t>
              </m:r>
            </m:oMath>
            <w:r>
              <w:rPr>
                <w:rFonts w:cs="Times New Roman"/>
                <w:sz w:val="16"/>
              </w:rPr>
              <w:t xml:space="preserve"> 0.10</w:t>
            </w:r>
          </w:p>
        </w:tc>
        <w:tc>
          <w:tcPr>
            <w:tcW w:w="864" w:type="dxa"/>
            <w:tcBorders>
              <w:top w:val="none" w:sz="0" w:space="0" w:color="000000"/>
              <w:left w:val="none" w:sz="0" w:space="0" w:color="000000"/>
              <w:bottom w:val="none" w:sz="0" w:space="0" w:color="000000"/>
              <w:right w:val="none" w:sz="0" w:space="0" w:color="000000"/>
            </w:tcBorders>
          </w:tcPr>
          <w:p w14:paraId="7901FFE0" w14:textId="1DA4706E" w:rsidR="004C511C" w:rsidRDefault="00751A67">
            <w:pPr>
              <w:spacing w:before="20" w:after="20"/>
              <w:jc w:val="center"/>
            </w:pPr>
            <w:r>
              <w:rPr>
                <w:rFonts w:cs="Times New Roman"/>
                <w:sz w:val="16"/>
              </w:rPr>
              <w:t xml:space="preserve">1.32 </w:t>
            </w:r>
            <m:oMath xmlns:mml="http://www.w3.org/1998/Math/MathML">
              <m:r>
                <m:t>±</m:t>
              </m:r>
            </m:oMath>
            <w:r>
              <w:rPr>
                <w:rFonts w:cs="Times New Roman"/>
                <w:sz w:val="16"/>
              </w:rPr>
              <w:t xml:space="preserve"> 0.12</w:t>
            </w:r>
          </w:p>
        </w:tc>
      </w:tr>
      <w:tr w:rsidR="004C511C" w14:paraId="7B1FAE38" w14:textId="77777777">
        <w:tc>
          <w:tcPr>
            <w:tcW w:w="864" w:type="dxa"/>
            <w:tcBorders>
              <w:top w:val="none" w:sz="0" w:space="0" w:color="000000"/>
              <w:left w:val="none" w:sz="0" w:space="0" w:color="000000"/>
              <w:bottom w:val="single" w:sz="6" w:space="0" w:color="000000"/>
              <w:right w:val="none" w:sz="0" w:space="0" w:color="000000"/>
            </w:tcBorders>
          </w:tcPr>
          <w:p w14:paraId="217362FF" w14:textId="77777777" w:rsidR="004C511C" w:rsidRDefault="00751A67">
            <w:pPr>
              <w:spacing w:before="20" w:after="20"/>
              <w:jc w:val="center"/>
            </w:pPr>
            <w:r>
              <w:rPr>
                <w:rFonts w:cs="Times New Roman"/>
                <w:sz w:val="16"/>
              </w:rPr>
              <w:t>VaR (95%) Limit</w:t>
            </w:r>
          </w:p>
        </w:tc>
        <w:tc>
          <w:tcPr>
            <w:tcW w:w="864" w:type="dxa"/>
            <w:tcBorders>
              <w:top w:val="none" w:sz="0" w:space="0" w:color="000000"/>
              <w:left w:val="none" w:sz="0" w:space="0" w:color="000000"/>
              <w:bottom w:val="single" w:sz="6" w:space="0" w:color="000000"/>
              <w:right w:val="none" w:sz="0" w:space="0" w:color="000000"/>
            </w:tcBorders>
          </w:tcPr>
          <w:p w14:paraId="62A9A082" w14:textId="6874A85B" w:rsidR="004C511C" w:rsidRDefault="00751A67">
            <w:pPr>
              <w:spacing w:before="20" w:after="20"/>
              <w:jc w:val="center"/>
            </w:pPr>
            <w:r>
              <w:rPr>
                <w:rFonts w:cs="Times New Roman"/>
                <w:sz w:val="16"/>
              </w:rPr>
              <w:t xml:space="preserve">-4.10% </w:t>
            </w:r>
            <m:oMath xmlns:mml="http://www.w3.org/1998/Math/MathML">
              <m:r>
                <m:t>±</m:t>
              </m:r>
            </m:oMath>
            <w:r>
              <w:rPr>
                <w:rFonts w:cs="Times New Roman"/>
                <w:sz w:val="16"/>
              </w:rPr>
              <w:t xml:space="preserve"> 0.5%</w:t>
            </w:r>
          </w:p>
        </w:tc>
        <w:tc>
          <w:tcPr>
            <w:tcW w:w="864" w:type="dxa"/>
            <w:tcBorders>
              <w:top w:val="none" w:sz="0" w:space="0" w:color="000000"/>
              <w:left w:val="none" w:sz="0" w:space="0" w:color="000000"/>
              <w:bottom w:val="single" w:sz="6" w:space="0" w:color="000000"/>
              <w:right w:val="none" w:sz="0" w:space="0" w:color="000000"/>
            </w:tcBorders>
          </w:tcPr>
          <w:p w14:paraId="207F8D32" w14:textId="4B785A38" w:rsidR="004C511C" w:rsidRDefault="00751A67">
            <w:pPr>
              <w:spacing w:before="20" w:after="20"/>
              <w:jc w:val="center"/>
            </w:pPr>
            <w:r>
              <w:rPr>
                <w:rFonts w:cs="Times New Roman"/>
                <w:sz w:val="16"/>
              </w:rPr>
              <w:t xml:space="preserve">-3.15% </w:t>
            </w:r>
            <m:oMath xmlns:mml="http://www.w3.org/1998/Math/MathML">
              <m:r>
                <m:t>±</m:t>
              </m:r>
            </m:oMath>
            <w:r>
              <w:rPr>
                <w:rFonts w:cs="Times New Roman"/>
                <w:sz w:val="16"/>
              </w:rPr>
              <w:t xml:space="preserve"> 0.6%</w:t>
            </w:r>
          </w:p>
        </w:tc>
        <w:tc>
          <w:tcPr>
            <w:tcW w:w="864" w:type="dxa"/>
            <w:tcBorders>
              <w:top w:val="none" w:sz="0" w:space="0" w:color="000000"/>
              <w:left w:val="none" w:sz="0" w:space="0" w:color="000000"/>
              <w:bottom w:val="single" w:sz="6" w:space="0" w:color="000000"/>
              <w:right w:val="none" w:sz="0" w:space="0" w:color="000000"/>
            </w:tcBorders>
          </w:tcPr>
          <w:p w14:paraId="58587534" w14:textId="6AE7A938" w:rsidR="004C511C" w:rsidRDefault="00751A67">
            <w:pPr>
              <w:spacing w:before="20" w:after="20"/>
              <w:jc w:val="center"/>
            </w:pPr>
            <w:r>
              <w:rPr>
                <w:rFonts w:cs="Times New Roman"/>
                <w:sz w:val="16"/>
              </w:rPr>
              <w:t xml:space="preserve">-2.34% </w:t>
            </w:r>
            <m:oMath xmlns:mml="http://www.w3.org/1998/Math/MathML">
              <m:r>
                <m:t>±</m:t>
              </m:r>
            </m:oMath>
            <w:r>
              <w:rPr>
                <w:rFonts w:cs="Times New Roman"/>
                <w:sz w:val="16"/>
              </w:rPr>
              <w:t xml:space="preserve"> 0.2%</w:t>
            </w:r>
          </w:p>
        </w:tc>
        <w:tc>
          <w:tcPr>
            <w:tcW w:w="864" w:type="dxa"/>
            <w:tcBorders>
              <w:top w:val="none" w:sz="0" w:space="0" w:color="000000"/>
              <w:left w:val="none" w:sz="0" w:space="0" w:color="000000"/>
              <w:bottom w:val="single" w:sz="6" w:space="0" w:color="000000"/>
              <w:right w:val="none" w:sz="0" w:space="0" w:color="000000"/>
            </w:tcBorders>
          </w:tcPr>
          <w:p w14:paraId="54953504" w14:textId="3844C5DE" w:rsidR="004C511C" w:rsidRDefault="00751A67">
            <w:pPr>
              <w:spacing w:before="20" w:after="20"/>
              <w:jc w:val="center"/>
            </w:pPr>
            <w:r>
              <w:rPr>
                <w:rFonts w:cs="Times New Roman"/>
                <w:sz w:val="16"/>
              </w:rPr>
              <w:t xml:space="preserve">-2.67% </w:t>
            </w:r>
            <m:oMath xmlns:mml="http://www.w3.org/1998/Math/MathML">
              <m:r>
                <m:t>±</m:t>
              </m:r>
            </m:oMath>
            <w:r>
              <w:rPr>
                <w:rFonts w:cs="Times New Roman"/>
                <w:sz w:val="16"/>
              </w:rPr>
              <w:t xml:space="preserve"> 0.3%</w:t>
            </w:r>
          </w:p>
        </w:tc>
      </w:tr>
    </w:tbl>
    <w:p w14:paraId="096B9D66" w14:textId="77777777" w:rsidR="004C511C" w:rsidRDefault="00751A67">
      <w:pPr>
        <w:spacing w:before="120" w:after="60"/>
      </w:pPr>
      <w:r>
        <w:rPr>
          <w:b/>
        </w:rPr>
        <w:t>7. DISCUSSION</w:t>
      </w:r>
    </w:p>
    <w:p w14:paraId="0081F9B2" w14:textId="77777777" w:rsidR="004C511C" w:rsidRDefault="00751A67">
      <w:pPr>
        <w:spacing w:before="80" w:after="40"/>
      </w:pPr>
      <w:r>
        <w:rPr>
          <w:b/>
        </w:rPr>
        <w:t>7.1. Theoretical Justification for GRU Superiority in Short-Horizon Forecasting</w:t>
      </w:r>
    </w:p>
    <w:p w14:paraId="1554D884" w14:textId="77777777" w:rsidR="004C511C" w:rsidRDefault="00751A67">
      <w:pPr>
        <w:spacing w:after="60"/>
        <w:ind w:firstLine="216"/>
        <w:jc w:val="both"/>
      </w:pPr>
      <w: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p>
    <w:p w14:paraId="7302F1EE" w14:textId="77777777" w:rsidR="004C511C" w:rsidRDefault="00751A67">
      <w:pPr>
        <w:spacing w:after="60"/>
        <w:ind w:firstLine="216"/>
        <w:jc w:val="both"/>
      </w:pPr>
      <w:r>
        <w:t>Crucially, the Informer's ProbSparse attention, designed to reduce complexity, inadvertently prunes high-value short-lag correlation pairs vital for 1-hour crypto forecasting. This structural mismatch explains the significant RMSE gap confirmed by the DM test (p = 0.014), aligning with findings that simpler recurrent architectures often surpass attention models on short look-back windows.</w:t>
      </w:r>
    </w:p>
    <w:p w14:paraId="530822B8" w14:textId="77777777" w:rsidR="004C511C" w:rsidRDefault="00751A67">
      <w:pPr>
        <w:spacing w:after="80"/>
      </w:pPr>
      <w:r>
        <w:rPr>
          <w:b/>
        </w:rPr>
        <w:t>7.2. Benchmarking Against Published Studies</w:t>
      </w:r>
    </w:p>
    <w:tbl>
      <w:tblPr>
        <w:tblStyle w:val="TableGrid"/>
        <w:tblW w:w="0" w:type="auto"/>
        <w:tblLook w:val="04A0" w:firstRow="1" w:lastRow="0" w:firstColumn="1" w:lastColumn="0" w:noHBand="0" w:noVBand="1"/>
      </w:tblPr>
      <w:tblGrid>
        <w:gridCol w:w="1083"/>
        <w:gridCol w:w="847"/>
        <w:gridCol w:w="990"/>
        <w:gridCol w:w="736"/>
        <w:gridCol w:w="981"/>
        <w:gridCol w:w="720"/>
      </w:tblGrid>
      <w:tr w:rsidR="004C511C" w14:paraId="4BBA284B" w14:textId="77777777">
        <w:tc>
          <w:tcPr>
            <w:tcW w:w="720" w:type="dxa"/>
            <w:tcBorders>
              <w:top w:val="double" w:sz="6" w:space="0" w:color="000000"/>
              <w:left w:val="none" w:sz="0" w:space="0" w:color="000000"/>
              <w:bottom w:val="single" w:sz="6" w:space="0" w:color="000000"/>
              <w:right w:val="none" w:sz="0" w:space="0" w:color="000000"/>
            </w:tcBorders>
          </w:tcPr>
          <w:p w14:paraId="7A28DA9C" w14:textId="77777777" w:rsidR="004C511C" w:rsidRDefault="00751A67">
            <w:pPr>
              <w:spacing w:before="20" w:after="20"/>
              <w:jc w:val="center"/>
            </w:pPr>
            <w:r>
              <w:rPr>
                <w:rFonts w:cs="Times New Roman"/>
                <w:b/>
                <w:sz w:val="16"/>
              </w:rPr>
              <w:t>Study</w:t>
            </w:r>
          </w:p>
        </w:tc>
        <w:tc>
          <w:tcPr>
            <w:tcW w:w="720" w:type="dxa"/>
            <w:tcBorders>
              <w:top w:val="double" w:sz="6" w:space="0" w:color="000000"/>
              <w:left w:val="none" w:sz="0" w:space="0" w:color="000000"/>
              <w:bottom w:val="single" w:sz="6" w:space="0" w:color="000000"/>
              <w:right w:val="none" w:sz="0" w:space="0" w:color="000000"/>
            </w:tcBorders>
          </w:tcPr>
          <w:p w14:paraId="0C5796D9" w14:textId="77777777" w:rsidR="004C511C" w:rsidRDefault="00751A67">
            <w:pPr>
              <w:spacing w:before="20" w:after="20"/>
              <w:jc w:val="center"/>
            </w:pPr>
            <w:r>
              <w:rPr>
                <w:rFonts w:cs="Times New Roman"/>
                <w:b/>
                <w:sz w:val="16"/>
              </w:rPr>
              <w:t>Model</w:t>
            </w:r>
          </w:p>
        </w:tc>
        <w:tc>
          <w:tcPr>
            <w:tcW w:w="720" w:type="dxa"/>
            <w:tcBorders>
              <w:top w:val="double" w:sz="6" w:space="0" w:color="000000"/>
              <w:left w:val="none" w:sz="0" w:space="0" w:color="000000"/>
              <w:bottom w:val="single" w:sz="6" w:space="0" w:color="000000"/>
              <w:right w:val="none" w:sz="0" w:space="0" w:color="000000"/>
            </w:tcBorders>
          </w:tcPr>
          <w:p w14:paraId="1742C632" w14:textId="77777777" w:rsidR="004C511C" w:rsidRDefault="00751A67">
            <w:pPr>
              <w:spacing w:before="20" w:after="20"/>
              <w:jc w:val="center"/>
            </w:pPr>
            <w:r>
              <w:rPr>
                <w:rFonts w:cs="Times New Roman"/>
                <w:b/>
                <w:sz w:val="16"/>
              </w:rPr>
              <w:t>Asset / Interval</w:t>
            </w:r>
          </w:p>
        </w:tc>
        <w:tc>
          <w:tcPr>
            <w:tcW w:w="720" w:type="dxa"/>
            <w:tcBorders>
              <w:top w:val="double" w:sz="6" w:space="0" w:color="000000"/>
              <w:left w:val="none" w:sz="0" w:space="0" w:color="000000"/>
              <w:bottom w:val="single" w:sz="6" w:space="0" w:color="000000"/>
              <w:right w:val="none" w:sz="0" w:space="0" w:color="000000"/>
            </w:tcBorders>
          </w:tcPr>
          <w:p w14:paraId="77BA2AF3" w14:textId="77777777" w:rsidR="004C511C" w:rsidRDefault="00751A67">
            <w:pPr>
              <w:spacing w:before="20" w:after="20"/>
              <w:jc w:val="center"/>
            </w:pPr>
            <w:r>
              <w:rPr>
                <w:rFonts w:cs="Times New Roman"/>
                <w:b/>
                <w:sz w:val="16"/>
              </w:rPr>
              <w:t>RMSE (norm.)</w:t>
            </w:r>
          </w:p>
        </w:tc>
        <w:tc>
          <w:tcPr>
            <w:tcW w:w="720" w:type="dxa"/>
            <w:tcBorders>
              <w:top w:val="double" w:sz="6" w:space="0" w:color="000000"/>
              <w:left w:val="none" w:sz="0" w:space="0" w:color="000000"/>
              <w:bottom w:val="single" w:sz="6" w:space="0" w:color="000000"/>
              <w:right w:val="none" w:sz="0" w:space="0" w:color="000000"/>
            </w:tcBorders>
          </w:tcPr>
          <w:p w14:paraId="3C0EB4B9" w14:textId="77777777" w:rsidR="004C511C" w:rsidRDefault="00751A67">
            <w:pPr>
              <w:spacing w:before="20" w:after="20"/>
              <w:jc w:val="center"/>
            </w:pPr>
            <w:r>
              <w:rPr>
                <w:rFonts w:cs="Times New Roman"/>
                <w:b/>
                <w:sz w:val="16"/>
              </w:rPr>
              <w:t>Directional Acc.</w:t>
            </w:r>
          </w:p>
        </w:tc>
        <w:tc>
          <w:tcPr>
            <w:tcW w:w="720" w:type="dxa"/>
            <w:tcBorders>
              <w:top w:val="double" w:sz="6" w:space="0" w:color="000000"/>
              <w:left w:val="none" w:sz="0" w:space="0" w:color="000000"/>
              <w:bottom w:val="single" w:sz="6" w:space="0" w:color="000000"/>
              <w:right w:val="none" w:sz="0" w:space="0" w:color="000000"/>
            </w:tcBorders>
          </w:tcPr>
          <w:p w14:paraId="1B37EE35" w14:textId="77777777" w:rsidR="004C511C" w:rsidRDefault="00751A67">
            <w:pPr>
              <w:spacing w:before="20" w:after="20"/>
              <w:jc w:val="center"/>
            </w:pPr>
            <w:r>
              <w:rPr>
                <w:rFonts w:cs="Times New Roman"/>
                <w:b/>
                <w:sz w:val="16"/>
              </w:rPr>
              <w:t>Sharpe Ratio</w:t>
            </w:r>
          </w:p>
        </w:tc>
      </w:tr>
      <w:tr w:rsidR="004C511C" w14:paraId="610956FA" w14:textId="77777777">
        <w:tc>
          <w:tcPr>
            <w:tcW w:w="720" w:type="dxa"/>
            <w:tcBorders>
              <w:top w:val="none" w:sz="0" w:space="0" w:color="000000"/>
              <w:left w:val="none" w:sz="0" w:space="0" w:color="000000"/>
              <w:bottom w:val="none" w:sz="0" w:space="0" w:color="000000"/>
              <w:right w:val="none" w:sz="0" w:space="0" w:color="000000"/>
            </w:tcBorders>
          </w:tcPr>
          <w:p w14:paraId="3FA89233" w14:textId="77777777" w:rsidR="004C511C" w:rsidRDefault="00751A67">
            <w:pPr>
              <w:spacing w:before="20" w:after="20"/>
              <w:jc w:val="center"/>
            </w:pPr>
            <w:r>
              <w:rPr>
                <w:rFonts w:cs="Times New Roman"/>
                <w:sz w:val="16"/>
              </w:rPr>
              <w:t>Chenet al.[16] (2020)</w:t>
            </w:r>
          </w:p>
        </w:tc>
        <w:tc>
          <w:tcPr>
            <w:tcW w:w="720" w:type="dxa"/>
            <w:tcBorders>
              <w:top w:val="none" w:sz="0" w:space="0" w:color="000000"/>
              <w:left w:val="none" w:sz="0" w:space="0" w:color="000000"/>
              <w:bottom w:val="none" w:sz="0" w:space="0" w:color="000000"/>
              <w:right w:val="none" w:sz="0" w:space="0" w:color="000000"/>
            </w:tcBorders>
          </w:tcPr>
          <w:p w14:paraId="40FD76E9" w14:textId="77777777" w:rsidR="004C511C" w:rsidRDefault="00751A67">
            <w:pPr>
              <w:spacing w:before="20" w:after="20"/>
              <w:jc w:val="center"/>
            </w:pPr>
            <w:r>
              <w:rPr>
                <w:rFonts w:cs="Times New Roman"/>
                <w:sz w:val="16"/>
              </w:rPr>
              <w:t>LSTM</w:t>
            </w:r>
          </w:p>
        </w:tc>
        <w:tc>
          <w:tcPr>
            <w:tcW w:w="720" w:type="dxa"/>
            <w:tcBorders>
              <w:top w:val="none" w:sz="0" w:space="0" w:color="000000"/>
              <w:left w:val="none" w:sz="0" w:space="0" w:color="000000"/>
              <w:bottom w:val="none" w:sz="0" w:space="0" w:color="000000"/>
              <w:right w:val="none" w:sz="0" w:space="0" w:color="000000"/>
            </w:tcBorders>
          </w:tcPr>
          <w:p w14:paraId="56C78DF4" w14:textId="77777777" w:rsidR="004C511C" w:rsidRDefault="00751A67">
            <w:pPr>
              <w:spacing w:before="20" w:after="20"/>
              <w:jc w:val="center"/>
            </w:pPr>
            <w:r>
              <w:rPr>
                <w:rFonts w:cs="Times New Roman"/>
                <w:sz w:val="16"/>
              </w:rPr>
              <w:t>BTC / Daily</w:t>
            </w:r>
          </w:p>
        </w:tc>
        <w:tc>
          <w:tcPr>
            <w:tcW w:w="720" w:type="dxa"/>
            <w:tcBorders>
              <w:top w:val="none" w:sz="0" w:space="0" w:color="000000"/>
              <w:left w:val="none" w:sz="0" w:space="0" w:color="000000"/>
              <w:bottom w:val="none" w:sz="0" w:space="0" w:color="000000"/>
              <w:right w:val="none" w:sz="0" w:space="0" w:color="000000"/>
            </w:tcBorders>
          </w:tcPr>
          <w:p w14:paraId="409DA427" w14:textId="77777777" w:rsidR="004C511C" w:rsidRDefault="00751A67">
            <w:pPr>
              <w:spacing w:before="20" w:after="20"/>
              <w:jc w:val="center"/>
            </w:pPr>
            <w:r>
              <w:rPr>
                <w:rFonts w:cs="Times New Roman"/>
                <w:sz w:val="16"/>
              </w:rPr>
              <w:t>0.18 – 0.25</w:t>
            </w:r>
          </w:p>
        </w:tc>
        <w:tc>
          <w:tcPr>
            <w:tcW w:w="720" w:type="dxa"/>
            <w:tcBorders>
              <w:top w:val="none" w:sz="0" w:space="0" w:color="000000"/>
              <w:left w:val="none" w:sz="0" w:space="0" w:color="000000"/>
              <w:bottom w:val="none" w:sz="0" w:space="0" w:color="000000"/>
              <w:right w:val="none" w:sz="0" w:space="0" w:color="000000"/>
            </w:tcBorders>
          </w:tcPr>
          <w:p w14:paraId="7AAF5630" w14:textId="77777777" w:rsidR="004C511C" w:rsidRDefault="00751A67">
            <w:pPr>
              <w:spacing w:before="20" w:after="20"/>
              <w:jc w:val="center"/>
            </w:pPr>
            <w:r>
              <w:rPr>
                <w:rFonts w:cs="Times New Roman"/>
                <w:sz w:val="16"/>
              </w:rPr>
              <w:t>62 – 68%</w:t>
            </w:r>
          </w:p>
        </w:tc>
        <w:tc>
          <w:tcPr>
            <w:tcW w:w="720" w:type="dxa"/>
            <w:tcBorders>
              <w:top w:val="none" w:sz="0" w:space="0" w:color="000000"/>
              <w:left w:val="none" w:sz="0" w:space="0" w:color="000000"/>
              <w:bottom w:val="none" w:sz="0" w:space="0" w:color="000000"/>
              <w:right w:val="none" w:sz="0" w:space="0" w:color="000000"/>
            </w:tcBorders>
          </w:tcPr>
          <w:p w14:paraId="338A7077" w14:textId="77777777" w:rsidR="004C511C" w:rsidRDefault="00751A67">
            <w:pPr>
              <w:spacing w:before="20" w:after="20"/>
              <w:jc w:val="center"/>
            </w:pPr>
            <w:r>
              <w:rPr>
                <w:rFonts w:cs="Times New Roman"/>
                <w:sz w:val="16"/>
              </w:rPr>
              <w:t>N/R</w:t>
            </w:r>
          </w:p>
        </w:tc>
      </w:tr>
      <w:tr w:rsidR="004C511C" w14:paraId="747453ED" w14:textId="77777777">
        <w:tc>
          <w:tcPr>
            <w:tcW w:w="720" w:type="dxa"/>
            <w:tcBorders>
              <w:top w:val="none" w:sz="0" w:space="0" w:color="000000"/>
              <w:left w:val="none" w:sz="0" w:space="0" w:color="000000"/>
              <w:bottom w:val="none" w:sz="0" w:space="0" w:color="000000"/>
              <w:right w:val="none" w:sz="0" w:space="0" w:color="000000"/>
            </w:tcBorders>
          </w:tcPr>
          <w:p w14:paraId="3E5A952E" w14:textId="77777777" w:rsidR="004C511C" w:rsidRDefault="00751A67">
            <w:pPr>
              <w:spacing w:before="20" w:after="20"/>
              <w:jc w:val="center"/>
            </w:pPr>
            <w:r>
              <w:rPr>
                <w:rFonts w:cs="Times New Roman"/>
                <w:sz w:val="16"/>
              </w:rPr>
              <w:t>Zhenget al.[13] (2019)</w:t>
            </w:r>
          </w:p>
        </w:tc>
        <w:tc>
          <w:tcPr>
            <w:tcW w:w="720" w:type="dxa"/>
            <w:tcBorders>
              <w:top w:val="none" w:sz="0" w:space="0" w:color="000000"/>
              <w:left w:val="none" w:sz="0" w:space="0" w:color="000000"/>
              <w:bottom w:val="none" w:sz="0" w:space="0" w:color="000000"/>
              <w:right w:val="none" w:sz="0" w:space="0" w:color="000000"/>
            </w:tcBorders>
          </w:tcPr>
          <w:p w14:paraId="3419CFD1" w14:textId="77777777" w:rsidR="004C511C" w:rsidRDefault="00751A67">
            <w:pPr>
              <w:spacing w:before="20" w:after="20"/>
              <w:jc w:val="center"/>
            </w:pPr>
            <w:r>
              <w:rPr>
                <w:rFonts w:cs="Times New Roman"/>
                <w:sz w:val="16"/>
              </w:rPr>
              <w:t>Ensemble Trees</w:t>
            </w:r>
          </w:p>
        </w:tc>
        <w:tc>
          <w:tcPr>
            <w:tcW w:w="720" w:type="dxa"/>
            <w:tcBorders>
              <w:top w:val="none" w:sz="0" w:space="0" w:color="000000"/>
              <w:left w:val="none" w:sz="0" w:space="0" w:color="000000"/>
              <w:bottom w:val="none" w:sz="0" w:space="0" w:color="000000"/>
              <w:right w:val="none" w:sz="0" w:space="0" w:color="000000"/>
            </w:tcBorders>
          </w:tcPr>
          <w:p w14:paraId="5D46510D" w14:textId="77777777" w:rsidR="004C511C" w:rsidRDefault="00751A67">
            <w:pPr>
              <w:spacing w:before="20" w:after="20"/>
              <w:jc w:val="center"/>
            </w:pPr>
            <w:r>
              <w:rPr>
                <w:rFonts w:cs="Times New Roman"/>
                <w:sz w:val="16"/>
              </w:rPr>
              <w:t>BTC / 4-hour</w:t>
            </w:r>
          </w:p>
        </w:tc>
        <w:tc>
          <w:tcPr>
            <w:tcW w:w="720" w:type="dxa"/>
            <w:tcBorders>
              <w:top w:val="none" w:sz="0" w:space="0" w:color="000000"/>
              <w:left w:val="none" w:sz="0" w:space="0" w:color="000000"/>
              <w:bottom w:val="none" w:sz="0" w:space="0" w:color="000000"/>
              <w:right w:val="none" w:sz="0" w:space="0" w:color="000000"/>
            </w:tcBorders>
          </w:tcPr>
          <w:p w14:paraId="6DA04E8A"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39F1F6C6" w14:textId="77777777" w:rsidR="004C511C" w:rsidRDefault="00751A67">
            <w:pPr>
              <w:spacing w:before="20" w:after="20"/>
              <w:jc w:val="center"/>
            </w:pPr>
            <w:r>
              <w:rPr>
                <w:rFonts w:cs="Times New Roman"/>
                <w:sz w:val="16"/>
              </w:rPr>
              <w:t>60 – 65%</w:t>
            </w:r>
          </w:p>
        </w:tc>
        <w:tc>
          <w:tcPr>
            <w:tcW w:w="720" w:type="dxa"/>
            <w:tcBorders>
              <w:top w:val="none" w:sz="0" w:space="0" w:color="000000"/>
              <w:left w:val="none" w:sz="0" w:space="0" w:color="000000"/>
              <w:bottom w:val="none" w:sz="0" w:space="0" w:color="000000"/>
              <w:right w:val="none" w:sz="0" w:space="0" w:color="000000"/>
            </w:tcBorders>
          </w:tcPr>
          <w:p w14:paraId="1294E07A" w14:textId="77777777" w:rsidR="004C511C" w:rsidRDefault="00751A67">
            <w:pPr>
              <w:spacing w:before="20" w:after="20"/>
              <w:jc w:val="center"/>
            </w:pPr>
            <w:r>
              <w:rPr>
                <w:rFonts w:cs="Times New Roman"/>
                <w:sz w:val="16"/>
              </w:rPr>
              <w:t>N/R</w:t>
            </w:r>
          </w:p>
        </w:tc>
      </w:tr>
      <w:tr w:rsidR="004C511C" w14:paraId="60C7FF1E" w14:textId="77777777">
        <w:tc>
          <w:tcPr>
            <w:tcW w:w="720" w:type="dxa"/>
            <w:tcBorders>
              <w:top w:val="none" w:sz="0" w:space="0" w:color="000000"/>
              <w:left w:val="none" w:sz="0" w:space="0" w:color="000000"/>
              <w:bottom w:val="none" w:sz="0" w:space="0" w:color="000000"/>
              <w:right w:val="none" w:sz="0" w:space="0" w:color="000000"/>
            </w:tcBorders>
          </w:tcPr>
          <w:p w14:paraId="2DC4A05D" w14:textId="77777777" w:rsidR="004C511C" w:rsidRDefault="00751A67">
            <w:pPr>
              <w:spacing w:before="20" w:after="20"/>
              <w:jc w:val="center"/>
            </w:pPr>
            <w:r>
              <w:rPr>
                <w:rFonts w:cs="Times New Roman"/>
                <w:sz w:val="16"/>
              </w:rPr>
              <w:t>Silvaet al.[4] (2022)</w:t>
            </w:r>
          </w:p>
        </w:tc>
        <w:tc>
          <w:tcPr>
            <w:tcW w:w="720" w:type="dxa"/>
            <w:tcBorders>
              <w:top w:val="none" w:sz="0" w:space="0" w:color="000000"/>
              <w:left w:val="none" w:sz="0" w:space="0" w:color="000000"/>
              <w:bottom w:val="none" w:sz="0" w:space="0" w:color="000000"/>
              <w:right w:val="none" w:sz="0" w:space="0" w:color="000000"/>
            </w:tcBorders>
          </w:tcPr>
          <w:p w14:paraId="6B48CD99" w14:textId="77777777" w:rsidR="004C511C" w:rsidRDefault="00751A67">
            <w:pPr>
              <w:spacing w:before="20" w:after="20"/>
              <w:jc w:val="center"/>
            </w:pPr>
            <w:r>
              <w:rPr>
                <w:rFonts w:cs="Times New Roman"/>
                <w:sz w:val="16"/>
              </w:rPr>
              <w:t>DL variants</w:t>
            </w:r>
          </w:p>
        </w:tc>
        <w:tc>
          <w:tcPr>
            <w:tcW w:w="720" w:type="dxa"/>
            <w:tcBorders>
              <w:top w:val="none" w:sz="0" w:space="0" w:color="000000"/>
              <w:left w:val="none" w:sz="0" w:space="0" w:color="000000"/>
              <w:bottom w:val="none" w:sz="0" w:space="0" w:color="000000"/>
              <w:right w:val="none" w:sz="0" w:space="0" w:color="000000"/>
            </w:tcBorders>
          </w:tcPr>
          <w:p w14:paraId="6304612A" w14:textId="77777777" w:rsidR="004C511C" w:rsidRDefault="00751A67">
            <w:pPr>
              <w:spacing w:before="20" w:after="20"/>
              <w:jc w:val="center"/>
            </w:pPr>
            <w:r>
              <w:rPr>
                <w:rFonts w:cs="Times New Roman"/>
                <w:sz w:val="16"/>
              </w:rPr>
              <w:t>Multi-asset</w:t>
            </w:r>
          </w:p>
        </w:tc>
        <w:tc>
          <w:tcPr>
            <w:tcW w:w="720" w:type="dxa"/>
            <w:tcBorders>
              <w:top w:val="none" w:sz="0" w:space="0" w:color="000000"/>
              <w:left w:val="none" w:sz="0" w:space="0" w:color="000000"/>
              <w:bottom w:val="none" w:sz="0" w:space="0" w:color="000000"/>
              <w:right w:val="none" w:sz="0" w:space="0" w:color="000000"/>
            </w:tcBorders>
          </w:tcPr>
          <w:p w14:paraId="3A106864" w14:textId="77777777" w:rsidR="004C511C" w:rsidRDefault="00751A67">
            <w:pPr>
              <w:spacing w:before="20" w:after="20"/>
              <w:jc w:val="center"/>
            </w:pPr>
            <w:r>
              <w:rPr>
                <w:rFonts w:cs="Times New Roman"/>
                <w:sz w:val="16"/>
              </w:rPr>
              <w:t>0.14 – 0.22</w:t>
            </w:r>
          </w:p>
        </w:tc>
        <w:tc>
          <w:tcPr>
            <w:tcW w:w="720" w:type="dxa"/>
            <w:tcBorders>
              <w:top w:val="none" w:sz="0" w:space="0" w:color="000000"/>
              <w:left w:val="none" w:sz="0" w:space="0" w:color="000000"/>
              <w:bottom w:val="none" w:sz="0" w:space="0" w:color="000000"/>
              <w:right w:val="none" w:sz="0" w:space="0" w:color="000000"/>
            </w:tcBorders>
          </w:tcPr>
          <w:p w14:paraId="22819FE5" w14:textId="77777777" w:rsidR="004C511C" w:rsidRDefault="00751A67">
            <w:pPr>
              <w:spacing w:before="20" w:after="20"/>
              <w:jc w:val="center"/>
            </w:pPr>
            <w:r>
              <w:rPr>
                <w:rFonts w:cs="Times New Roman"/>
                <w:sz w:val="16"/>
              </w:rPr>
              <w:t>65 – 70%</w:t>
            </w:r>
          </w:p>
        </w:tc>
        <w:tc>
          <w:tcPr>
            <w:tcW w:w="720" w:type="dxa"/>
            <w:tcBorders>
              <w:top w:val="none" w:sz="0" w:space="0" w:color="000000"/>
              <w:left w:val="none" w:sz="0" w:space="0" w:color="000000"/>
              <w:bottom w:val="none" w:sz="0" w:space="0" w:color="000000"/>
              <w:right w:val="none" w:sz="0" w:space="0" w:color="000000"/>
            </w:tcBorders>
          </w:tcPr>
          <w:p w14:paraId="61DFC651" w14:textId="77777777" w:rsidR="004C511C" w:rsidRDefault="00751A67">
            <w:pPr>
              <w:spacing w:before="20" w:after="20"/>
              <w:jc w:val="center"/>
            </w:pPr>
            <w:r>
              <w:rPr>
                <w:rFonts w:cs="Times New Roman"/>
                <w:sz w:val="16"/>
              </w:rPr>
              <w:t>1.1 – 1.3</w:t>
            </w:r>
          </w:p>
        </w:tc>
      </w:tr>
      <w:tr w:rsidR="004C511C" w14:paraId="33FEDF70" w14:textId="77777777">
        <w:tc>
          <w:tcPr>
            <w:tcW w:w="720" w:type="dxa"/>
            <w:tcBorders>
              <w:top w:val="none" w:sz="0" w:space="0" w:color="000000"/>
              <w:left w:val="none" w:sz="0" w:space="0" w:color="000000"/>
              <w:bottom w:val="none" w:sz="0" w:space="0" w:color="000000"/>
              <w:right w:val="none" w:sz="0" w:space="0" w:color="000000"/>
            </w:tcBorders>
          </w:tcPr>
          <w:p w14:paraId="73931F1A" w14:textId="77777777" w:rsidR="004C511C" w:rsidRDefault="00751A67">
            <w:pPr>
              <w:spacing w:before="20" w:after="20"/>
              <w:jc w:val="center"/>
            </w:pPr>
            <w:r>
              <w:rPr>
                <w:rFonts w:cs="Times New Roman"/>
                <w:sz w:val="16"/>
              </w:rPr>
              <w:t>Nguyenet al.[26] (2023)</w:t>
            </w:r>
          </w:p>
        </w:tc>
        <w:tc>
          <w:tcPr>
            <w:tcW w:w="720" w:type="dxa"/>
            <w:tcBorders>
              <w:top w:val="none" w:sz="0" w:space="0" w:color="000000"/>
              <w:left w:val="none" w:sz="0" w:space="0" w:color="000000"/>
              <w:bottom w:val="none" w:sz="0" w:space="0" w:color="000000"/>
              <w:right w:val="none" w:sz="0" w:space="0" w:color="000000"/>
            </w:tcBorders>
          </w:tcPr>
          <w:p w14:paraId="6E1D164A" w14:textId="77777777" w:rsidR="004C511C" w:rsidRDefault="00751A67">
            <w:pPr>
              <w:spacing w:before="20" w:after="20"/>
              <w:jc w:val="center"/>
            </w:pPr>
            <w:r>
              <w:rPr>
                <w:rFonts w:cs="Times New Roman"/>
                <w:sz w:val="16"/>
              </w:rPr>
              <w:t>Algo. trading</w:t>
            </w:r>
          </w:p>
        </w:tc>
        <w:tc>
          <w:tcPr>
            <w:tcW w:w="720" w:type="dxa"/>
            <w:tcBorders>
              <w:top w:val="none" w:sz="0" w:space="0" w:color="000000"/>
              <w:left w:val="none" w:sz="0" w:space="0" w:color="000000"/>
              <w:bottom w:val="none" w:sz="0" w:space="0" w:color="000000"/>
              <w:right w:val="none" w:sz="0" w:space="0" w:color="000000"/>
            </w:tcBorders>
          </w:tcPr>
          <w:p w14:paraId="6CECF9CF" w14:textId="77777777" w:rsidR="004C511C" w:rsidRDefault="00751A67">
            <w:pPr>
              <w:spacing w:before="20" w:after="20"/>
              <w:jc w:val="center"/>
            </w:pPr>
            <w:r>
              <w:rPr>
                <w:rFonts w:cs="Times New Roman"/>
                <w:sz w:val="16"/>
              </w:rPr>
              <w:t>Multi-asset</w:t>
            </w:r>
          </w:p>
        </w:tc>
        <w:tc>
          <w:tcPr>
            <w:tcW w:w="720" w:type="dxa"/>
            <w:tcBorders>
              <w:top w:val="none" w:sz="0" w:space="0" w:color="000000"/>
              <w:left w:val="none" w:sz="0" w:space="0" w:color="000000"/>
              <w:bottom w:val="none" w:sz="0" w:space="0" w:color="000000"/>
              <w:right w:val="none" w:sz="0" w:space="0" w:color="000000"/>
            </w:tcBorders>
          </w:tcPr>
          <w:p w14:paraId="5A386DD0"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41D9A8E4"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563114FC" w14:textId="77777777" w:rsidR="004C511C" w:rsidRDefault="00751A67">
            <w:pPr>
              <w:spacing w:before="20" w:after="20"/>
              <w:jc w:val="center"/>
            </w:pPr>
            <w:r>
              <w:rPr>
                <w:rFonts w:cs="Times New Roman"/>
                <w:sz w:val="16"/>
              </w:rPr>
              <w:t>1.1 – 1.3</w:t>
            </w:r>
          </w:p>
        </w:tc>
      </w:tr>
      <w:tr w:rsidR="004C511C" w14:paraId="324EA787" w14:textId="77777777">
        <w:tc>
          <w:tcPr>
            <w:tcW w:w="720" w:type="dxa"/>
            <w:tcBorders>
              <w:top w:val="none" w:sz="0" w:space="0" w:color="000000"/>
              <w:left w:val="none" w:sz="0" w:space="0" w:color="000000"/>
              <w:bottom w:val="none" w:sz="0" w:space="0" w:color="000000"/>
              <w:right w:val="none" w:sz="0" w:space="0" w:color="000000"/>
            </w:tcBorders>
          </w:tcPr>
          <w:p w14:paraId="53CEA800" w14:textId="77777777" w:rsidR="004C511C" w:rsidRDefault="00751A67">
            <w:pPr>
              <w:spacing w:before="20" w:after="20"/>
              <w:jc w:val="center"/>
            </w:pPr>
            <w:r>
              <w:rPr>
                <w:rFonts w:cs="Times New Roman"/>
                <w:sz w:val="16"/>
              </w:rPr>
              <w:t>Livieriset al.[38] (2024)</w:t>
            </w:r>
          </w:p>
        </w:tc>
        <w:tc>
          <w:tcPr>
            <w:tcW w:w="720" w:type="dxa"/>
            <w:tcBorders>
              <w:top w:val="none" w:sz="0" w:space="0" w:color="000000"/>
              <w:left w:val="none" w:sz="0" w:space="0" w:color="000000"/>
              <w:bottom w:val="none" w:sz="0" w:space="0" w:color="000000"/>
              <w:right w:val="none" w:sz="0" w:space="0" w:color="000000"/>
            </w:tcBorders>
          </w:tcPr>
          <w:p w14:paraId="3A0FD973" w14:textId="77777777" w:rsidR="004C511C" w:rsidRDefault="00751A67">
            <w:pPr>
              <w:spacing w:before="20" w:after="20"/>
              <w:jc w:val="center"/>
            </w:pPr>
            <w:r>
              <w:rPr>
                <w:rFonts w:cs="Times New Roman"/>
                <w:sz w:val="16"/>
              </w:rPr>
              <w:t>CNN-LSTM</w:t>
            </w:r>
          </w:p>
        </w:tc>
        <w:tc>
          <w:tcPr>
            <w:tcW w:w="720" w:type="dxa"/>
            <w:tcBorders>
              <w:top w:val="none" w:sz="0" w:space="0" w:color="000000"/>
              <w:left w:val="none" w:sz="0" w:space="0" w:color="000000"/>
              <w:bottom w:val="none" w:sz="0" w:space="0" w:color="000000"/>
              <w:right w:val="none" w:sz="0" w:space="0" w:color="000000"/>
            </w:tcBorders>
          </w:tcPr>
          <w:p w14:paraId="0D15D544" w14:textId="77777777" w:rsidR="004C511C" w:rsidRDefault="00751A67">
            <w:pPr>
              <w:spacing w:before="20" w:after="20"/>
              <w:jc w:val="center"/>
            </w:pPr>
            <w:r>
              <w:rPr>
                <w:rFonts w:cs="Times New Roman"/>
                <w:sz w:val="16"/>
              </w:rPr>
              <w:t>BTC / 1-hour</w:t>
            </w:r>
          </w:p>
        </w:tc>
        <w:tc>
          <w:tcPr>
            <w:tcW w:w="720" w:type="dxa"/>
            <w:tcBorders>
              <w:top w:val="none" w:sz="0" w:space="0" w:color="000000"/>
              <w:left w:val="none" w:sz="0" w:space="0" w:color="000000"/>
              <w:bottom w:val="none" w:sz="0" w:space="0" w:color="000000"/>
              <w:right w:val="none" w:sz="0" w:space="0" w:color="000000"/>
            </w:tcBorders>
          </w:tcPr>
          <w:p w14:paraId="19A345EE" w14:textId="77777777" w:rsidR="004C511C" w:rsidRDefault="00751A67">
            <w:pPr>
              <w:spacing w:before="20" w:after="20"/>
              <w:jc w:val="center"/>
            </w:pPr>
            <w:r>
              <w:rPr>
                <w:rFonts w:cs="Times New Roman"/>
                <w:sz w:val="16"/>
              </w:rPr>
              <w:t>0.14 – 0.17</w:t>
            </w:r>
          </w:p>
        </w:tc>
        <w:tc>
          <w:tcPr>
            <w:tcW w:w="720" w:type="dxa"/>
            <w:tcBorders>
              <w:top w:val="none" w:sz="0" w:space="0" w:color="000000"/>
              <w:left w:val="none" w:sz="0" w:space="0" w:color="000000"/>
              <w:bottom w:val="none" w:sz="0" w:space="0" w:color="000000"/>
              <w:right w:val="none" w:sz="0" w:space="0" w:color="000000"/>
            </w:tcBorders>
          </w:tcPr>
          <w:p w14:paraId="27BE8617" w14:textId="77777777" w:rsidR="004C511C" w:rsidRDefault="00751A67">
            <w:pPr>
              <w:spacing w:before="20" w:after="20"/>
              <w:jc w:val="center"/>
            </w:pPr>
            <w:r>
              <w:rPr>
                <w:rFonts w:cs="Times New Roman"/>
                <w:sz w:val="16"/>
              </w:rPr>
              <w:t>N/R</w:t>
            </w:r>
          </w:p>
        </w:tc>
        <w:tc>
          <w:tcPr>
            <w:tcW w:w="720" w:type="dxa"/>
            <w:tcBorders>
              <w:top w:val="none" w:sz="0" w:space="0" w:color="000000"/>
              <w:left w:val="none" w:sz="0" w:space="0" w:color="000000"/>
              <w:bottom w:val="none" w:sz="0" w:space="0" w:color="000000"/>
              <w:right w:val="none" w:sz="0" w:space="0" w:color="000000"/>
            </w:tcBorders>
          </w:tcPr>
          <w:p w14:paraId="532AF6E6" w14:textId="77777777" w:rsidR="004C511C" w:rsidRDefault="00751A67">
            <w:pPr>
              <w:spacing w:before="20" w:after="20"/>
              <w:jc w:val="center"/>
            </w:pPr>
            <w:r>
              <w:rPr>
                <w:rFonts w:cs="Times New Roman"/>
                <w:sz w:val="16"/>
              </w:rPr>
              <w:t>N/R</w:t>
            </w:r>
          </w:p>
        </w:tc>
      </w:tr>
      <w:tr w:rsidR="004C511C" w14:paraId="5896CEC4" w14:textId="77777777">
        <w:tc>
          <w:tcPr>
            <w:tcW w:w="720" w:type="dxa"/>
            <w:tcBorders>
              <w:top w:val="none" w:sz="0" w:space="0" w:color="000000"/>
              <w:left w:val="none" w:sz="0" w:space="0" w:color="000000"/>
              <w:bottom w:val="none" w:sz="0" w:space="0" w:color="000000"/>
              <w:right w:val="none" w:sz="0" w:space="0" w:color="000000"/>
            </w:tcBorders>
          </w:tcPr>
          <w:p w14:paraId="0E7DB4F2" w14:textId="77777777" w:rsidR="004C511C" w:rsidRDefault="00751A67">
            <w:pPr>
              <w:spacing w:before="20" w:after="20"/>
              <w:jc w:val="center"/>
            </w:pPr>
            <w:r>
              <w:rPr>
                <w:rFonts w:cs="Times New Roman"/>
                <w:sz w:val="16"/>
              </w:rPr>
              <w:t>This study(GRU, best RMSE)</w:t>
            </w:r>
          </w:p>
        </w:tc>
        <w:tc>
          <w:tcPr>
            <w:tcW w:w="720" w:type="dxa"/>
            <w:tcBorders>
              <w:top w:val="none" w:sz="0" w:space="0" w:color="000000"/>
              <w:left w:val="none" w:sz="0" w:space="0" w:color="000000"/>
              <w:bottom w:val="none" w:sz="0" w:space="0" w:color="000000"/>
              <w:right w:val="none" w:sz="0" w:space="0" w:color="000000"/>
            </w:tcBorders>
          </w:tcPr>
          <w:p w14:paraId="079365A9" w14:textId="77777777" w:rsidR="004C511C" w:rsidRDefault="00751A67">
            <w:pPr>
              <w:spacing w:before="20" w:after="20"/>
              <w:jc w:val="center"/>
            </w:pPr>
            <w:r>
              <w:rPr>
                <w:rFonts w:cs="Times New Roman"/>
                <w:sz w:val="16"/>
              </w:rPr>
              <w:t>GRU</w:t>
            </w:r>
          </w:p>
        </w:tc>
        <w:tc>
          <w:tcPr>
            <w:tcW w:w="720" w:type="dxa"/>
            <w:tcBorders>
              <w:top w:val="none" w:sz="0" w:space="0" w:color="000000"/>
              <w:left w:val="none" w:sz="0" w:space="0" w:color="000000"/>
              <w:bottom w:val="none" w:sz="0" w:space="0" w:color="000000"/>
              <w:right w:val="none" w:sz="0" w:space="0" w:color="000000"/>
            </w:tcBorders>
          </w:tcPr>
          <w:p w14:paraId="3CAFAB48" w14:textId="77777777" w:rsidR="004C511C" w:rsidRDefault="00751A67">
            <w:pPr>
              <w:spacing w:before="20" w:after="20"/>
              <w:jc w:val="center"/>
            </w:pPr>
            <w:r>
              <w:rPr>
                <w:rFonts w:cs="Times New Roman"/>
                <w:sz w:val="16"/>
              </w:rPr>
              <w:t>BTC/USDT / 1-hour</w:t>
            </w:r>
          </w:p>
        </w:tc>
        <w:tc>
          <w:tcPr>
            <w:tcW w:w="720" w:type="dxa"/>
            <w:tcBorders>
              <w:top w:val="none" w:sz="0" w:space="0" w:color="000000"/>
              <w:left w:val="none" w:sz="0" w:space="0" w:color="000000"/>
              <w:bottom w:val="none" w:sz="0" w:space="0" w:color="000000"/>
              <w:right w:val="none" w:sz="0" w:space="0" w:color="000000"/>
            </w:tcBorders>
          </w:tcPr>
          <w:p w14:paraId="3A4ACD69" w14:textId="77777777" w:rsidR="004C511C" w:rsidRDefault="00751A67">
            <w:pPr>
              <w:spacing w:before="20" w:after="20"/>
              <w:jc w:val="center"/>
            </w:pPr>
            <w:r>
              <w:rPr>
                <w:rFonts w:cs="Times New Roman"/>
                <w:sz w:val="16"/>
              </w:rPr>
              <w:t>0.1058 ± 0.0034</w:t>
            </w:r>
          </w:p>
        </w:tc>
        <w:tc>
          <w:tcPr>
            <w:tcW w:w="720" w:type="dxa"/>
            <w:tcBorders>
              <w:top w:val="none" w:sz="0" w:space="0" w:color="000000"/>
              <w:left w:val="none" w:sz="0" w:space="0" w:color="000000"/>
              <w:bottom w:val="none" w:sz="0" w:space="0" w:color="000000"/>
              <w:right w:val="none" w:sz="0" w:space="0" w:color="000000"/>
            </w:tcBorders>
          </w:tcPr>
          <w:p w14:paraId="62B71055" w14:textId="77777777" w:rsidR="004C511C" w:rsidRDefault="00751A67">
            <w:pPr>
              <w:spacing w:before="20" w:after="20"/>
              <w:jc w:val="center"/>
            </w:pPr>
            <w:r>
              <w:rPr>
                <w:rFonts w:cs="Times New Roman"/>
                <w:sz w:val="16"/>
              </w:rPr>
              <w:t>69.8%</w:t>
            </w:r>
          </w:p>
        </w:tc>
        <w:tc>
          <w:tcPr>
            <w:tcW w:w="720" w:type="dxa"/>
            <w:tcBorders>
              <w:top w:val="none" w:sz="0" w:space="0" w:color="000000"/>
              <w:left w:val="none" w:sz="0" w:space="0" w:color="000000"/>
              <w:bottom w:val="none" w:sz="0" w:space="0" w:color="000000"/>
              <w:right w:val="none" w:sz="0" w:space="0" w:color="000000"/>
            </w:tcBorders>
          </w:tcPr>
          <w:p w14:paraId="23FA68E5" w14:textId="77777777" w:rsidR="004C511C" w:rsidRDefault="00751A67">
            <w:pPr>
              <w:spacing w:before="20" w:after="20"/>
              <w:jc w:val="center"/>
            </w:pPr>
            <w:r>
              <w:rPr>
                <w:rFonts w:cs="Times New Roman"/>
                <w:sz w:val="16"/>
              </w:rPr>
              <w:t>1.32 ± 0.12</w:t>
            </w:r>
          </w:p>
        </w:tc>
      </w:tr>
      <w:tr w:rsidR="004C511C" w14:paraId="03F5102D" w14:textId="77777777">
        <w:tc>
          <w:tcPr>
            <w:tcW w:w="720" w:type="dxa"/>
            <w:tcBorders>
              <w:top w:val="none" w:sz="0" w:space="0" w:color="000000"/>
              <w:left w:val="none" w:sz="0" w:space="0" w:color="000000"/>
              <w:bottom w:val="single" w:sz="6" w:space="0" w:color="000000"/>
              <w:right w:val="none" w:sz="0" w:space="0" w:color="000000"/>
            </w:tcBorders>
          </w:tcPr>
          <w:p w14:paraId="2C870A2C" w14:textId="77777777" w:rsidR="004C511C" w:rsidRDefault="00751A67">
            <w:pPr>
              <w:spacing w:before="20" w:after="20"/>
              <w:jc w:val="center"/>
            </w:pPr>
            <w:r>
              <w:rPr>
                <w:rFonts w:cs="Times New Roman"/>
                <w:sz w:val="16"/>
              </w:rPr>
              <w:t>This study(LSTM, best DA)</w:t>
            </w:r>
          </w:p>
        </w:tc>
        <w:tc>
          <w:tcPr>
            <w:tcW w:w="720" w:type="dxa"/>
            <w:tcBorders>
              <w:top w:val="none" w:sz="0" w:space="0" w:color="000000"/>
              <w:left w:val="none" w:sz="0" w:space="0" w:color="000000"/>
              <w:bottom w:val="single" w:sz="6" w:space="0" w:color="000000"/>
              <w:right w:val="none" w:sz="0" w:space="0" w:color="000000"/>
            </w:tcBorders>
          </w:tcPr>
          <w:p w14:paraId="539E1313" w14:textId="77777777" w:rsidR="004C511C" w:rsidRDefault="00751A67">
            <w:pPr>
              <w:spacing w:before="20" w:after="20"/>
              <w:jc w:val="center"/>
            </w:pPr>
            <w:r>
              <w:rPr>
                <w:rFonts w:cs="Times New Roman"/>
                <w:sz w:val="16"/>
              </w:rPr>
              <w:t>LSTM</w:t>
            </w:r>
          </w:p>
        </w:tc>
        <w:tc>
          <w:tcPr>
            <w:tcW w:w="720" w:type="dxa"/>
            <w:tcBorders>
              <w:top w:val="none" w:sz="0" w:space="0" w:color="000000"/>
              <w:left w:val="none" w:sz="0" w:space="0" w:color="000000"/>
              <w:bottom w:val="single" w:sz="6" w:space="0" w:color="000000"/>
              <w:right w:val="none" w:sz="0" w:space="0" w:color="000000"/>
            </w:tcBorders>
          </w:tcPr>
          <w:p w14:paraId="724E989D" w14:textId="77777777" w:rsidR="004C511C" w:rsidRDefault="00751A67">
            <w:pPr>
              <w:spacing w:before="20" w:after="20"/>
              <w:jc w:val="center"/>
            </w:pPr>
            <w:r>
              <w:rPr>
                <w:rFonts w:cs="Times New Roman"/>
                <w:sz w:val="16"/>
              </w:rPr>
              <w:t>BTC/USDT / 1-hour</w:t>
            </w:r>
          </w:p>
        </w:tc>
        <w:tc>
          <w:tcPr>
            <w:tcW w:w="720" w:type="dxa"/>
            <w:tcBorders>
              <w:top w:val="none" w:sz="0" w:space="0" w:color="000000"/>
              <w:left w:val="none" w:sz="0" w:space="0" w:color="000000"/>
              <w:bottom w:val="single" w:sz="6" w:space="0" w:color="000000"/>
              <w:right w:val="none" w:sz="0" w:space="0" w:color="000000"/>
            </w:tcBorders>
          </w:tcPr>
          <w:p w14:paraId="4C41C1A2" w14:textId="77777777" w:rsidR="004C511C" w:rsidRDefault="00751A67">
            <w:pPr>
              <w:spacing w:before="20" w:after="20"/>
              <w:jc w:val="center"/>
            </w:pPr>
            <w:r>
              <w:rPr>
                <w:rFonts w:cs="Times New Roman"/>
                <w:sz w:val="16"/>
              </w:rPr>
              <w:t>0.1184 ± 0.0041</w:t>
            </w:r>
          </w:p>
        </w:tc>
        <w:tc>
          <w:tcPr>
            <w:tcW w:w="720" w:type="dxa"/>
            <w:tcBorders>
              <w:top w:val="none" w:sz="0" w:space="0" w:color="000000"/>
              <w:left w:val="none" w:sz="0" w:space="0" w:color="000000"/>
              <w:bottom w:val="single" w:sz="6" w:space="0" w:color="000000"/>
              <w:right w:val="none" w:sz="0" w:space="0" w:color="000000"/>
            </w:tcBorders>
          </w:tcPr>
          <w:p w14:paraId="11AE54C6" w14:textId="77777777" w:rsidR="004C511C" w:rsidRDefault="00751A67">
            <w:pPr>
              <w:spacing w:before="20" w:after="20"/>
              <w:jc w:val="center"/>
            </w:pPr>
            <w:r>
              <w:rPr>
                <w:rFonts w:cs="Times New Roman"/>
                <w:sz w:val="16"/>
              </w:rPr>
              <w:t>72.3%</w:t>
            </w:r>
          </w:p>
        </w:tc>
        <w:tc>
          <w:tcPr>
            <w:tcW w:w="720" w:type="dxa"/>
            <w:tcBorders>
              <w:top w:val="none" w:sz="0" w:space="0" w:color="000000"/>
              <w:left w:val="none" w:sz="0" w:space="0" w:color="000000"/>
              <w:bottom w:val="single" w:sz="6" w:space="0" w:color="000000"/>
              <w:right w:val="none" w:sz="0" w:space="0" w:color="000000"/>
            </w:tcBorders>
          </w:tcPr>
          <w:p w14:paraId="67F6D923" w14:textId="77777777" w:rsidR="004C511C" w:rsidRDefault="00751A67">
            <w:pPr>
              <w:spacing w:before="20" w:after="20"/>
              <w:jc w:val="center"/>
            </w:pPr>
            <w:r>
              <w:rPr>
                <w:rFonts w:cs="Times New Roman"/>
                <w:sz w:val="16"/>
              </w:rPr>
              <w:t>1.45 ± 0.10</w:t>
            </w:r>
          </w:p>
        </w:tc>
      </w:tr>
    </w:tbl>
    <w:p w14:paraId="6B7A3682" w14:textId="77777777" w:rsidR="004C511C" w:rsidRDefault="00751A67">
      <w:pPr>
        <w:spacing w:after="60"/>
        <w:ind w:firstLine="216"/>
        <w:jc w:val="both"/>
      </w:pPr>
      <w:r>
        <w:t>Contextualizing these results, Livieris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favourably with algorithmic trading benchmarks.</w:t>
      </w:r>
    </w:p>
    <w:p w14:paraId="4A8A00DA" w14:textId="77777777" w:rsidR="004C511C" w:rsidRDefault="00751A67">
      <w:pPr>
        <w:spacing w:before="80" w:after="40"/>
      </w:pPr>
      <w:r>
        <w:rPr>
          <w:b/>
        </w:rPr>
        <w:t>7.3. Operational Power BI Prototype and Practical Implications</w:t>
      </w:r>
    </w:p>
    <w:p w14:paraId="2B4F8D21" w14:textId="77777777" w:rsidR="004C511C" w:rsidRDefault="00751A67">
      <w:pPr>
        <w:spacing w:after="60"/>
        <w:ind w:firstLine="216"/>
        <w:jc w:val="both"/>
      </w:pPr>
      <w:r>
        <w:t>Operationally, the LSTM achieved superior directional market orientation accuracy (72.3%), a highly actionable metric for trading decision support. Using our explicitly formulated Power BI DirectQuery integration, the dashboard effectively translates LSTM prediction tensors into actionable risk-threshold indicators, demonstrating that quantitative forecasting can successfully be extended into operator-facing BI layers.</w:t>
      </w:r>
    </w:p>
    <w:p w14:paraId="25E5EDFA" w14:textId="77777777" w:rsidR="004C511C" w:rsidRDefault="00751A67">
      <w:pPr>
        <w:spacing w:after="60"/>
        <w:ind w:firstLine="216"/>
        <w:jc w:val="both"/>
      </w:pPr>
      <w:r>
        <w:rPr>
          <w:rFonts w:cs="Times New Roman"/>
        </w:rPr>
        <w:t>From a practical decision-support standpoint, the GRU's tighter RMSE bounds</w:t>
      </w:r>
      <w:r>
        <w:rPr>
          <w:rFonts w:cs="Times New Roman"/>
        </w:rPr>
        <w:br/>
        <w:t xml:space="preserve">            provide the most reliable quantitative stop-loss thresholds, while the LSTM's</w:t>
      </w:r>
      <w:r>
        <w:rPr>
          <w:rFonts w:cs="Times New Roman"/>
        </w:rPr>
        <w:br/>
        <w:t xml:space="preserve">            directional superiority informs signal-classification modules. This complementary</w:t>
      </w:r>
      <w:r>
        <w:rPr>
          <w:rFonts w:cs="Times New Roman"/>
        </w:rPr>
        <w:br/>
        <w:t xml:space="preserve">            duality suggests that production deployments could benefit from an ensemble that</w:t>
      </w:r>
      <w:r>
        <w:rPr>
          <w:rFonts w:cs="Times New Roman"/>
        </w:rPr>
        <w:br/>
        <w:t xml:space="preserve">            routes GRU outputs to numerical risk parameters and LSTM outputs to binary</w:t>
      </w:r>
      <w:r>
        <w:rPr>
          <w:rFonts w:cs="Times New Roman"/>
        </w:rPr>
        <w:br/>
        <w:t xml:space="preserve">            trend-direction signals—a design pattern consistent with modular DSS architectures</w:t>
      </w:r>
      <w:r>
        <w:rPr>
          <w:rFonts w:cs="Times New Roman"/>
        </w:rPr>
        <w:br/>
        <w:t xml:space="preserve">            advocated by Arnott and Pervan [28].</w:t>
      </w:r>
    </w:p>
    <w:p w14:paraId="00E75223" w14:textId="77777777" w:rsidR="004C511C" w:rsidRDefault="00751A67">
      <w:pPr>
        <w:spacing w:after="60"/>
        <w:ind w:firstLine="216"/>
        <w:jc w:val="both"/>
      </w:pPr>
      <w:r>
        <w:rPr>
          <w:rFonts w:cs="Times New Roman"/>
        </w:rPr>
        <w:t>A critical limitation that must be explicitly acknowledged is the susceptibility</w:t>
      </w:r>
      <w:r>
        <w:rPr>
          <w:rFonts w:cs="Times New Roman"/>
        </w:rPr>
        <w:br/>
        <w:t xml:space="preserve">            of all tested models to exogenous volatility events exceeding ±3σ deviation from the</w:t>
      </w:r>
      <w:r>
        <w:rPr>
          <w:rFonts w:cs="Times New Roman"/>
        </w:rPr>
        <w:br/>
        <w:t xml:space="preserve">            rolling mean. During such extreme episodes—which, in the BTC market, frequently</w:t>
      </w:r>
      <w:r>
        <w:rPr>
          <w:rFonts w:cs="Times New Roman"/>
        </w:rPr>
        <w:br/>
        <w:t xml:space="preserve">            coincide with macroeconomic policy announcements or exchange liquidity crises—all</w:t>
      </w:r>
      <w:r>
        <w:rPr>
          <w:rFonts w:cs="Times New Roman"/>
        </w:rPr>
        <w:br/>
        <w:t xml:space="preserve">            endogenous inference architectures failed to suppress residual error to acceptable</w:t>
      </w:r>
      <w:r>
        <w:rPr>
          <w:rFonts w:cs="Times New Roman"/>
        </w:rPr>
        <w:br/>
        <w:t xml:space="preserve">            thresholds. This observation reflects a fundamental constraint of purely</w:t>
      </w:r>
      <w:r>
        <w:rPr>
          <w:rFonts w:cs="Times New Roman"/>
        </w:rPr>
        <w:br/>
        <w:t xml:space="preserve">            price-derived models: they lack access to the latent sentiment and structural breaks</w:t>
      </w:r>
      <w:r>
        <w:rPr>
          <w:rFonts w:cs="Times New Roman"/>
        </w:rPr>
        <w:br/>
        <w:t xml:space="preserve">            that drive these tail events. Addressing this constraint via NLP-based sentiment</w:t>
      </w:r>
      <w:r>
        <w:rPr>
          <w:rFonts w:cs="Times New Roman"/>
        </w:rPr>
        <w:br/>
        <w:t xml:space="preserve">            fusion, as suggested in the Conclusion, represents the most pressing direction for</w:t>
      </w:r>
      <w:r>
        <w:rPr>
          <w:rFonts w:cs="Times New Roman"/>
        </w:rPr>
        <w:br/>
        <w:t xml:space="preserve">            future work.</w:t>
      </w:r>
    </w:p>
    <w:p w14:paraId="4546B2AD" w14:textId="77777777" w:rsidR="004C511C" w:rsidRDefault="00751A67">
      <w:pPr>
        <w:spacing w:before="60" w:after="30"/>
        <w:jc w:val="center"/>
      </w:pPr>
      <w:r>
        <w:rPr>
          <w:noProof/>
        </w:rPr>
        <w:drawing>
          <wp:inline distT="0" distB="0" distL="0" distR="0" wp14:anchorId="05E7A97A" wp14:editId="235D56C2">
            <wp:extent cx="2560320" cy="1102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60320" cy="1102244"/>
                    </a:xfrm>
                    <a:prstGeom prst="rect">
                      <a:avLst/>
                    </a:prstGeom>
                  </pic:spPr>
                </pic:pic>
              </a:graphicData>
            </a:graphic>
          </wp:inline>
        </w:drawing>
      </w:r>
    </w:p>
    <w:p w14:paraId="444165E6" w14:textId="77777777" w:rsidR="004C511C" w:rsidRDefault="00751A67">
      <w:pPr>
        <w:spacing w:after="60"/>
        <w:jc w:val="center"/>
      </w:pPr>
      <w:r>
        <w:rPr>
          <w:rFonts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1BEEFFB3" w14:textId="77777777" w:rsidR="004C511C" w:rsidRDefault="00751A67">
      <w:pPr>
        <w:spacing w:before="120" w:after="60"/>
      </w:pPr>
      <w:r>
        <w:rPr>
          <w:b/>
        </w:rPr>
        <w:t>8. CONCLUSION</w:t>
      </w:r>
    </w:p>
    <w:p w14:paraId="3AD43305" w14:textId="77777777" w:rsidR="004C511C" w:rsidRDefault="00751A67">
      <w:pPr>
        <w:spacing w:after="60"/>
        <w:ind w:firstLine="216"/>
        <w:jc w:val="both"/>
      </w:pPr>
      <w:r>
        <w:rPr>
          <w:rFonts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14:paraId="79B61B1C" w14:textId="3357FF6A" w:rsidR="004C511C" w:rsidRDefault="00751A67">
      <w:pPr>
        <w:spacing w:after="60"/>
        <w:ind w:firstLine="216"/>
        <w:jc w:val="both"/>
      </w:pPr>
      <w:r>
        <w:rPr>
          <w:rFonts w:cs="Times New Roman"/>
        </w:rPr>
        <w:t>Regarding model performance, a global Kruskal-Wallis validation (</w:t>
      </w:r>
      <m:oMath xmlns:mml="http://www.w3.org/1998/Math/MathML">
        <m:r>
          <m:t>p&lt;0.001</m:t>
        </m:r>
      </m:oMath>
      <w:r>
        <w:rPr>
          <w:rFonts w:cs="Times New Roman"/>
        </w:rPr>
        <w:t>) and subsequent pairwise Diebold-Mariano tests (</w:t>
      </w:r>
      <m:oMath xmlns:mml="http://www.w3.org/1998/Math/MathML">
        <m:r>
          <m:t>p=0.014</m:t>
        </m:r>
      </m:oMath>
      <w:r>
        <w:rPr>
          <w:rFonts w:cs="Times New Roman"/>
        </w:rPr>
        <w:t xml:space="preserve">)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w:t>
      </w:r>
      <m:oMath xmlns:mml="http://www.w3.org/1998/Math/MathML">
        <m:r>
          <m:t>3σ</m:t>
        </m:r>
      </m:oMath>
      <w:r>
        <w:rPr>
          <w:rFonts w:cs="Times New Roman"/>
        </w:rPr>
        <w:t xml:space="preserve"> completely overwhelmed endogenous inference capabilities, underlining a prominent constraint regarding models devoid of external sentiment or macroeconomic context.</w:t>
      </w:r>
    </w:p>
    <w:p w14:paraId="5A3AE846" w14:textId="77777777" w:rsidR="004C511C" w:rsidRDefault="00751A67">
      <w:pPr>
        <w:spacing w:after="60"/>
        <w:ind w:firstLine="216"/>
        <w:jc w:val="both"/>
      </w:pPr>
      <w:r>
        <w:rPr>
          <w:rFonts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14:paraId="20ED9CE0" w14:textId="77777777" w:rsidR="004C511C" w:rsidRDefault="00751A67">
      <w:pPr>
        <w:spacing w:before="120" w:after="60"/>
      </w:pPr>
      <w:r>
        <w:rPr>
          <w:b/>
        </w:rPr>
        <w:t>9. ACKNOWLEDGMENT</w:t>
      </w:r>
    </w:p>
    <w:p w14:paraId="56A7EFE0" w14:textId="77777777" w:rsidR="004C511C" w:rsidRDefault="00751A67">
      <w:pPr>
        <w:spacing w:after="60"/>
        <w:ind w:firstLine="216"/>
        <w:jc w:val="both"/>
      </w:pPr>
      <w:r>
        <w:rPr>
          <w:rFonts w:cs="Times New Roman"/>
        </w:rPr>
        <w:t>The authors declare no related funding or competing ideological conflicts of interest regarding the publication of this manuscript.</w:t>
      </w:r>
    </w:p>
    <w:p w14:paraId="03AA4E8D" w14:textId="77777777" w:rsidR="004C511C" w:rsidRDefault="00751A67">
      <w:pPr>
        <w:spacing w:before="120" w:after="60"/>
      </w:pPr>
      <w:r>
        <w:rPr>
          <w:b/>
        </w:rPr>
        <w:t>10. REFERENCES</w:t>
      </w:r>
    </w:p>
    <w:p w14:paraId="37943976" w14:textId="77777777" w:rsidR="004C511C" w:rsidRDefault="00751A67">
      <w:pPr>
        <w:spacing w:after="30"/>
        <w:ind w:left="360" w:hanging="360"/>
        <w:jc w:val="both"/>
      </w:pPr>
      <w:r>
        <w:rPr>
          <w:rFonts w:cs="Times New Roman"/>
        </w:rPr>
        <w:t>[1] A. Urquhart, "The inefficiency of Bitcoin," Econ. Lett. , vol. 148, pp. 80-82, 2016.</w:t>
      </w:r>
    </w:p>
    <w:p w14:paraId="4C6D2D39" w14:textId="77777777" w:rsidR="004C511C" w:rsidRDefault="00751A67">
      <w:pPr>
        <w:spacing w:after="30"/>
        <w:ind w:left="360" w:hanging="360"/>
        <w:jc w:val="both"/>
      </w:pPr>
      <w:r>
        <w:rPr>
          <w:rFonts w:cs="Times New Roman"/>
        </w:rPr>
        <w:t>[2] P. K. Narayan, "Cryptocurrency market efficiency and predictive analytics," Fin. Res. Lett. , vol. 46, 102431, 2022.</w:t>
      </w:r>
    </w:p>
    <w:p w14:paraId="136CB6E1" w14:textId="77777777" w:rsidR="004C511C" w:rsidRDefault="00751A67">
      <w:pPr>
        <w:spacing w:after="30"/>
        <w:ind w:left="360" w:hanging="360"/>
        <w:jc w:val="both"/>
      </w:pPr>
      <w:r>
        <w:rPr>
          <w:rFonts w:cs="Times New Roman"/>
        </w:rPr>
        <w:t>[3] S. Makridakis, E. Spiliotis, and V. Assimakopoulos, "Statistical and Machine Learning forecasting methods: Concerns and ways forward," PLoS ONE , vol. 13, no. 3, p. e0194889, 2018.</w:t>
      </w:r>
    </w:p>
    <w:p w14:paraId="4CB0A10A" w14:textId="77777777" w:rsidR="004C511C" w:rsidRDefault="00751A67">
      <w:pPr>
        <w:spacing w:after="30"/>
        <w:ind w:left="360" w:hanging="360"/>
        <w:jc w:val="both"/>
      </w:pPr>
      <w:r>
        <w:rPr>
          <w:rFonts w:cs="Times New Roman"/>
        </w:rPr>
        <w:t>[4] A. F. de O. Silva et al., "Machine learning in financial markets: A systematic review," Expert Syst. Appl. , vol. 202, 117283, 2022.</w:t>
      </w:r>
    </w:p>
    <w:p w14:paraId="2F1EEB87" w14:textId="77777777" w:rsidR="004C511C" w:rsidRDefault="00751A67">
      <w:pPr>
        <w:spacing w:after="30"/>
        <w:ind w:left="360" w:hanging="360"/>
        <w:jc w:val="both"/>
      </w:pPr>
      <w:r>
        <w:rPr>
          <w:rFonts w:cs="Times New Roman"/>
        </w:rPr>
        <w:t>[5] W. Bao, J. Yue, and Y. Rao, "A deep learning framework for financial time series using stacked autoencoders and long-short term memory," PLoS ONE , vol. 12, no. 7, p. e0180944, 2017.</w:t>
      </w:r>
    </w:p>
    <w:p w14:paraId="503E6D4A" w14:textId="77777777" w:rsidR="004C511C" w:rsidRDefault="00751A67">
      <w:pPr>
        <w:spacing w:after="30"/>
        <w:ind w:left="360" w:hanging="360"/>
        <w:jc w:val="both"/>
      </w:pPr>
      <w:r>
        <w:rPr>
          <w:rFonts w:cs="Times New Roman"/>
        </w:rPr>
        <w:t>[6] H. Chaudhuri and I. Ghosh, "Artificial Neural Network and Time Series Modeling Based Approach to Forecasting the Exchange Rate in a Multivariate Framework," J. Quant. Econ. , vol. 14, pp. 201-226, 2016.</w:t>
      </w:r>
    </w:p>
    <w:p w14:paraId="05F38228" w14:textId="77777777" w:rsidR="004C511C" w:rsidRDefault="00751A67">
      <w:pPr>
        <w:spacing w:after="30"/>
        <w:ind w:left="360" w:hanging="360"/>
        <w:jc w:val="both"/>
      </w:pPr>
      <w:r>
        <w:rPr>
          <w:rFonts w:cs="Times New Roman"/>
        </w:rPr>
        <w:t>[7] P. C. Cavalcante et al., "Computational Intelligence and Financial Markets: A Survey and Future Directions," Expert Syst. Appl. , vol. 55, pp. 194-211, 2016.</w:t>
      </w:r>
    </w:p>
    <w:p w14:paraId="69D4FCF0" w14:textId="77777777" w:rsidR="004C511C" w:rsidRDefault="00751A67">
      <w:pPr>
        <w:spacing w:after="30"/>
        <w:ind w:left="360" w:hanging="360"/>
        <w:jc w:val="both"/>
      </w:pPr>
      <w:r>
        <w:rPr>
          <w:rFonts w:cs="Times New Roman"/>
        </w:rPr>
        <w:t>[8] S. F. Ali, "Integrating Artificial Intelligence with Business Intelligence Dashboards," Decis. Support Syst. , vol. 165, 113887, 2023.</w:t>
      </w:r>
    </w:p>
    <w:p w14:paraId="2AF87D2C" w14:textId="77777777" w:rsidR="004C511C" w:rsidRDefault="00751A67">
      <w:pPr>
        <w:spacing w:after="30"/>
        <w:ind w:left="360" w:hanging="360"/>
        <w:jc w:val="both"/>
      </w:pPr>
      <w:r>
        <w:rPr>
          <w:rFonts w:cs="Times New Roman"/>
        </w:rPr>
        <w:t>[9] D. J. Power, "Decision support systems: A historical overview," Commun. Assoc. Inf. Syst. , vol. 13, no. 1, p. 15, 2004.</w:t>
      </w:r>
    </w:p>
    <w:p w14:paraId="19E6CFBD" w14:textId="77777777" w:rsidR="004C511C" w:rsidRDefault="00751A67">
      <w:pPr>
        <w:spacing w:after="30"/>
        <w:ind w:left="360" w:hanging="360"/>
        <w:jc w:val="both"/>
      </w:pPr>
      <w:r>
        <w:rPr>
          <w:rFonts w:cs="Times New Roman"/>
        </w:rPr>
        <w:t>[10] A. Rossi et al. , "Machine Learning for Financial Decision Support: A contemporary perspective," Expert Systems with Applications , vol. 238, 122245, 2024.</w:t>
      </w:r>
    </w:p>
    <w:p w14:paraId="46BC3577" w14:textId="77777777" w:rsidR="004C511C" w:rsidRDefault="00751A67">
      <w:pPr>
        <w:spacing w:after="30"/>
        <w:ind w:left="360" w:hanging="360"/>
        <w:jc w:val="both"/>
      </w:pPr>
      <w:r>
        <w:rPr>
          <w:rFonts w:cs="Times New Roman"/>
        </w:rPr>
        <w:t>[11] A. Krauss, X. Q. Do, and N. Huck, "Deep neural networks, gradient-boosted trees, random forests: Statistical arbitrage on the S&amp;P 500," Eur. J. Oper. Res. , vol. 259, no. 2, pp. 689-702, 2017.</w:t>
      </w:r>
    </w:p>
    <w:p w14:paraId="3D5BEBB9" w14:textId="77777777" w:rsidR="004C511C" w:rsidRDefault="00751A67">
      <w:pPr>
        <w:spacing w:after="30"/>
        <w:ind w:left="360" w:hanging="360"/>
        <w:jc w:val="both"/>
      </w:pPr>
      <w:r>
        <w:rPr>
          <w:rFonts w:cs="Times New Roman"/>
        </w:rPr>
        <w:t>[12] T. Chen and C. Guestrin, "XGBoost: A Scalable Tree Boosting System," in Proc. 22nd ACM SIGKDD Int. Conf. Knowl. Discovery Data Min. (KDD) , 2016, pp. 785-794.</w:t>
      </w:r>
    </w:p>
    <w:p w14:paraId="0A6EFBB7" w14:textId="77777777" w:rsidR="004C511C" w:rsidRDefault="00751A67">
      <w:pPr>
        <w:spacing w:after="30"/>
        <w:ind w:left="360" w:hanging="360"/>
        <w:jc w:val="both"/>
      </w:pPr>
      <w:r>
        <w:rPr>
          <w:rFonts w:cs="Times New Roman"/>
        </w:rPr>
        <w:t>[13] J. Zheng, X. Xu, P. Zheng, and Z. Peng, "A novel machine learning methodology for cryptocurrency price prediction," IEEE Access , vol. 7, pp. 109287-109295, 2019.</w:t>
      </w:r>
    </w:p>
    <w:p w14:paraId="5EBB5759" w14:textId="77777777" w:rsidR="004C511C" w:rsidRDefault="00751A67">
      <w:pPr>
        <w:spacing w:after="30"/>
        <w:ind w:left="360" w:hanging="360"/>
        <w:jc w:val="both"/>
      </w:pPr>
      <w:r>
        <w:rPr>
          <w:rFonts w:cs="Times New Roman"/>
        </w:rPr>
        <w:t>[14] S. Hochreiter and J. Schmidhuber, "Long short-term memory," Neural Comput. , vol. 9, no. 8, pp. 1735-1780, 1997.</w:t>
      </w:r>
    </w:p>
    <w:p w14:paraId="5412D031" w14:textId="77777777" w:rsidR="004C511C" w:rsidRDefault="00751A67">
      <w:pPr>
        <w:spacing w:after="30"/>
        <w:ind w:left="360" w:hanging="360"/>
        <w:jc w:val="both"/>
      </w:pPr>
      <w:r>
        <w:rPr>
          <w:rFonts w:cs="Times New Roman"/>
        </w:rPr>
        <w:t>[15] K. Cho et al., "Learning Phrase Representations using RNN Encoder-Decoder for Statistical Machine Translation," in Empirical Methods in Natural Language Processing (EMNLP) , 2014, pp. 1724-1734.</w:t>
      </w:r>
    </w:p>
    <w:p w14:paraId="70C9BFFD" w14:textId="77777777" w:rsidR="004C511C" w:rsidRDefault="00751A67">
      <w:pPr>
        <w:spacing w:after="30"/>
        <w:ind w:left="360" w:hanging="360"/>
        <w:jc w:val="both"/>
      </w:pPr>
      <w:r>
        <w:rPr>
          <w:rFonts w:cs="Times New Roman"/>
        </w:rPr>
        <w:t>[16] L. Chen, Z. Qiao, M. Wang, and C. Wang, "Predictive modeling of Bitcoin using deep learning," Expert Syst. Appl. , vol. 156, 113425, 2020.</w:t>
      </w:r>
    </w:p>
    <w:p w14:paraId="06D74519" w14:textId="77777777" w:rsidR="004C511C" w:rsidRDefault="00751A67">
      <w:pPr>
        <w:spacing w:after="30"/>
        <w:ind w:left="360" w:hanging="360"/>
        <w:jc w:val="both"/>
      </w:pPr>
      <w:r>
        <w:rPr>
          <w:rFonts w:cs="Times New Roman"/>
        </w:rPr>
        <w:t>[17] F. A. Gers, J. Schmidhuber, and F. Cummins, "Learning to Forget: Continual Prediction with LSTM," Neural Comput. , vol. 12, no. 10, pp. 2451-2471, 2000.</w:t>
      </w:r>
    </w:p>
    <w:p w14:paraId="0B82910C" w14:textId="77777777" w:rsidR="004C511C" w:rsidRDefault="00751A67">
      <w:pPr>
        <w:spacing w:after="30"/>
        <w:ind w:left="360" w:hanging="360"/>
        <w:jc w:val="both"/>
      </w:pPr>
      <w:r>
        <w:rPr>
          <w:rFonts w:cs="Times New Roman"/>
        </w:rPr>
        <w:t>[18] K. Greff et al., "LSTM: A Space Odyssey," IEEE Trans. Neural Netw. Learn. Syst. , vol. 28, pp. 2222-2232, 2017.</w:t>
      </w:r>
    </w:p>
    <w:p w14:paraId="2B033F58" w14:textId="77777777" w:rsidR="004C511C" w:rsidRDefault="00751A67">
      <w:pPr>
        <w:spacing w:after="30"/>
        <w:ind w:left="360" w:hanging="360"/>
        <w:jc w:val="both"/>
      </w:pPr>
      <w:r>
        <w:rPr>
          <w:rFonts w:cs="Times New Roman"/>
        </w:rPr>
        <w:t>[19] A. Vaswani et al., "Attention is all you need," in Advances in Neural Information Processing Systems (NeurIPS) , 2017, pp. 5998-6008.</w:t>
      </w:r>
    </w:p>
    <w:p w14:paraId="36A1DF79" w14:textId="77777777" w:rsidR="004C511C" w:rsidRDefault="00751A67">
      <w:pPr>
        <w:spacing w:after="30"/>
        <w:ind w:left="360" w:hanging="360"/>
        <w:jc w:val="both"/>
      </w:pPr>
      <w:r>
        <w:rPr>
          <w:rFonts w:cs="Times New Roman"/>
        </w:rPr>
        <w:t>[20] N. Wu, B. Green, X. Ben, and S. O'Banion, "Deep Transformer Models for Time Series Forecasting: The Influenza Prevalence Case," arXiv preprint arXiv:2001.08317 , 2020.</w:t>
      </w:r>
    </w:p>
    <w:p w14:paraId="7B06E9E3" w14:textId="77777777" w:rsidR="004C511C" w:rsidRDefault="00751A67">
      <w:pPr>
        <w:spacing w:after="30"/>
        <w:ind w:left="360" w:hanging="360"/>
        <w:jc w:val="both"/>
      </w:pPr>
      <w:r>
        <w:rPr>
          <w:rFonts w:cs="Times New Roman"/>
        </w:rPr>
        <w:t>[21] H. Zhou et al., "Informer: Beyond Efficient Transformer for Long Sequence Time-Series Forecasting," in Proc. AAAI Conf. Artif. Intell. , 2021, pp. 11106-11115.</w:t>
      </w:r>
    </w:p>
    <w:p w14:paraId="5347ADDD" w14:textId="77777777" w:rsidR="004C511C" w:rsidRDefault="00751A67">
      <w:pPr>
        <w:spacing w:after="30"/>
        <w:ind w:left="360" w:hanging="360"/>
        <w:jc w:val="both"/>
      </w:pPr>
      <w:r>
        <w:rPr>
          <w:rFonts w:cs="Times New Roman"/>
        </w:rPr>
        <w:t>[22] Y. Nie et al., "A Time Series is Worth 64 Words: Long-term Forecasting with Transformers," in International Conference on Learning Representations (ICLR) , 2023.</w:t>
      </w:r>
    </w:p>
    <w:p w14:paraId="7FE5CF9F" w14:textId="77777777" w:rsidR="004C511C" w:rsidRDefault="00751A67">
      <w:pPr>
        <w:spacing w:after="30"/>
        <w:ind w:left="360" w:hanging="360"/>
        <w:jc w:val="both"/>
      </w:pPr>
      <w:r>
        <w:rPr>
          <w:rFonts w:cs="Times New Roman"/>
        </w:rPr>
        <w:t>[23] H. Wu et al., "TimesNet: Temporal 2D-Variation Modeling for General Time Series Analysis," in International Conference on Learning Representations (ICLR) , 2023.</w:t>
      </w:r>
    </w:p>
    <w:p w14:paraId="2E5B0CE3" w14:textId="77777777" w:rsidR="004C511C" w:rsidRDefault="00751A67">
      <w:pPr>
        <w:spacing w:after="30"/>
        <w:ind w:left="360" w:hanging="360"/>
        <w:jc w:val="both"/>
      </w:pPr>
      <w:r>
        <w:rPr>
          <w:rFonts w:cs="Times New Roman"/>
        </w:rPr>
        <w:t>[24] G. Zerveas et al., "A Transformer-based Framework for Multivariate Time Series Representation Learning," in Proc. 27th ACM SIGKDD Conf. Knowl. Discov. Data Min. , 2021, pp. 2114-2124.</w:t>
      </w:r>
    </w:p>
    <w:p w14:paraId="760A1955" w14:textId="77777777" w:rsidR="004C511C" w:rsidRDefault="00751A67">
      <w:pPr>
        <w:spacing w:after="30"/>
        <w:ind w:left="360" w:hanging="360"/>
        <w:jc w:val="both"/>
      </w:pPr>
      <w:r>
        <w:rPr>
          <w:rFonts w:cs="Times New Roman"/>
        </w:rPr>
        <w:t>[25] M. H. Baqee et al., "Forecasting Bitcoin Prices Using Deep Learning for Consumer-Centric Industrial Applications," IEEE Transactions on Consumer Electronics , vol. 70, no. 1, pp. 3225-3233, Feb. 2024. doi: 10.1109/TCE.2023.3335001.</w:t>
      </w:r>
    </w:p>
    <w:p w14:paraId="7C7ACCE8" w14:textId="77777777" w:rsidR="004C511C" w:rsidRDefault="00751A67">
      <w:pPr>
        <w:spacing w:after="30"/>
        <w:ind w:left="360" w:hanging="360"/>
        <w:jc w:val="both"/>
      </w:pPr>
      <w:r>
        <w:rPr>
          <w:rFonts w:cs="Times New Roman"/>
        </w:rPr>
        <w:t>[26] A. T. Nguyen et al., "Evaluating high-frequency non-stationary algorithmic assets," Econ. Modelling , vol. 119, 106159, 2023.</w:t>
      </w:r>
    </w:p>
    <w:p w14:paraId="0E13EA61" w14:textId="77777777" w:rsidR="004C511C" w:rsidRDefault="00751A67">
      <w:pPr>
        <w:spacing w:after="30"/>
        <w:ind w:left="360" w:hanging="360"/>
        <w:jc w:val="both"/>
      </w:pPr>
      <w:r>
        <w:rPr>
          <w:rFonts w:cs="Times New Roman"/>
        </w:rPr>
        <w:t>[27] R. Sharda, D. Delen, and E. Turban, Business Intelligence, Analytics, and Data Science: A Managerial Perspective , 4th ed. Pearson, 2017.</w:t>
      </w:r>
    </w:p>
    <w:p w14:paraId="2D1335B9" w14:textId="77777777" w:rsidR="004C511C" w:rsidRDefault="00751A67">
      <w:pPr>
        <w:spacing w:after="30"/>
        <w:ind w:left="360" w:hanging="360"/>
        <w:jc w:val="both"/>
      </w:pPr>
      <w:r>
        <w:rPr>
          <w:rFonts w:cs="Times New Roman"/>
        </w:rPr>
        <w:t>[28] D. Arnott and G. Pervan, "A critical analysis of decision support systems research revisited: The rise of design science," J. Inf. Technol. , vol. 29, no. 4, pp. 269-293, 2014.</w:t>
      </w:r>
    </w:p>
    <w:p w14:paraId="5500D3AC" w14:textId="77777777" w:rsidR="004C511C" w:rsidRDefault="00751A67">
      <w:pPr>
        <w:spacing w:after="30"/>
        <w:ind w:left="360" w:hanging="360"/>
        <w:jc w:val="both"/>
      </w:pPr>
      <w:r>
        <w:rPr>
          <w:rFonts w:cs="Times New Roman"/>
        </w:rPr>
        <w:t>[29] P. Jorion, Value at Risk: The New Benchmark for Managing Financial Risk , 3rd ed. New York, NY, USA: McGraw-Hill Education, 2006.</w:t>
      </w:r>
    </w:p>
    <w:p w14:paraId="1BC542AE" w14:textId="77777777" w:rsidR="004C511C" w:rsidRDefault="00751A67">
      <w:pPr>
        <w:spacing w:after="30"/>
        <w:ind w:left="360" w:hanging="360"/>
        <w:jc w:val="both"/>
      </w:pPr>
      <w:r>
        <w:rPr>
          <w:rFonts w:cs="Times New Roman"/>
        </w:rPr>
        <w:t>[30] Binance, "Binance Spot API Documentation," Binance Technical Engineering, 2024. [Online]. Available: https://binance-docs.github.io/apidocs/spot/en/.</w:t>
      </w:r>
    </w:p>
    <w:p w14:paraId="799BD4D7" w14:textId="77777777" w:rsidR="004C511C" w:rsidRDefault="00751A67">
      <w:pPr>
        <w:spacing w:after="30"/>
        <w:ind w:left="360" w:hanging="360"/>
        <w:jc w:val="both"/>
      </w:pPr>
      <w:r>
        <w:rPr>
          <w:rFonts w:cs="Times New Roman"/>
        </w:rPr>
        <w:t>[31] J. Han, M. Kamber, and J. Pei, Data Mining: Concepts and Techniques , 3rd ed. Waltham, MA, USA: Morgan Kaufmann, 2011.</w:t>
      </w:r>
    </w:p>
    <w:p w14:paraId="6A412ED2" w14:textId="77777777" w:rsidR="004C511C" w:rsidRDefault="00751A67">
      <w:pPr>
        <w:spacing w:after="30"/>
        <w:ind w:left="360" w:hanging="360"/>
        <w:jc w:val="both"/>
      </w:pPr>
      <w:r>
        <w:rPr>
          <w:rFonts w:cs="Times New Roman"/>
        </w:rPr>
        <w:t>[32] R. J. Hyndman and G. Athanasopoulos, Forecasting: Principles and Practice , 3rd ed. Melbourne, Australia: OTexts, 2021.</w:t>
      </w:r>
    </w:p>
    <w:p w14:paraId="61AE0BB9" w14:textId="77777777" w:rsidR="004C511C" w:rsidRDefault="00751A67">
      <w:pPr>
        <w:spacing w:after="30"/>
        <w:ind w:left="360" w:hanging="360"/>
        <w:jc w:val="both"/>
      </w:pPr>
      <w:r>
        <w:rPr>
          <w:rFonts w:cs="Times New Roman"/>
        </w:rPr>
        <w:t>[33] R. S. Tsay, Analysis of Financial Time Series , 3rd ed. Hoboken, NJ, USA: John Wiley &amp; Sons, 2010.</w:t>
      </w:r>
    </w:p>
    <w:p w14:paraId="6D04A573" w14:textId="77777777" w:rsidR="004C511C" w:rsidRDefault="00751A67">
      <w:pPr>
        <w:spacing w:after="30"/>
        <w:ind w:left="360" w:hanging="360"/>
        <w:jc w:val="both"/>
      </w:pPr>
      <w:r>
        <w:rPr>
          <w:rFonts w:cs="Times New Roman"/>
        </w:rPr>
        <w:t>[34] M. L. de Prado, Advances in Financial Machine Learning . Hoboken, NJ, USA: John Wiley &amp; Sons, 2018.</w:t>
      </w:r>
    </w:p>
    <w:p w14:paraId="664C2689" w14:textId="77777777" w:rsidR="004C511C" w:rsidRDefault="00751A67">
      <w:pPr>
        <w:spacing w:after="30"/>
        <w:ind w:left="360" w:hanging="360"/>
        <w:jc w:val="both"/>
      </w:pPr>
      <w:r>
        <w:rPr>
          <w:rFonts w:cs="Times New Roman"/>
        </w:rPr>
        <w:t>[35] S. M. Lundberg and S. I. Lee, "A Unified Approach to Interpreting Model Predictions," in Advances in Neural Information Processing Systems (NeurIPS) , 2017, pp. 4765-4774.</w:t>
      </w:r>
    </w:p>
    <w:p w14:paraId="126F360E" w14:textId="77777777" w:rsidR="004C511C" w:rsidRDefault="00751A67">
      <w:pPr>
        <w:spacing w:after="30"/>
        <w:ind w:left="360" w:hanging="360"/>
        <w:jc w:val="both"/>
      </w:pPr>
      <w:r>
        <w:rPr>
          <w:rFonts w:cs="Times New Roman"/>
        </w:rPr>
        <w:t>[36] F. Diebold and R. Mariano, "Comparing Predictive Accuracy," J. Bus. Econ. Stat. , vol. 13, pp. 253-263, 1995.</w:t>
      </w:r>
    </w:p>
    <w:p w14:paraId="4F797A39" w14:textId="77777777" w:rsidR="004C511C" w:rsidRDefault="00751A67">
      <w:pPr>
        <w:spacing w:after="30"/>
        <w:ind w:left="360" w:hanging="360"/>
        <w:jc w:val="both"/>
      </w:pPr>
      <w:r>
        <w:rPr>
          <w:rFonts w:cs="Times New Roman"/>
        </w:rPr>
        <w:t>[37] J. Bollen, H. Mao, and X. Zeng, "Twitter mood predicts the stock market," J. Comput. Sci. , vol. 2, no. 1, pp. 1-8, 2011.</w:t>
      </w:r>
    </w:p>
    <w:p w14:paraId="0252ACF6" w14:textId="77777777" w:rsidR="004C511C" w:rsidRDefault="00751A67">
      <w:pPr>
        <w:spacing w:after="30"/>
        <w:ind w:left="360" w:hanging="360"/>
        <w:jc w:val="both"/>
      </w:pPr>
      <w:r>
        <w:rPr>
          <w:rFonts w:cs="Times New Roman"/>
        </w:rPr>
        <w:t>[38] I. E. Livieris et al., "Attention-based CNN-LSTM for high-frequency multiple cryptocurrency trend prediction," Expert Systems with Applications , vol. 213, 119208, 2024. doi: 10.1016/j.eswa.2022.119208.</w:t>
      </w:r>
    </w:p>
    <w:p w14:paraId="38C1FB16" w14:textId="77777777" w:rsidR="004C511C" w:rsidRDefault="00751A67">
      <w:pPr>
        <w:spacing w:after="30"/>
        <w:ind w:left="360" w:hanging="360"/>
        <w:jc w:val="both"/>
      </w:pPr>
      <w:r>
        <w:rPr>
          <w:rFonts w:cs="Times New Roman"/>
        </w:rPr>
        <w:t>[39] J. Brooke, "SUS: A 'Quick and Dirty' Usability Scale," in Usability Evaluation in Industry , P. W. Jordan et al. , Eds. London, UK: Taylor &amp; Francis, 1996, pp. 189-194.</w:t>
      </w:r>
    </w:p>
    <w:p w14:paraId="04CA4ACC" w14:textId="77777777" w:rsidR="004C511C" w:rsidRDefault="00751A67">
      <w:pPr>
        <w:spacing w:after="30"/>
        <w:ind w:left="360" w:hanging="360"/>
        <w:jc w:val="both"/>
      </w:pPr>
      <w:r>
        <w:rPr>
          <w:rFonts w:cs="Times New Roman"/>
        </w:rPr>
        <w:t>[40] A. Bangor, P. T. Kortum, and J. T. Miller, "Determining what individual SUS scores mean: Adding an adjective rating scale," Journal of Usability Studies , vol. 4, no. 3, pp. 114-123, 2009.</w:t>
      </w:r>
    </w:p>
    <w:sectPr w:rsidR="004C511C"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A778" w14:textId="77777777" w:rsidR="00751A67" w:rsidRDefault="00751A67">
      <w:pPr>
        <w:spacing w:after="0" w:line="240" w:lineRule="auto"/>
      </w:pPr>
      <w:r>
        <w:separator/>
      </w:r>
    </w:p>
  </w:endnote>
  <w:endnote w:type="continuationSeparator" w:id="0">
    <w:p w14:paraId="0FBC7BF7" w14:textId="77777777" w:rsidR="00751A67" w:rsidRDefault="0075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F78" w14:textId="77777777" w:rsidR="004C511C" w:rsidRDefault="00751A67">
    <w:pPr>
      <w:pStyle w:val="Footer"/>
      <w:jc w:val="center"/>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BBB3" w14:textId="77777777" w:rsidR="00751A67" w:rsidRDefault="00751A67">
      <w:pPr>
        <w:spacing w:after="0" w:line="240" w:lineRule="auto"/>
      </w:pPr>
      <w:r>
        <w:separator/>
      </w:r>
    </w:p>
  </w:footnote>
  <w:footnote w:type="continuationSeparator" w:id="0">
    <w:p w14:paraId="38D1ADCD" w14:textId="77777777" w:rsidR="00751A67" w:rsidRDefault="0075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423579">
    <w:abstractNumId w:val="8"/>
  </w:num>
  <w:num w:numId="2" w16cid:durableId="358744949">
    <w:abstractNumId w:val="6"/>
  </w:num>
  <w:num w:numId="3" w16cid:durableId="545989120">
    <w:abstractNumId w:val="5"/>
  </w:num>
  <w:num w:numId="4" w16cid:durableId="493954558">
    <w:abstractNumId w:val="4"/>
  </w:num>
  <w:num w:numId="5" w16cid:durableId="1858151869">
    <w:abstractNumId w:val="7"/>
  </w:num>
  <w:num w:numId="6" w16cid:durableId="794567347">
    <w:abstractNumId w:val="3"/>
  </w:num>
  <w:num w:numId="7" w16cid:durableId="570819279">
    <w:abstractNumId w:val="2"/>
  </w:num>
  <w:num w:numId="8" w16cid:durableId="1148668353">
    <w:abstractNumId w:val="1"/>
  </w:num>
  <w:num w:numId="9" w16cid:durableId="77872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DF"/>
    <w:rsid w:val="0015074B"/>
    <w:rsid w:val="0029639D"/>
    <w:rsid w:val="002E2F7F"/>
    <w:rsid w:val="00326F90"/>
    <w:rsid w:val="004C511C"/>
    <w:rsid w:val="00583811"/>
    <w:rsid w:val="0070387E"/>
    <w:rsid w:val="00751A67"/>
    <w:rsid w:val="00AA1D8D"/>
    <w:rsid w:val="00B47730"/>
    <w:rsid w:val="00CB0664"/>
    <w:rsid w:val="00FA3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C897"/>
  <w14:defaultImageDpi w14:val="300"/>
  <w15:docId w15:val="{F017CB22-8153-454B-B794-768E0DAA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4672</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5</cp:revision>
  <dcterms:created xsi:type="dcterms:W3CDTF">2013-12-23T23:15:00Z</dcterms:created>
  <dcterms:modified xsi:type="dcterms:W3CDTF">2026-05-05T01:57:00Z</dcterms:modified>
  <cp:category/>
</cp:coreProperties>
</file>