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rFonts w:ascii="Times New Roman" w:hAnsi="Times New Roman"/>
          <w:b/>
          <w:sz w:val="28"/>
        </w:rPr>
        <w:t>PROPOSAL PROGRAM PENGABDIAN KEPADA MASYARAKAT (PKM)</w:t>
        <w:br/>
        <w:t>SKEMA PEMBERDAYAAN KEMITRAAN MASYARAKAT</w:t>
      </w:r>
    </w:p>
    <w:p>
      <w:pPr>
        <w:spacing w:before="480" w:after="480" w:line="312" w:lineRule="auto"/>
        <w:jc w:val="center"/>
      </w:pPr>
      <w:r>
        <w:rPr>
          <w:rFonts w:ascii="Times New Roman" w:hAnsi="Times New Roman"/>
          <w:b/>
          <w:color w:val="1A365D"/>
          <w:sz w:val="28"/>
        </w:rPr>
        <w:t>PENINGKATAN LITERASI KEUANGAN DIGITAL DAN MANAJEMEN RISIKO INVESTASI ASET KRIPTO BERBASIS ARTIFICIAL INTELLIGENCE &amp; BUSINESS INTELLIGENCE PADA KOMUNITAS INVESTOR DAN PELAKU UMKM DIGITAL</w:t>
      </w:r>
    </w:p>
    <w:p>
      <w:pPr>
        <w:spacing w:before="720" w:after="720" w:line="312" w:lineRule="auto"/>
        <w:jc w:val="center"/>
      </w:pPr>
      <w:r>
        <w:rPr>
          <w:rFonts w:ascii="Times New Roman" w:hAnsi="Times New Roman"/>
          <w:sz w:val="24"/>
        </w:rPr>
        <w:t>TIM PENGUSUL:</w:t>
        <w:br/>
        <w:t>Ketua: Asep Muhamad Samsudin (NIM. 222510793)</w:t>
        <w:br/>
        <w:t>Anggota 1: Prof. Dr. Hj. Rina Fiati, ST., M.Cs</w:t>
        <w:br/>
        <w:t>Anggota 2: Dr. Wahyudi Agustiono, S.T., M.Kom</w:t>
        <w:br/>
        <w:br/>
        <w:t>MITRA KERJASAMA:</w:t>
        <w:br/>
        <w:t>Komunitas Trader &amp; Penggiat Ekonomi Digital Sukabumi</w:t>
      </w:r>
    </w:p>
    <w:p>
      <w:pPr>
        <w:spacing w:before="720" w:after="240" w:line="276" w:lineRule="auto"/>
        <w:jc w:val="center"/>
      </w:pPr>
      <w:r>
        <w:rPr>
          <w:rFonts w:ascii="Times New Roman" w:hAnsi="Times New Roman"/>
          <w:b/>
          <w:sz w:val="24"/>
        </w:rPr>
        <w:t>PROGRAM STUDI MAGISTER INFORMATIKA</w:t>
        <w:br/>
        <w:t>FAKULTAS TEKNIK, KOMPUTER, DAN DESAIN</w:t>
        <w:br/>
        <w:t>UNIVERSITAS NUSA PUTRA</w:t>
        <w:br/>
        <w:t>2026</w:t>
      </w:r>
    </w:p>
    <w:p>
      <w:r>
        <w:br w:type="page"/>
      </w:r>
    </w:p>
    <w:p>
      <w:pPr>
        <w:keepNext/>
        <w:spacing w:before="320" w:after="120" w:line="360" w:lineRule="auto"/>
        <w:jc w:val="left"/>
      </w:pPr>
      <w:r>
        <w:rPr>
          <w:rFonts w:ascii="Times New Roman" w:hAnsi="Times New Roman"/>
          <w:b/>
          <w:sz w:val="26"/>
        </w:rPr>
        <w:t>RINGKASAN EKSEKUTIF PROPOSAL PKM</w:t>
      </w:r>
    </w:p>
    <w:p>
      <w:pPr>
        <w:spacing w:before="0" w:after="120" w:line="360" w:lineRule="auto"/>
        <w:jc w:val="both"/>
      </w:pPr>
      <w:r>
        <w:rPr>
          <w:rFonts w:ascii="Times New Roman" w:hAnsi="Times New Roman"/>
          <w:sz w:val="24"/>
        </w:rPr>
        <w:t>Minat masyarakat Indonesia terhadap aset kripto meningkat tajam hingga mencapai lebih dari 18 juta investor terdaftar. Kendati demikian, tingkat literasi risiko finansial masih sangat tertinggal. Sebagian besar investor ritel dan pelaku UMKM mengalami kerugian modal akibat spekulasi berlebih dan ketiadaan instrumen manajemen risiko kuantitatif. Kegiatan Pengabdian Kepada Masyarakat (PKM) ini merupakan hilirisasi langsung dari hasil riset Capstone Project Magister Informatika Data Science Universitas Nusa Putra.</w:t>
      </w:r>
    </w:p>
    <w:p>
      <w:pPr>
        <w:spacing w:before="0" w:after="120" w:line="360" w:lineRule="auto"/>
        <w:jc w:val="both"/>
      </w:pPr>
      <w:r>
        <w:rPr>
          <w:rFonts w:ascii="Times New Roman" w:hAnsi="Times New Roman"/>
          <w:sz w:val="24"/>
        </w:rPr>
        <w:t>Tim pengusul bermitra dengan Komunitas Penggiat Finansial Digital Sukabumi untuk mentransfer teknologi berupa: (1) Modul edukasi literasi risiko investasi berbasis AI, (2) Implementasi &amp; pelatihan akses Dashboard Decision Support System (Power BI / Web App), serta (3) Penyusunan Standard Operating Procedure (SOP) manajemen risiko portofolio.</w:t>
      </w:r>
    </w:p>
    <w:p>
      <w:pPr>
        <w:keepNext/>
        <w:spacing w:before="320" w:after="120" w:line="360" w:lineRule="auto"/>
        <w:jc w:val="left"/>
      </w:pPr>
      <w:r>
        <w:rPr>
          <w:rFonts w:ascii="Times New Roman" w:hAnsi="Times New Roman"/>
          <w:b/>
          <w:sz w:val="26"/>
        </w:rPr>
        <w:t>BAB I: ANALISIS SITUASI DAN PERMASALAHAN MITRA</w:t>
      </w:r>
    </w:p>
    <w:p>
      <w:pPr>
        <w:keepNext/>
        <w:spacing w:before="240" w:after="80" w:line="360" w:lineRule="auto"/>
        <w:jc w:val="left"/>
      </w:pPr>
      <w:r>
        <w:rPr>
          <w:rFonts w:ascii="Times New Roman" w:hAnsi="Times New Roman"/>
          <w:b/>
          <w:sz w:val="24"/>
        </w:rPr>
        <w:t>1.1 Profil Mitra Kerjasama</w:t>
      </w:r>
    </w:p>
    <w:p>
      <w:pPr>
        <w:spacing w:before="0" w:after="120" w:line="360" w:lineRule="auto"/>
        <w:jc w:val="both"/>
      </w:pPr>
      <w:r>
        <w:rPr>
          <w:rFonts w:ascii="Times New Roman" w:hAnsi="Times New Roman"/>
          <w:sz w:val="24"/>
        </w:rPr>
        <w:t>Mitra sasaran adalah Komunitas Trader Ritel dan Pelaku Ekonomi Digital Sukabumi, perkumpulan swadaya beranggotakan lebih dari 150 wirausahawan muda, mahasiswa, dan profesional di wilayah Sukabumi yang aktif bertransaksi aset digital.</w:t>
      </w:r>
    </w:p>
    <w:p>
      <w:pPr>
        <w:keepNext/>
        <w:spacing w:before="240" w:after="80" w:line="360" w:lineRule="auto"/>
        <w:jc w:val="left"/>
      </w:pPr>
      <w:r>
        <w:rPr>
          <w:rFonts w:ascii="Times New Roman" w:hAnsi="Times New Roman"/>
          <w:b/>
          <w:sz w:val="24"/>
        </w:rPr>
        <w:t>1.2 Analisis Permasalahan Prioritas</w:t>
      </w:r>
    </w:p>
    <w:p>
      <w:pPr>
        <w:pStyle w:val="ListBullet"/>
        <w:spacing w:before="0" w:after="60" w:line="360" w:lineRule="auto"/>
        <w:jc w:val="both"/>
      </w:pPr>
      <w:r>
        <w:rPr>
          <w:rFonts w:ascii="Times New Roman" w:hAnsi="Times New Roman"/>
          <w:b/>
          <w:sz w:val="24"/>
        </w:rPr>
        <w:t>1. Rendahnya Literasi Mitigasi Risiko:</w:t>
      </w:r>
      <w:r>
        <w:rPr>
          <w:rFonts w:ascii="Times New Roman" w:hAnsi="Times New Roman"/>
          <w:sz w:val="24"/>
        </w:rPr>
        <w:t xml:space="preserve"> Lebih dari 75% anggota bertransaksi tanpa batasan cut-loss terukur sehingga kerap mengalami kerugian floating loss ekstrem.</w:t>
      </w:r>
    </w:p>
    <w:p>
      <w:pPr>
        <w:pStyle w:val="ListBullet"/>
        <w:spacing w:before="0" w:after="60" w:line="360" w:lineRule="auto"/>
        <w:jc w:val="both"/>
      </w:pPr>
      <w:r>
        <w:rPr>
          <w:rFonts w:ascii="Times New Roman" w:hAnsi="Times New Roman"/>
          <w:b/>
          <w:sz w:val="24"/>
        </w:rPr>
        <w:t>2. Ketergantungan Sinyal Irasional:</w:t>
      </w:r>
      <w:r>
        <w:rPr>
          <w:rFonts w:ascii="Times New Roman" w:hAnsi="Times New Roman"/>
          <w:sz w:val="24"/>
        </w:rPr>
        <w:t xml:space="preserve"> Keputusan investasi sering terpengaruh rumor media sosial dan pump-and-dump tanpa validasi kuantitatif.</w:t>
      </w:r>
    </w:p>
    <w:p>
      <w:pPr>
        <w:pStyle w:val="ListBullet"/>
        <w:spacing w:before="0" w:after="60" w:line="360" w:lineRule="auto"/>
        <w:jc w:val="both"/>
      </w:pPr>
      <w:r>
        <w:rPr>
          <w:rFonts w:ascii="Times New Roman" w:hAnsi="Times New Roman"/>
          <w:b/>
          <w:sz w:val="24"/>
        </w:rPr>
        <w:t>3. Ketiadaan Alat Bantu Terpadu:</w:t>
      </w:r>
      <w:r>
        <w:rPr>
          <w:rFonts w:ascii="Times New Roman" w:hAnsi="Times New Roman"/>
          <w:sz w:val="24"/>
        </w:rPr>
        <w:t xml:space="preserve"> Tidak tersedianya dashboard analitik cerdas yang menyajikan metrik risiko seperti Value at Risk (VaR) dan Sharpe Ratio.</w:t>
      </w:r>
    </w:p>
    <w:p>
      <w:pPr>
        <w:keepNext/>
        <w:spacing w:before="320" w:after="120" w:line="360" w:lineRule="auto"/>
        <w:jc w:val="left"/>
      </w:pPr>
      <w:r>
        <w:rPr>
          <w:rFonts w:ascii="Times New Roman" w:hAnsi="Times New Roman"/>
          <w:b/>
          <w:sz w:val="26"/>
        </w:rPr>
        <w:t>BAB II: SOLUSI DAN TARGET LUARAN</w:t>
      </w:r>
    </w:p>
    <w:p>
      <w:pPr>
        <w:keepNext/>
        <w:spacing w:before="240" w:after="80" w:line="360" w:lineRule="auto"/>
        <w:jc w:val="left"/>
      </w:pPr>
      <w:r>
        <w:rPr>
          <w:rFonts w:ascii="Times New Roman" w:hAnsi="Times New Roman"/>
          <w:b/>
          <w:sz w:val="24"/>
        </w:rPr>
        <w:t>2.1 Solusi yang Diterapkan</w:t>
      </w:r>
    </w:p>
    <w:p>
      <w:pPr>
        <w:pStyle w:val="ListBullet"/>
        <w:spacing w:before="0" w:after="60" w:line="360" w:lineRule="auto"/>
        <w:jc w:val="both"/>
      </w:pPr>
      <w:r>
        <w:rPr>
          <w:rFonts w:ascii="Times New Roman" w:hAnsi="Times New Roman"/>
          <w:b/>
          <w:sz w:val="24"/>
        </w:rPr>
        <w:t>1. Capacity Building:</w:t>
      </w:r>
      <w:r>
        <w:rPr>
          <w:rFonts w:ascii="Times New Roman" w:hAnsi="Times New Roman"/>
          <w:sz w:val="24"/>
        </w:rPr>
        <w:t xml:space="preserve"> Workshop 2 hari mencakup pemahaman siklus pasar kripto, konsep data science deret waktu, dan mitigasi risiko kuantitatif.</w:t>
      </w:r>
    </w:p>
    <w:p>
      <w:pPr>
        <w:pStyle w:val="ListBullet"/>
        <w:spacing w:before="0" w:after="60" w:line="360" w:lineRule="auto"/>
        <w:jc w:val="both"/>
      </w:pPr>
      <w:r>
        <w:rPr>
          <w:rFonts w:ascii="Times New Roman" w:hAnsi="Times New Roman"/>
          <w:b/>
          <w:sz w:val="24"/>
        </w:rPr>
        <w:t>2. Transfer Artefak Teknologi:</w:t>
      </w:r>
      <w:r>
        <w:rPr>
          <w:rFonts w:ascii="Times New Roman" w:hAnsi="Times New Roman"/>
          <w:sz w:val="24"/>
        </w:rPr>
        <w:t xml:space="preserve"> Pembagian akses dan pelatihan penggunaan dashboard DSS terintegrasi model Deep Learning (GRU-LSTM).</w:t>
      </w:r>
    </w:p>
    <w:p>
      <w:pPr>
        <w:pStyle w:val="ListBullet"/>
        <w:spacing w:before="0" w:after="60" w:line="360" w:lineRule="auto"/>
        <w:jc w:val="both"/>
      </w:pPr>
      <w:r>
        <w:rPr>
          <w:rFonts w:ascii="Times New Roman" w:hAnsi="Times New Roman"/>
          <w:b/>
          <w:sz w:val="24"/>
        </w:rPr>
        <w:t>3. Pendampingan Portofolio:</w:t>
      </w:r>
      <w:r>
        <w:rPr>
          <w:rFonts w:ascii="Times New Roman" w:hAnsi="Times New Roman"/>
          <w:sz w:val="24"/>
        </w:rPr>
        <w:t xml:space="preserve"> Mentoring selama 8 minggu dalam implementasi SOP alokasi modal dan cut-loss disiplin.</w:t>
      </w:r>
    </w:p>
    <w:p>
      <w:pPr>
        <w:keepNext/>
        <w:spacing w:before="240" w:after="80" w:line="360" w:lineRule="auto"/>
        <w:jc w:val="left"/>
      </w:pPr>
      <w:r>
        <w:rPr>
          <w:rFonts w:ascii="Times New Roman" w:hAnsi="Times New Roman"/>
          <w:b/>
          <w:sz w:val="24"/>
        </w:rPr>
        <w:t>2.2 Target Luaran Kegiatan</w:t>
      </w:r>
    </w:p>
    <w:p>
      <w:pPr>
        <w:spacing w:before="0" w:after="120" w:line="360" w:lineRule="auto"/>
        <w:jc w:val="both"/>
      </w:pPr>
      <w:r>
        <w:rPr>
          <w:rFonts w:ascii="Times New Roman" w:hAnsi="Times New Roman"/>
          <w:sz w:val="24"/>
        </w:rPr>
        <w:t>Target luaran mencakup artikel ilmiah pada Jurnal Pengabdian Terakreditasi SINTA (SINTA 3-5), sertifikat Hak Cipta (HKI) atas Modul Pelatihan dari DJKI Kemenkumham, publikasi media massa daring, video dokumentasi kegiatan, serta peningkatan literasi risiko mitra minimal 40%.</w:t>
      </w:r>
    </w:p>
    <w:p>
      <w:pPr>
        <w:keepNext/>
        <w:spacing w:before="320" w:after="120" w:line="360" w:lineRule="auto"/>
        <w:jc w:val="left"/>
      </w:pPr>
      <w:r>
        <w:rPr>
          <w:rFonts w:ascii="Times New Roman" w:hAnsi="Times New Roman"/>
          <w:b/>
          <w:sz w:val="26"/>
        </w:rPr>
        <w:t>BAB III: METODE PELAKSANAAN</w:t>
      </w:r>
    </w:p>
    <w:p>
      <w:pPr>
        <w:spacing w:before="0" w:after="120" w:line="360" w:lineRule="auto"/>
        <w:jc w:val="both"/>
      </w:pPr>
      <w:r>
        <w:rPr>
          <w:rFonts w:ascii="Times New Roman" w:hAnsi="Times New Roman"/>
          <w:sz w:val="24"/>
        </w:rPr>
        <w:t>Tahapan kegiatan terdiri dari: Tahap Persiapan &amp; Penandatanganan MoA (Bulan 1), Pelatihan Intensif Luring (Bulan 2), Pendampingan &amp; Simulasi Portofolio Daring Mingguan (Bulan 3), serta Evaluasi Post-Test, Pendaftaran HKI, dan Pelaporan Akhir (Bulan 4).</w:t>
      </w:r>
    </w:p>
    <w:p>
      <w:pPr>
        <w:keepNext/>
        <w:spacing w:before="320" w:after="120" w:line="360" w:lineRule="auto"/>
        <w:jc w:val="left"/>
      </w:pPr>
      <w:r>
        <w:rPr>
          <w:rFonts w:ascii="Times New Roman" w:hAnsi="Times New Roman"/>
          <w:b/>
          <w:sz w:val="26"/>
        </w:rPr>
        <w:t>BAB IV: JADWAL DAN ANGGARAN BIAYA</w:t>
      </w:r>
    </w:p>
    <w:p>
      <w:pPr>
        <w:spacing w:before="0" w:after="120" w:line="360" w:lineRule="auto"/>
        <w:jc w:val="both"/>
      </w:pPr>
      <w:r>
        <w:rPr>
          <w:rFonts w:ascii="Times New Roman" w:hAnsi="Times New Roman"/>
          <w:sz w:val="24"/>
        </w:rPr>
        <w:t>Rincian anggaran yang diusulkan adalah Rp 15.000.000,- mencakup bahan habis pakai &amp; pencetakan modul ber-ISBN (Rp 4.500.000), sewa cloud server &amp; lisensi dashboard (Rp 3.000.000), konsumsi &amp; akomodasi workshop luring mitra (Rp 4.000.000), serta pendaftaran HKI DJKI Kemenkumham &amp; publikasi jurnal abdimas SINTA (Rp 3.500.000).</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