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588"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54FAABAE" w14:textId="77777777" w:rsidR="008A78AA" w:rsidRDefault="008A78AA">
      <w:pPr>
        <w:pStyle w:val="Author"/>
        <w:spacing w:beforeAutospacing="1" w:afterAutospacing="1" w:line="120" w:lineRule="auto"/>
        <w:rPr>
          <w:sz w:val="16"/>
          <w:szCs w:val="16"/>
        </w:rPr>
      </w:pPr>
    </w:p>
    <w:p w14:paraId="2F9913EB"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1E9DF2D1" w14:textId="77777777" w:rsidR="008A78AA" w:rsidRDefault="00000000">
      <w:pPr>
        <w:pStyle w:val="Author"/>
        <w:spacing w:before="0" w:after="0"/>
        <w:rPr>
          <w:i/>
          <w:sz w:val="18"/>
          <w:szCs w:val="18"/>
        </w:rPr>
      </w:pPr>
      <w:r>
        <w:t>1st Asep Surahman Sulaeman*</w:t>
        <w:br/>
        <w:t>Master of Informatics, Faculty of Engineering, Computer, and Design</w:t>
        <w:br/>
        <w:t>Nusa Putra University</w:t>
        <w:br/>
        <w:t>Sukabumi, Indonesia</w:t>
        <w:br/>
        <w:t>asep.surahman@nusaputra.ac.id (*Corresponding Author)</w:t>
      </w:r>
    </w:p>
    <w:p w14:paraId="2C790A9A"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deden.witarsyah@nusaputra.ac.id</w:t>
      </w:r>
    </w:p>
    <w:p w14:paraId="3A988525"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br/>
      </w:r>
      <w:r>
        <w:rPr>
          <w:i/>
          <w:sz w:val="18"/>
          <w:szCs w:val="18"/>
        </w:rPr>
        <w:t>Department of Informatics Engineering, Faculty of Engineering,</w:t>
      </w:r>
      <w:r>
        <w:rPr>
          <w:sz w:val="18"/>
          <w:szCs w:val="18"/>
        </w:rPr>
        <w:br/>
      </w:r>
      <w:r>
        <w:rPr>
          <w:i/>
          <w:sz w:val="18"/>
          <w:szCs w:val="18"/>
        </w:rPr>
        <w:t>Pelita Bangsa University</w:t>
        <w:br/>
      </w:r>
      <w:r>
        <w:rPr>
          <w:sz w:val="18"/>
          <w:szCs w:val="18"/>
        </w:rPr>
        <w:t>Bekasi, Indonesia</w:t>
        <w:br/>
        <w:t>aswan.sunge@pelitabangsa.ac.id</w:t>
      </w:r>
    </w:p>
    <w:p w14:paraId="0838B60F"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AD1A38" w14:textId="77777777" w:rsidR="008A78AA" w:rsidRDefault="008A78AA"/>
    <w:p w14:paraId="45D395BC" w14:textId="77777777" w:rsidR="008A78AA" w:rsidRDefault="00000000">
      <w:r>
        <w:br w:type="column"/>
      </w:r>
    </w:p>
    <w:p w14:paraId="61241A66"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115A860" w14:textId="7B806A82" w:rsidR="008A78AA" w:rsidRDefault="00000000">
      <w:pPr>
        <w:pStyle w:val="Abstract"/>
      </w:pPr>
      <w:r>
        <w:t>Abstract — Forecasting cryptocurrency prices in operational financial environments presents substantial challenges due to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(VaR). Four model topologies—Extreme Gradient Boosting (XGBoost), Long Short-Term Memory (LSTM), Gated Recurrent Unit (GRU), and the Informer Transformer—were evaluated under a 24-fold chronological Walk-Forward Validation protocol using 43,824 hourly candlestick observations of BTC/USDT from March 2021 to March 2026. In terms of point-forecasting accuracy, the GRU achieved the lowest error (RMSE = 0.1058 ± 0.0034; Friedman p &lt; 0.0001). When evaluated within the operational BI decision engine, financial utility metrics revealed a complementary perspective: both recurrent architectures delivered closely matched trading performance, with LSTM achieving a Directional Accuracy of 56.4% ± 3.6% and an annualized Net Sharpe Ratio of 1.45 ± 0.38 (Aggregate Daily VaR95% = −2.34%), closely followed by GRU (DA = 55.1% ± 3.8%, Net Sharpe = 1.23 ± 0.40), with their performance difference remaining within sampling uncertainty. These findings suggest that evaluating models through risk-adjusted financial metrics alongside statistical point-loss provides essential operational insights for enterprise decision support. Usability evaluation of the enterprise Power BI prototype yielded a System Usability Scale (SUS) score of 86.4 (SD = 3.2), indicating high perceived usability of the multi-model decision support dashboard among the 15 evaluators.</w:t>
      </w:r>
    </w:p>
    <w:p w14:paraId="76E9453C" w14:textId="748B06AE" w:rsidR="008A78AA" w:rsidRDefault="00000000">
      <w:pPr>
        <w:pStyle w:val="Keywords"/>
      </w:pPr>
      <w:r>
        <w:t xml:space="preserve">Keywords Financial Informatics, Business Intelligence, Deep Learning, XGBoost, LSTM, GRU, Informer Transformer, Decision Support System, Risk Management.</w:t>
      </w:r>
    </w:p>
    <w:p w14:paraId="6E12113F" w14:textId="77777777" w:rsidR="008A78AA" w:rsidRDefault="008A78AA">
      <w:pPr>
        <w:pStyle w:val="Keywords"/>
      </w:pPr>
    </w:p>
    <w:p w14:paraId="462C80DE" w14:textId="77777777" w:rsidR="008A78AA" w:rsidRDefault="00000000">
      <w:pPr>
        <w:pStyle w:val="Heading1"/>
      </w:pPr>
      <w:r>
        <w:t>Introduction</w:t>
      </w:r>
    </w:p>
    <w:p w14:paraId="34589C8A" w14:textId="632C5776" w:rsidR="008A78AA" w:rsidRDefault="00000000">
      <w:pPr>
        <w:pStyle w:val="BodyText"/>
      </w:pPr>
      <w:r>
        <w:t xml:space="preserve">Cryptocurrency markets exhibit extreme non-stationarity, high-frequency regime shifts, and severe volatility cascades, frequently invalidating the core assumptions underlying conventional econometric models [1], [2]. Classical time-series techniques such as Autoregressive Integrated Moving Average (ARIMA) presuppose covariance stationarity and linear autocorrelation structures properties routinely violated by intra-day cryptocurrency data [3], [4]. Consequently, deep neural networks and gradient-boosted tree ensembles have emerged as prominent modeling paradigms due to their capacity to map complex, nonlinear sequential representations directly from raw multi-feature inputs [5], [6].</w:t>
      </w:r>
    </w:p>
    <w:p w14:paraId="467A3672" w14:textId="36BEA800" w:rsidR="008A78AA" w:rsidRDefault="00712C53">
      <w:pPr>
        <w:pStyle w:val="BodyText"/>
      </w:pPr>
      <w:r>
        <w:t xml:space="preserve">Despite significant advances in forecasting algorithms, a critical methodological limitation persists in the financial machine learning literature. Existing studies overwhelmingly benchmark models using statistical error metrics such as Root Mean Squared Error (RMSE) or Mean Absolute Error (MAE) in isolated laboratory environments. However, for portfolio managers and risk governance committees, a minimal RMSE does not guarantee commercial viability or risk-adjusted profitability [7], [8]. Crucial operational questions such as directional forecasting accuracy, strategy drawdown, and risk-adjusted return under real-world trading constraints remain unanswered by error metrics alone [9]. A profound disconnect therefore exists between predictive accuracy benchmarks and the operational requirements of enterprise Business Intelligence (BI) platforms [10].</w:t>
      </w:r>
    </w:p>
    <w:p w14:paraId="598784DC" w14:textId="77777777" w:rsidR="008A78AA" w:rsidRDefault="001F2CB9">
      <w:pPr>
        <w:pStyle w:val="BodyText"/>
      </w:pPr>
      <w:r>
        <w:t>To bridge this divide, this study develops an end-to-end BI-ML framework that integrates automated multi-model forecasting, leakage-free chronological Walk-Forward Validation, a high-throughput PostgreSQL Data Mart, and an interactive Microsoft Power BI decision-support dashboard refreshed from the Data Mart through DirectQuery. Four distinct algorithmic families are benchmarked across five years of hourly Bitcoin (BTC/USDT) spot data under identical experimental conditions: XGBoost (tree ensemble), LSTM and GRU (gated recurrent networks), and the Informer Transformer (probabilistic sparse self-attention). By mapping raw multi-step point predictions into live trading signals, annualized Sharpe Ratios, and Value-at-Risk (VaR) thresholds, this framework establishes a rigorous bridge between statistical modeling and enterprise financial decision governance.</w:t>
      </w:r>
    </w:p>
    <w:p w14:paraId="3F00D6C5" w14:textId="77777777" w:rsidR="008A78AA" w:rsidRDefault="00000000">
      <w:pPr>
        <w:pStyle w:val="Heading2"/>
      </w:pPr>
      <w:r>
        <w:t>Baselines and Deep Sequences (RNNs)</w:t>
      </w:r>
    </w:p>
    <w:p w14:paraId="1E3C1E28" w14:textId="77777777" w:rsidR="008A78AA" w:rsidRDefault="00712C53">
      <w:pPr>
        <w:pStyle w:val="BodyText"/>
      </w:pPr>
      <w:r>
        <w:t>In financial modeling, tree-based ensemble methods represent the established standard for tabular feature architectures. Extreme Gradient Boosting (XGBoost) demonstrates superior capacity to mitigate variance through regularized gradient boosting [11], [12]. Nevertheless, standard decision tree models do not inherently model recurrent temporal transitions across consecutive time steps, which motivates recurrent architectures for volatile crypto asset regimes, as explored by McNally et al. [13]. Critically, Makridakis et al. [3] demonstrated in a large-scale benchmark that machine learning models do not uniformly outperform statistical baselines when evaluation is conducted on truly held-out out-of-sample windows — underscoring that comparative forecasting performance must be assessed under leakage-free chronological protocols. The systematic review by Henrique et al. [4] and the comprehensive survey by Amirzadeh et al. [44] identify the absence of unified out-of-sample benchmarking and risk-adjusted performance metrics as the primary recurring methodological deficiency in the financial machine learning literature — a gap this study directly addresses through 24-fold walk-forward validation.</w:t>
      </w:r>
    </w:p>
    <w:p w14:paraId="035DAF2A" w14:textId="77777777" w:rsidR="008A78AA" w:rsidRDefault="00712C53">
      <w:pPr>
        <w:pStyle w:val="BodyText"/>
      </w:pPr>
      <w:r>
        <w:t>To capture multi-scale temporal dependencies, recurrent neural architectures were introduced. The Long Short-Term Memory (LSTM) network, formulated by Hochreiter and Schmidhuber [14] and expanded with recurrent forget gates by Gers et al. [15], regulates gradient flow via input, forget, and output gating mechanisms, mitigating vanishing gradient phenomena. Subsequently, Cho et al. [16] developed the Gated Recurrent Unit (GRU), which combines forget and input gates into a streamlined update gate, achieving comparable sequential retention with reduced computational overhead. Both topologies remain essential benchmarks in quantitative financial engineering [17], [18], with Mallqui and Fernandes [17] demonstrating the effectiveness of machine learning and recurrent networks for Bitcoin directional price forecasting. Fischer and Krauss [41] demonstrated that LSTM-based strategies achieve meaningful out-of-sample Sharpe Ratios on equity data but cautioned that such returns diminish significantly once transaction costs are incorporated — a finding extended to the cryptocurrency domain by Sebastião and Godinho [42], who confirmed that ML-based trading strategies remain profitable after accounting for 0.5% round-trip transaction costs. Rundo [43] further validated that coupling deep LSTM with a reinforcement-learning execution layer substantially improves risk-adjusted returns in high-frequency settings. De Prado [30] stresses leakage-free, chronologically ordered evaluation for sequential financial models, and Diebold and Mariano [35] provide the formal framework for comparing predictive accuracy across model families — both principles are adopted in this study.</w:t>
      </w:r>
    </w:p>
    <w:p w14:paraId="3C158E70" w14:textId="77777777" w:rsidR="008A78AA" w:rsidRDefault="00000000">
      <w:pPr>
        <w:pStyle w:val="Heading2"/>
      </w:pPr>
      <w:r>
        <w:lastRenderedPageBreak/>
        <w:t>Transformers in Time Series</w:t>
      </w:r>
    </w:p>
    <w:p w14:paraId="220630A9" w14:textId="6C380D3E" w:rsidR="008A78AA" w:rsidRDefault="00000000">
      <w:pPr>
        <w:pStyle w:val="BodyText"/>
      </w:pPr>
      <w:commentRangeStart w:id="28"/>
      <w:r>
        <w:t>Attention-based Transformer architectures [19] have achieved remarkable success across diverse sequential modeling domains [20]. For long-sequence time-series forecasting, the Informer Transformer [21] introduced the ProbSparse self-attention mechanism, reducing time and memory complexity from O(L²) to O(L log L). While newer Transformer derivatives such as PatchTST [22] and TimesNet [23] continue to emerge, the Informer serves as an established, extensively validated attention baseline for intra-day cryptocurrency modeling [24]. Importantly, Zerveas et al. [25] observed that attention mechanisms are prone to overfitting on short, noisy intervals — a possibility examined here by comparing the Informer against the recurrent baselines under the Diebold-Mariano test [35]. Recent comparative work by Peng et al. [45], evaluating an Attention-based CNN–LSTM architecture on high-frequency multi-cryptocurrency data, demonstrates that hybrid sequential models combining convolutional feature extraction with temporal attention achieve superior trend prediction accuracy over standalone Transformers on intra-day windows. A limitation common to Transformer-based forecasting studies [24], [25] is the predominant reliance on statistical error metrics without evaluating trading profitability or Value-at-Risk compliance [28] — a gap motivating the enterprise BI layer in this work.</w:t>
      </w:r>
      <w:commentRangeEnd w:id="28"/>
      <w:r>
        <w:commentReference w:id="28"/>
      </w:r>
    </w:p>
    <w:p w14:paraId="6285924B" w14:textId="77777777" w:rsidR="008A78AA" w:rsidRDefault="00000000">
      <w:pPr>
        <w:pStyle w:val="Heading2"/>
      </w:pPr>
      <w:r>
        <w:t>The Need for BI Integration and Scope Justification</w:t>
      </w:r>
    </w:p>
    <w:p w14:paraId="394A2B5A" w14:textId="77777777" w:rsidR="008A78AA" w:rsidRDefault="00A85596">
      <w:pPr>
        <w:pStyle w:val="BodyText"/>
      </w:pPr>
      <w:r>
        <w:t>While comparative algorithmic evaluations are abundant [11], [41], [44], their integration into enterprise Decision Support Systems (DSS) remains scarce [9], and the existing literature exhibits three interconnected methodological gaps. First, the operational disconnect between statistical model benchmarks and enterprise BI platforms prevents risk governance committees from translating RMSE-optimal models into actionable decisions [9], [10]. Second, the vast majority of cryptocurrency forecasting studies omit transaction cost modeling from trading-strategy evaluation — producing Sharpe Ratios unattainable in live markets; Sebastião and Godinho [42] and Fischer and Krauss [41] demonstrate that incorporating realistic fee structures fundamentally changes model ranking and strategy viability. Third, Value-at-Risk and drawdown constraints — mandatory risk governance requirements [28] — are absent from the trading evaluation of virtually all deep learning cryptocurrency benchmarks. This study bridges all three gaps by coupling model predictions to an enterprise Power BI dashboard that dynamically computes annualized Sharpe Ratios and VaR(95%) [28], and by validating operational usability through the SUS protocol [37], [38].</w:t>
      </w:r>
    </w:p>
    <w:p w14:paraId="6D6DE8F2" w14:textId="77777777" w:rsidR="008A78AA" w:rsidRDefault="00A85596">
      <w:pPr>
        <w:pStyle w:val="BodyText"/>
      </w:pPr>
      <w:r>
        <w:t>Bitcoin (BTC/USDT) is selected as the primary reference asset for three fundamental reasons. First, BTC constitutes the most liquid, heavily traded, and structurally influential cryptocurrency, serving as the universal market bellwether [1], [29]. Second, continuous 24/7 trading generates an exceptionally dense sequential signal unobstructed by exchange market-closure artifacts. Third, evaluating a high-volume Binance spot pair provides a controlled experimental environment that isolates algorithmic performance from the idiosyncratic liquidity shocks prevalent in lower-cap altcoins.</w:t>
      </w:r>
    </w:p>
    <w:p w14:paraId="6D6DE8F2" w14:textId="77777777" w:rsidR="008A78AA" w:rsidRDefault="00A85596">
      <w:pPr>
        <w:pStyle w:val="BodyText"/>
      </w:pPr>
      <w:commentRangeStart w:id="29"/>
      <w:r>
        <w:t>Taken together, the literature reveals four unresolved gaps that this study is specifically designed to address. (1) — Comparative forecasting benchmarks [3], [4], [13], [17], [40], [44], [45] frequently employ random-split or single-fold evaluation, which risks temporal leakage that can inflate reported accuracy; this study enforces strict 24-fold non-overlapping walk-forward validation across five years of hourly data, consistent with the leakage-prevention principles of de Prado [30]. (2) — Risk-adjusted return evaluation is rarely reported in cryptocurrency deep learning benchmarks [17], [24], [25], [45]; this study reports annualized Sharpe Ratios and VaR(95%) for all four model families under identical market conditions. (3) — Transaction costs are often omitted from prior trading-strategy evaluations [13], [17], yielding results that cannot be reproduced in live brokerage environments; this work explicitly evaluates directional trading signals net of Binance spot fee structures [29], following the cost-aware methodology of Sebastião and Godinho [42]. (4) — The integration of ML model outputs into real-time enterprise BI dashboards with live KPI computation remains largely absent [9], [26]; this study delivers an operational Microsoft Power BI prototype streaming model predictions into live Sharpe Ratio and VaR tiles, verified through usability assessment [37], [38] and statistical benchmarking via the Diebold-Mariano test [35].</w:t>
      </w:r>
      <w:commentRangeEnd w:id="29"/>
      <w:r>
        <w:commentReference w:id="29"/>
      </w:r>
    </w:p>
    <w:p w14:paraId="2C8E702B" w14:textId="77777777" w:rsidR="008A78AA" w:rsidRDefault="00000000">
      <w:pPr>
        <w:pStyle w:val="Heading1"/>
      </w:pPr>
      <w:r>
        <w:t>METHODOLOGY AND SYSTEM ARCHITECTURE</w:t>
      </w:r>
    </w:p>
    <w:p w14:paraId="6F71FCF5" w14:textId="77777777" w:rsidR="008A78AA" w:rsidRDefault="00000000">
      <w:pPr>
        <w:ind w:firstLine="288"/>
        <w:jc w:val="both"/>
      </w:pPr>
      <w:r>
        <w:t>The proposed end-to-end framework is organized into four modular, sequentially integrated layers. Layer 1 executes automated high-frequency market data ingestion and verifies series stationarity. Layer 2 performs technical feature extraction, fold-local normalization, and guarantees temporal leakage prevention. Layer 3 orchestrates model training, hyperparameter optimization, and parallel out-of-sample inference across the four model families. Finally, Layer 4 translates raw predictive tensors into directional trading signals, computes portfolio risk metrics (Sharpe Ratio, VaR), and streams the outputs to a live Microsoft Power BI dashboard via DirectQuery. The end-to-end workflow is formally specified in Algorithm 1.</w:t>
      </w:r>
    </w:p>
    <w:p w14:paraId="03022CF5" w14:textId="77777777" w:rsidR="008A78AA" w:rsidRDefault="00000000">
      <w:pPr>
        <w:pStyle w:val="Heading2"/>
      </w:pPr>
      <w:r>
        <w:t>High-Frequency Market Data Extraction (Layer 1)</w:t>
      </w:r>
    </w:p>
    <w:p w14:paraId="0583607D" w14:textId="77777777" w:rsidR="008A78AA" w:rsidRDefault="00000000">
      <w:pPr>
        <w:pStyle w:val="BodyText"/>
      </w:pPr>
      <w:commentRangeStart w:id="34"/>
      <w:r>
        <w:t>Layer 1 continuously ingests 43,818 native hourly OHLCV candlestick records (43,824 after gap filling) of BTC/USDT from the Binance Spot API spanning March 1, 2021 00:00 UTC to March 1, 2026 00:00 UTC [29] (Fig. 1). The 5-year chronological evaluation corresponds to exactly 1,826 days (including the 366-day leap year in 2024). A comprehensive temporal continuity audit on timestamp differentials (Δt = ti − ti−1 = 3,600 s) confirmed 43,818 consecutive native hourly intervals (99.986% native API continuity). Exactly six isolated hourly gaps resulting from scheduled exchange engine maintenance were populated via local linear interpolation bounded strictly within adjacent hours, establishing a complete 43,824-hour continuous sequence with zero temporal distortion or cross-boundary leakage.</w:t>
      </w:r>
      <w:commentRangeEnd w:id="34"/>
      <w:r>
        <w:commentReference w:id="34"/>
      </w:r>
    </w:p>
    <w:p w14:paraId="1C1958B5" w14:textId="77777777" w:rsidR="008A78AA" w:rsidRDefault="00000000">
      <w:pPr>
        <w:pStyle w:val="BodyText"/>
      </w:pPr>
      <w:commentRangeStart w:id="16"/>
      <w:r>
        <w:t>To rigorously evaluate series stationarity, the Augmented Dickey-Fuller (ADF) unit root test was conducted on both the raw price series and derived feature transformations. On raw Bitcoin closing prices (Pt), the ADF test yielded a test statistic of −1.0670 with a p-value of 0.7281 (critical value at 5% = −2.8616), confirming that raw price levels are non-stationary I(1) with a unit root. Conversely, for logarithmic price returns rt = ln(Pt / Pt−1), the ADF test yielded a test statistic of −29.4518 with p &lt; 0.0001 (critical value at 1% = −3.4305), decisively rejecting the unit root null hypothesis. Bounded oscillators and differenced momentum features (e.g., RSI, Stochastic %K/%D, ROC, Momentum) are expected to be stationary, whereas level-based features (closing price, SMA-50, EMA-20, Bollinger Bands, and the price-based σ24) inherit the unit-root behaviour of the price series. The models therefore forecast a non-stationary price level, which is acknowledged as a limitation of this study.</w:t>
      </w:r>
      <w:commentRangeEnd w:id="16"/>
      <w:r>
        <w:commentReference w:id="16"/>
      </w:r>
    </w:p>
    <w:p w14:paraId="136CD231" w14:textId="77777777" w:rsidR="008A78AA" w:rsidRDefault="00000000">
      <w:pPr>
        <w:pStyle w:val="Heading2"/>
      </w:pPr>
      <w:r>
        <w:t>Feature Engineering and Temporal Leakage Prevention (Layer 2)</w:t>
      </w:r>
    </w:p>
    <w:p w14:paraId="50C8601A" w14:textId="77777777" w:rsidR="008A78AA" w:rsidRDefault="00000000">
      <w:pPr>
        <w:pStyle w:val="BodyText"/>
      </w:pPr>
      <w:commentRangeStart w:id="17"/>
      <w:commentRangeStart w:id="2"/>
      <w:r>
        <w:t>A feature set of 15 input variables (14 technical indicators plus the closing price) was engineered to provide multi-scale representations of price momentum, trend, and market volatility. Moving Average Convergence Divergence (MACD) was computed from standard exponential moving averages:</w:t>
      </w:r>
      <w:commentRangeEnd w:id="2"/>
      <w:r>
        <w:rPr>
          <w:rStyle w:val="CommentReference"/>
        </w:rPr>
        <w:commentReference w:id="2"/>
      </w:r>
      <w:commentRangeEnd w:id="17"/>
      <w:r>
        <w:commentReference w:id="17"/>
      </w:r>
    </w:p>
    <w:p w14:paraId="15592AC8" w14:textId="77777777" w:rsidR="008A78AA" w:rsidRDefault="005002B2">
      <w:pPr>
        <w:pStyle w:val="equation"/>
      </w:pPr>
      <w:r>
        <w:tab/>
        <w:t>MACD = EMA12 − EMA26</w:t>
        <w:tab/>
        <w:t>(1)</w:t>
      </w:r>
    </w:p>
    <w:p w14:paraId="321BB3C7" w14:textId="77777777" w:rsidR="008A78AA" w:rsidRDefault="00000000">
      <w:pPr>
        <w:pStyle w:val="BodyText"/>
      </w:pPr>
      <w:r>
        <w:t>To guarantee zero temporal leakage across the chronological evaluation, all feature normalization was performed using strictly Fold-Local Min-Max Scaling (Equation 2). Scaling parameters (Xmin, Xmax) were computed exclusively from historical observations within each training window and subsequently applied out-of-sample to the corresponding test window, precluding any look-ahead bias [31], [32], [33].</w:t>
      </w:r>
    </w:p>
    <w:tbl>
      <w:tblPr>
        <w:tblW w:w="4908" w:type="dxa"/>
        <w:jc w:val="center"/>
        <w:tblLayout w:type="fixed"/>
        <w:tblLook w:val="0000" w:firstRow="0" w:lastRow="0" w:firstColumn="0" w:lastColumn="0" w:noHBand="0" w:noVBand="0"/>
      </w:tblPr>
      <w:tblGrid>
        <w:gridCol w:w="4908"/>
      </w:tblGrid>
      <w:tr w:rsidR="008A78AA" w14:paraId="3660A758"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26D01339" w14:textId="77777777" w:rsidR="005932C6" w:rsidRDefault="00000000">
            <w:pPr>
              <w:spacing w:before="20" w:after="20" w:line="252" w:lineRule="auto"/>
            </w:pPr>
            <w:r>
              <w:rPr>
                <w:rFonts w:ascii="Consolas" w:hAnsi="Consolas"/>
                <w:b/>
                <w:sz w:val="19"/>
              </w:rPr>
              <w:t>Algorithm 1: 4-Layer BI-ML Implementation Pipeline</w:t>
            </w:r>
          </w:p>
          <w:p w14:paraId="177E4481" w14:textId="77777777" w:rsidR="005932C6" w:rsidRDefault="00000000">
            <w:pPr>
              <w:spacing w:before="20" w:after="20" w:line="252" w:lineRule="auto"/>
            </w:pPr>
            <w:r>
              <w:rPr>
                <w:rFonts w:ascii="Consolas" w:hAnsi="Consolas"/>
                <w:i/>
                <w:sz w:val="17"/>
              </w:rPr>
              <w:t>Input:  High-frequency Cryptocurrency OHLCV Spot Data (43,824 Hourly Records)</w:t>
            </w:r>
          </w:p>
          <w:p w14:paraId="6216D7B0" w14:textId="77777777" w:rsidR="005932C6" w:rsidRDefault="00000000">
            <w:pPr>
              <w:spacing w:before="20" w:after="20" w:line="252" w:lineRule="auto"/>
            </w:pPr>
            <w:r>
              <w:rPr>
                <w:rFonts w:ascii="Consolas" w:hAnsi="Consolas"/>
                <w:i/>
                <w:sz w:val="17"/>
              </w:rPr>
              <w:t>Output: Risk-Adjusted Dashboard Matrix (Sharpe Ratio, VaR95%, Directional Accuracy)</w:t>
            </w:r>
          </w:p>
          <w:p w14:paraId="215D5813" w14:textId="77777777" w:rsidR="005932C6" w:rsidRDefault="00000000">
            <w:pPr>
              <w:spacing w:before="20" w:after="20" w:line="252" w:lineRule="auto"/>
            </w:pPr>
            <w:r>
              <w:rPr>
                <w:rFonts w:ascii="Consolas" w:hAnsi="Consolas"/>
                <w:sz w:val="15"/>
              </w:rPr>
              <w:t>─────────────────────────────────────────────────────────────────────────────────</w:t>
            </w:r>
          </w:p>
          <w:p w14:paraId="1508A247" w14:textId="77777777" w:rsidR="005932C6" w:rsidRDefault="00000000">
            <w:pPr>
              <w:spacing w:before="20" w:after="20" w:line="252" w:lineRule="auto"/>
            </w:pPr>
            <w:r>
              <w:rPr>
                <w:rFonts w:ascii="Consolas" w:hAnsi="Consolas"/>
                <w:b/>
                <w:sz w:val="16"/>
              </w:rPr>
              <w:t>// Layer 1: High-Frequency Market Data Ingestion</w:t>
            </w:r>
          </w:p>
          <w:p w14:paraId="07463B50" w14:textId="77777777" w:rsidR="005932C6" w:rsidRDefault="00000000">
            <w:pPr>
              <w:spacing w:before="20" w:after="20" w:line="252" w:lineRule="auto"/>
            </w:pPr>
            <w:r>
              <w:rPr>
                <w:rFonts w:ascii="Consolas" w:hAnsi="Consolas"/>
                <w:sz w:val="16"/>
              </w:rPr>
              <w:t>1:  raw_data ← BinanceAPI.get_historical_klines(symbol='BTCUSDT', interval='1h')</w:t>
            </w:r>
          </w:p>
          <w:p w14:paraId="2C5E2469" w14:textId="77777777" w:rsidR="005932C6" w:rsidRDefault="00000000">
            <w:pPr>
              <w:spacing w:before="20" w:after="20" w:line="252" w:lineRule="auto"/>
            </w:pPr>
            <w:commentRangeStart w:id="18"/>
            <w:r>
              <w:rPr>
                <w:rFonts w:ascii="Consolas" w:hAnsi="Consolas"/>
                <w:sz w:val="16"/>
              </w:rPr>
              <w:t>2:  StationarityCheck ← AugmentedDickeyFullerTest(raw_data)  // ADF on log-returns (price levels are I(1))</w:t>
            </w:r>
            <w:commentRangeEnd w:id="18"/>
            <w:r>
              <w:commentReference w:id="18"/>
            </w:r>
          </w:p>
          <w:p w14:paraId="32A79A66" w14:textId="77777777" w:rsidR="005932C6" w:rsidRDefault="005932C6">
            <w:pPr>
              <w:spacing w:before="20" w:after="20" w:line="252" w:lineRule="auto"/>
            </w:pPr>
          </w:p>
          <w:p w14:paraId="62DB151E" w14:textId="77777777" w:rsidR="005932C6" w:rsidRDefault="00000000">
            <w:pPr>
              <w:spacing w:before="20" w:after="20" w:line="252" w:lineRule="auto"/>
            </w:pPr>
            <w:r>
              <w:rPr>
                <w:rFonts w:ascii="Consolas" w:hAnsi="Consolas"/>
                <w:b/>
                <w:sz w:val="16"/>
              </w:rPr>
              <w:t>// Layer 2: Feature Engineering &amp; Temporal Leakage Prevention</w:t>
            </w:r>
          </w:p>
          <w:p w14:paraId="09C6067B" w14:textId="77777777" w:rsidR="005932C6" w:rsidRDefault="00000000">
            <w:pPr>
              <w:spacing w:before="20" w:after="20" w:line="252" w:lineRule="auto"/>
            </w:pPr>
            <w:r>
              <w:rPr>
                <w:rFonts w:ascii="Consolas" w:hAnsi="Consolas"/>
                <w:sz w:val="16"/>
              </w:rPr>
              <w:t>3:  Extracted_Features ← GenerateIndicators(raw_data)  // MACD, Volatility σ_t, RSI</w:t>
            </w:r>
          </w:p>
          <w:p w14:paraId="0CF3435A" w14:textId="77777777" w:rsidR="005932C6" w:rsidRDefault="00000000">
            <w:pPr>
              <w:spacing w:before="20" w:after="20" w:line="252" w:lineRule="auto"/>
            </w:pPr>
            <w:r>
              <w:rPr>
                <w:rFonts w:ascii="Consolas" w:hAnsi="Consolas"/>
                <w:sz w:val="16"/>
              </w:rPr>
              <w:t>4:  Folds ← ChronologicalWalkForwardSplit(Extracted_Features, train=720h, test=168h)</w:t>
            </w:r>
          </w:p>
          <w:p w14:paraId="6B6B7CAE" w14:textId="77777777" w:rsidR="005932C6" w:rsidRDefault="005932C6">
            <w:pPr>
              <w:spacing w:before="20" w:after="20" w:line="252" w:lineRule="auto"/>
            </w:pPr>
          </w:p>
          <w:p w14:paraId="159B06C4" w14:textId="77777777" w:rsidR="005932C6" w:rsidRDefault="00000000">
            <w:pPr>
              <w:spacing w:before="20" w:after="20" w:line="252" w:lineRule="auto"/>
            </w:pPr>
            <w:r>
              <w:rPr>
                <w:rFonts w:ascii="Consolas" w:hAnsi="Consolas"/>
                <w:b/>
                <w:sz w:val="16"/>
              </w:rPr>
              <w:t>// Layer 3: Model Optimization &amp; Parallel Out-of-Sample Inference</w:t>
            </w:r>
          </w:p>
          <w:p w14:paraId="775F41E0" w14:textId="77777777" w:rsidR="005932C6" w:rsidRDefault="00000000">
            <w:pPr>
              <w:spacing w:before="20" w:after="20" w:line="252" w:lineRule="auto"/>
            </w:pPr>
            <w:r>
              <w:rPr>
                <w:rFonts w:ascii="Consolas" w:hAnsi="Consolas"/>
                <w:b/>
                <w:sz w:val="16"/>
              </w:rPr>
              <w:t>5:  for each validation_fold ∈ Folds do</w:t>
            </w:r>
          </w:p>
          <w:p w14:paraId="1C6F22D1" w14:textId="77777777" w:rsidR="005932C6" w:rsidRDefault="00000000">
            <w:pPr>
              <w:spacing w:before="20" w:after="20" w:line="252" w:lineRule="auto"/>
            </w:pPr>
            <w:r>
              <w:rPr>
                <w:rFonts w:ascii="Consolas" w:hAnsi="Consolas"/>
                <w:sz w:val="16"/>
              </w:rPr>
              <w:t>6:      scale_params ← FoldLocalMinMaxFit(validation_fold.train)  // Zero look-ahead</w:t>
            </w:r>
          </w:p>
          <w:p w14:paraId="6E9769E4" w14:textId="77777777" w:rsidR="005932C6" w:rsidRDefault="00000000">
            <w:pPr>
              <w:spacing w:before="20" w:after="20" w:line="252" w:lineRule="auto"/>
            </w:pPr>
            <w:r>
              <w:rPr>
                <w:rFonts w:ascii="Consolas" w:hAnsi="Consolas"/>
                <w:sz w:val="16"/>
              </w:rPr>
              <w:t>7:      X_train_norm ← ApplyScaling(validation_fold.train, scale_params)</w:t>
            </w:r>
          </w:p>
          <w:p w14:paraId="41C631FC" w14:textId="77777777" w:rsidR="005932C6" w:rsidRDefault="00000000">
            <w:pPr>
              <w:spacing w:before="20" w:after="20" w:line="252" w:lineRule="auto"/>
            </w:pPr>
            <w:r>
              <w:rPr>
                <w:rFonts w:ascii="Consolas" w:hAnsi="Consolas"/>
                <w:sz w:val="16"/>
              </w:rPr>
              <w:t>8:      X_test_norm  ← ApplyScaling(validation_fold.test, scale_params)</w:t>
            </w:r>
          </w:p>
          <w:p w14:paraId="6B786896" w14:textId="77777777" w:rsidR="005932C6" w:rsidRDefault="00000000">
            <w:pPr>
              <w:spacing w:before="20" w:after="20" w:line="252" w:lineRule="auto"/>
            </w:pPr>
            <w:r>
              <w:rPr>
                <w:rFonts w:ascii="Consolas" w:hAnsi="Consolas"/>
                <w:sz w:val="16"/>
              </w:rPr>
              <w:t>9:      model_weights ← TrainModels(X_train_norm, [XGBoost, LSTM, GRU, Informer])</w:t>
            </w:r>
          </w:p>
          <w:p w14:paraId="05512CBF" w14:textId="77777777" w:rsidR="005932C6" w:rsidRDefault="00000000">
            <w:pPr>
              <w:spacing w:before="20" w:after="20" w:line="252" w:lineRule="auto"/>
            </w:pPr>
            <w:r>
              <w:rPr>
                <w:rFonts w:ascii="Consolas" w:hAnsi="Consolas"/>
                <w:sz w:val="16"/>
              </w:rPr>
              <w:t>10:     predict_tensor ← model_weights.predict(X_test_norm)</w:t>
            </w:r>
          </w:p>
          <w:p w14:paraId="162E3E62" w14:textId="77777777" w:rsidR="005932C6" w:rsidRDefault="00000000">
            <w:pPr>
              <w:spacing w:before="20" w:after="20" w:line="252" w:lineRule="auto"/>
            </w:pPr>
            <w:r>
              <w:rPr>
                <w:rFonts w:ascii="Consolas" w:hAnsi="Consolas"/>
                <w:b/>
                <w:sz w:val="16"/>
              </w:rPr>
              <w:t>11: end for</w:t>
            </w:r>
          </w:p>
          <w:p w14:paraId="071BE26A" w14:textId="77777777" w:rsidR="005932C6" w:rsidRDefault="005932C6">
            <w:pPr>
              <w:spacing w:before="20" w:after="20" w:line="252" w:lineRule="auto"/>
            </w:pPr>
          </w:p>
          <w:p w14:paraId="53C9A172" w14:textId="77777777" w:rsidR="005932C6" w:rsidRDefault="00000000">
            <w:pPr>
              <w:spacing w:before="20" w:after="20" w:line="252" w:lineRule="auto"/>
            </w:pPr>
            <w:r>
              <w:rPr>
                <w:rFonts w:ascii="Consolas" w:hAnsi="Consolas"/>
                <w:b/>
                <w:sz w:val="16"/>
              </w:rPr>
              <w:t xml:space="preserve">// Layer 4: Enterprise BI Decision Support &amp; </w:t>
              <w:lastRenderedPageBreak/>
              <w:t>Financial Risk Engine</w:t>
            </w:r>
          </w:p>
          <w:p w14:paraId="7943814E" w14:textId="77777777" w:rsidR="005932C6" w:rsidRDefault="00000000">
            <w:pPr>
              <w:spacing w:before="20" w:after="20" w:line="252" w:lineRule="auto"/>
            </w:pPr>
            <w:r>
              <w:rPr>
                <w:rFonts w:ascii="Consolas" w:hAnsi="Consolas"/>
                <w:sz w:val="16"/>
              </w:rPr>
              <w:t>12: trading_signals ← Sign(predict_tensor - actual_{t-1})  // s_t ∈ {+1, -1}</w:t>
            </w:r>
          </w:p>
          <w:p w14:paraId="2DC486F2" w14:textId="77777777" w:rsidR="005932C6" w:rsidRDefault="00000000">
            <w:pPr>
              <w:spacing w:before="20" w:after="20" w:line="252" w:lineRule="auto"/>
            </w:pPr>
            <w:r>
              <w:rPr>
                <w:rFonts w:ascii="Consolas" w:hAnsi="Consolas"/>
                <w:sz w:val="16"/>
              </w:rPr>
              <w:t>13: strategy_returns ← trading_signals × LogReturns(actual_prices)</w:t>
            </w:r>
          </w:p>
          <w:p w14:paraId="6779C442" w14:textId="77777777" w:rsidR="005932C6" w:rsidRDefault="00000000">
            <w:pPr>
              <w:spacing w:before="20" w:after="20" w:line="252" w:lineRule="auto"/>
            </w:pPr>
            <w:r>
              <w:rPr>
                <w:rFonts w:ascii="Consolas" w:hAnsi="Consolas"/>
                <w:sz w:val="16"/>
              </w:rPr>
              <w:t>14: PostgreSql_DataMart.BulkInsert(predict_tensor, strategy_returns, trading_signals)</w:t>
            </w:r>
          </w:p>
          <w:p w14:paraId="456B09B8" w14:textId="77777777" w:rsidR="005932C6" w:rsidRDefault="00000000">
            <w:pPr>
              <w:spacing w:before="20" w:after="20" w:line="252" w:lineRule="auto"/>
            </w:pPr>
            <w:r>
              <w:rPr>
                <w:rFonts w:ascii="Consolas" w:hAnsi="Consolas"/>
                <w:sz w:val="16"/>
              </w:rPr>
              <w:t>15: PowerBI_Dashboard.Render(Sharpe(strategy_returns), VaR95%(strategy_returns), DirAcc(trading_signals))</w:t>
            </w:r>
          </w:p>
        </w:tc>
      </w:tr>
    </w:tbl>
    <w:p w14:paraId="3500AA18" w14:textId="77777777" w:rsidR="008A78AA" w:rsidRDefault="00000000">
      <w:pPr>
        <w:pStyle w:val="BodyText"/>
      </w:pPr>
      <w:r>
        <w:lastRenderedPageBreak/>
        <w:t>The mathematical formulation for fold-local feature normalization is defined as:</w:t>
      </w:r>
    </w:p>
    <w:p w14:paraId="758A2D5D" w14:textId="77777777" w:rsidR="008A78AA" w:rsidRDefault="00000000">
      <w:pPr>
        <w:pStyle w:val="equation"/>
      </w:pPr>
      <w:r>
        <w:tab/>
        <w:t>Xnorm = (X − Xmin) / (Xmax − Xmin)</w:t>
        <w:tab/>
        <w:t>(2)</w:t>
      </w:r>
    </w:p>
    <w:p w14:paraId="50FB3009" w14:textId="77777777" w:rsidR="008A78AA" w:rsidRDefault="00000000">
      <w:pPr>
        <w:pStyle w:val="BodyText"/>
        <w:ind w:firstLine="0"/>
        <w:jc w:val="center"/>
      </w:pPr>
      <w:r>
        <w:rPr>
          <w:noProof/>
        </w:rPr>
        <w:drawing>
          <wp:inline distT="0" distB="0" distL="0" distR="0" wp14:anchorId="4B005438" wp14:editId="66ABCBB2">
            <wp:extent cx="3108960" cy="2105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3108960" cy="2105916"/>
                    </a:xfrm>
                    <a:prstGeom prst="rect">
                      <a:avLst/>
                    </a:prstGeom>
                  </pic:spPr>
                </pic:pic>
              </a:graphicData>
            </a:graphic>
          </wp:inline>
        </w:drawing>
      </w:r>
    </w:p>
    <w:p w14:paraId="4F6EAECC" w14:textId="77777777" w:rsidR="008A78AA" w:rsidRDefault="00000000">
      <w:pPr>
        <w:pStyle w:val="figurecaption"/>
        <w:jc w:val="center"/>
      </w:pPr>
      <w:r>
        <w:t>Hourly closing prices and trading volume of Bitcoin between Mar 2021 and Mar 2026 (43,824 records).</w:t>
      </w:r>
    </w:p>
    <w:p w14:paraId="6434A6AB" w14:textId="77777777" w:rsidR="008A78AA" w:rsidRDefault="00000000">
      <w:pPr>
        <w:pStyle w:val="Heading2"/>
      </w:pPr>
      <w:r>
        <w:t>Technical Indicators and Explainability Analysis</w:t>
      </w:r>
    </w:p>
    <w:p>
      <w:pPr>
        <w:spacing w:before="0" w:after="0" w:line="20" w:lineRule="exact"/>
        <w:sectPr>
          <w:type w:val="continuous"/>
          <w:pgSz w:w="11906" w:h="16838"/>
          <w:pgMar w:top="540" w:right="893" w:bottom="1440" w:left="893" w:header="0" w:footer="720" w:gutter="0"/>
          <w:cols w:num="2" w:space="360"/>
        </w:sectPr>
      </w:pPr>
    </w:p>
    <w:p w14:paraId="52EAD0CD" w14:textId="77777777" w:rsidR="008A78AA" w:rsidRDefault="007F0DB4">
      <w:pPr>
        <w:pStyle w:val="BodyText"/>
      </w:pPr>
      <w:commentRangeStart w:id="20"/>
      <w:r>
        <w:t>The 15 engineered technical features (summarized in Table I) incorporate trend indicators (EMA20, SMA50), momentum oscillators (RSI14, Stochastic %K/%D), volatility metrics (Rolling Volatility σ24, Bollinger Bands, ATR), and volume dynamics. To quantify feature attribution, SHapley Additive exPlanations (SHAP) analysis [34] was conducted across all candidate architectures. Empirical SHAP values confirmed that short-term volatility σ24 contributed the highest marginal predictive attribution (mean |SHAP| = 0.284), followed by RSI14 (0.218), MACD (0.176), Momentum(10) (0.112), and Volume (0.086). Long-term trend indicators (SMA-50, |SHAP| = 0.024) exhibited substantially lower attribution, suggesting that the models rely mainly on short-term dispersion and momentum information; because σ24 is computed on price levels, it may also act as a proxy for the price level itself.</w:t>
      </w:r>
      <w:commentRangeEnd w:id="20"/>
      <w:r>
        <w:commentReference w:id="20"/>
      </w:r>
    </w:p>
    <w:p>
      <w:pPr>
        <w:pStyle w:val="tablehead"/>
      </w:pPr>
      <w:commentRangeStart w:id="19"/>
      <w:r>
        <w:t>ENGINEERED TECHNICAL INDICATOR FEATURE SPACE &amp; SHAP ATTRIBUTION RANKINGS (LAYER 2)</w:t>
      </w:r>
      <w:commentRangeEnd w:id="19"/>
      <w:r>
        <w:commentReference w:id="19"/>
      </w:r>
    </w:p>
    <w:tbl>
      <w:tblPr>
        <w:tblW w:w="10120" w:type="dxa"/>
        <w:tblLayout w:type="fixed"/>
        <w:tblLook w:firstColumn="1" w:firstRow="1" w:lastColumn="0" w:lastRow="0" w:noHBand="0" w:noVBand="1" w:val="04A0"/>
      </w:tblPr>
      <w:tblGrid>
        <w:gridCol w:w="500"/>
        <w:gridCol w:w="1900"/>
        <w:gridCol w:w="1900"/>
        <w:gridCol w:w="4320"/>
        <w:gridCol w:w="1500"/>
      </w:tblGrid>
      <w:tr>
        <w:tc>
          <w:tcPr>
            <w:tcW w:w="500" w:type="dxa"/>
          </w:tcPr>
          <w:p>
            <w:pPr>
              <w:pStyle w:val="tablecolhead"/>
            </w:pPr>
            <w:r>
              <w:t>#</w:t>
            </w:r>
          </w:p>
        </w:tc>
        <w:tc>
          <w:tcPr>
            <w:tcW w:w="1900" w:type="dxa"/>
          </w:tcPr>
          <w:p>
            <w:pPr>
              <w:pStyle w:val="tablecolhead"/>
            </w:pPr>
            <w:r>
              <w:t>Feature Name</w:t>
            </w:r>
          </w:p>
        </w:tc>
        <w:tc>
          <w:tcPr>
            <w:tcW w:w="1900" w:type="dxa"/>
          </w:tcPr>
          <w:p>
            <w:pPr>
              <w:pStyle w:val="tablecolhead"/>
            </w:pPr>
            <w:r>
              <w:t>Category</w:t>
            </w:r>
          </w:p>
        </w:tc>
        <w:tc>
          <w:tcPr>
            <w:tcW w:w="4320" w:type="dxa"/>
          </w:tcPr>
          <w:p>
            <w:pPr>
              <w:pStyle w:val="tablecolhead"/>
            </w:pPr>
            <w:r>
              <w:t>Mathematical Formula / Window</w:t>
            </w:r>
          </w:p>
        </w:tc>
        <w:tc>
          <w:tcPr>
            <w:tcW w:w="1500" w:type="dxa"/>
          </w:tcPr>
          <w:p>
            <w:pPr>
              <w:pStyle w:val="tablecolhead"/>
            </w:pPr>
            <w:r>
              <w:t>SHAP Rank (|SHAP|)</w:t>
            </w:r>
          </w:p>
        </w:tc>
      </w:tr>
      <w:tr>
        <w:tc>
          <w:tcPr>
            <w:tcW w:w="500" w:type="dxa"/>
          </w:tcPr>
          <w:p>
            <w:pPr>
              <w:pStyle w:val="tablecopy"/>
            </w:pPr>
            <w:r>
              <w:t>1</w:t>
            </w:r>
          </w:p>
        </w:tc>
        <w:tc>
          <w:tcPr>
            <w:tcW w:w="1900" w:type="dxa"/>
          </w:tcPr>
          <w:p>
            <w:pPr>
              <w:pStyle w:val="tablecopy"/>
            </w:pPr>
            <w:r>
              <w:t>Close Price</w:t>
            </w:r>
          </w:p>
        </w:tc>
        <w:tc>
          <w:tcPr>
            <w:tcW w:w="1900" w:type="dxa"/>
          </w:tcPr>
          <w:p>
            <w:pPr>
              <w:pStyle w:val="tablecopy"/>
            </w:pPr>
            <w:r>
              <w:t>Target</w:t>
            </w:r>
          </w:p>
        </w:tc>
        <w:tc>
          <w:tcPr>
            <w:tcW w:w="4320" w:type="dxa"/>
          </w:tcPr>
          <w:p>
            <w:pPr>
              <w:pStyle w:val="tablecopy"/>
            </w:pPr>
            <w:r>
              <w:t>Raw hourly spot closing price Pt</w:t>
            </w:r>
          </w:p>
        </w:tc>
        <w:tc>
          <w:tcPr>
            <w:tcW w:w="1500" w:type="dxa"/>
          </w:tcPr>
          <w:p>
            <w:pPr>
              <w:pStyle w:val="tablecopy"/>
            </w:pPr>
            <w:r>
              <w:t>Target (0.312)</w:t>
            </w:r>
          </w:p>
        </w:tc>
      </w:tr>
      <w:tr>
        <w:tc>
          <w:tcPr>
            <w:tcW w:w="500" w:type="dxa"/>
          </w:tcPr>
          <w:p>
            <w:pPr>
              <w:pStyle w:val="tablecopy"/>
            </w:pPr>
            <w:r>
              <w:t>2</w:t>
            </w:r>
          </w:p>
        </w:tc>
        <w:tc>
          <w:tcPr>
            <w:tcW w:w="1900" w:type="dxa"/>
          </w:tcPr>
          <w:p>
            <w:pPr>
              <w:pStyle w:val="tablecopy"/>
            </w:pPr>
            <w:r>
              <w:t>Volatility (σ24)</w:t>
            </w:r>
          </w:p>
        </w:tc>
        <w:tc>
          <w:tcPr>
            <w:tcW w:w="1900" w:type="dxa"/>
          </w:tcPr>
          <w:p>
            <w:pPr>
              <w:pStyle w:val="tablecopy"/>
            </w:pPr>
            <w:r>
              <w:t>Risk / Dispersion</w:t>
            </w:r>
          </w:p>
        </w:tc>
        <w:tc>
          <w:tcPr>
            <w:tcW w:w="4320" w:type="dxa"/>
          </w:tcPr>
          <w:p>
            <w:pPr>
              <w:pStyle w:val="tablecopy"/>
            </w:pPr>
            <w:r>
              <w:t>√[ (1/24) Σ (Pt-i − P̄)² ] over 24 hours</w:t>
            </w:r>
          </w:p>
        </w:tc>
        <w:tc>
          <w:tcPr>
            <w:tcW w:w="1500" w:type="dxa"/>
          </w:tcPr>
          <w:p>
            <w:pPr>
              <w:pStyle w:val="tablecopy"/>
            </w:pPr>
            <w:r>
              <w:t>Rank 1 (0.284)</w:t>
            </w:r>
          </w:p>
        </w:tc>
      </w:tr>
      <w:tr>
        <w:tc>
          <w:tcPr>
            <w:tcW w:w="500" w:type="dxa"/>
          </w:tcPr>
          <w:p>
            <w:pPr>
              <w:pStyle w:val="tablecopy"/>
            </w:pPr>
            <w:r>
              <w:t>3</w:t>
            </w:r>
          </w:p>
        </w:tc>
        <w:tc>
          <w:tcPr>
            <w:tcW w:w="1900" w:type="dxa"/>
          </w:tcPr>
          <w:p>
            <w:pPr>
              <w:pStyle w:val="tablecopy"/>
            </w:pPr>
            <w:r>
              <w:t>RSI (14)</w:t>
            </w:r>
          </w:p>
        </w:tc>
        <w:tc>
          <w:tcPr>
            <w:tcW w:w="1900" w:type="dxa"/>
          </w:tcPr>
          <w:p>
            <w:pPr>
              <w:pStyle w:val="tablecopy"/>
            </w:pPr>
            <w:r>
              <w:t>Momentum</w:t>
            </w:r>
          </w:p>
        </w:tc>
        <w:tc>
          <w:tcPr>
            <w:tcW w:w="4320" w:type="dxa"/>
          </w:tcPr>
          <w:p>
            <w:pPr>
              <w:pStyle w:val="tablecopy"/>
            </w:pPr>
            <w:r>
              <w:t>100 − [100 / (1 + RS14)] over 14 hours</w:t>
            </w:r>
          </w:p>
        </w:tc>
        <w:tc>
          <w:tcPr>
            <w:tcW w:w="1500" w:type="dxa"/>
          </w:tcPr>
          <w:p>
            <w:pPr>
              <w:pStyle w:val="tablecopy"/>
            </w:pPr>
            <w:r>
              <w:t>Rank 2 (0.218)</w:t>
            </w:r>
          </w:p>
        </w:tc>
      </w:tr>
      <w:tr>
        <w:tc>
          <w:tcPr>
            <w:tcW w:w="500" w:type="dxa"/>
          </w:tcPr>
          <w:p>
            <w:pPr>
              <w:pStyle w:val="tablecopy"/>
            </w:pPr>
            <w:r>
              <w:t>4</w:t>
            </w:r>
          </w:p>
        </w:tc>
        <w:tc>
          <w:tcPr>
            <w:tcW w:w="1900" w:type="dxa"/>
          </w:tcPr>
          <w:p>
            <w:pPr>
              <w:pStyle w:val="tablecopy"/>
            </w:pPr>
            <w:r>
              <w:t>MACD</w:t>
            </w:r>
          </w:p>
        </w:tc>
        <w:tc>
          <w:tcPr>
            <w:tcW w:w="1900" w:type="dxa"/>
          </w:tcPr>
          <w:p>
            <w:pPr>
              <w:pStyle w:val="tablecopy"/>
            </w:pPr>
            <w:r>
              <w:t>Trend / Momentum</w:t>
            </w:r>
          </w:p>
        </w:tc>
        <w:tc>
          <w:tcPr>
            <w:tcW w:w="4320" w:type="dxa"/>
          </w:tcPr>
          <w:p>
            <w:pPr>
              <w:pStyle w:val="tablecopy"/>
            </w:pPr>
            <w:r>
              <w:t>EMA12(Pt) − EMA26(Pt)</w:t>
            </w:r>
          </w:p>
        </w:tc>
        <w:tc>
          <w:tcPr>
            <w:tcW w:w="1500" w:type="dxa"/>
          </w:tcPr>
          <w:p>
            <w:pPr>
              <w:pStyle w:val="tablecopy"/>
            </w:pPr>
            <w:r>
              <w:t>Rank 3 (0.176)</w:t>
            </w:r>
          </w:p>
        </w:tc>
      </w:tr>
      <w:tr>
        <w:tc>
          <w:tcPr>
            <w:tcW w:w="500" w:type="dxa"/>
          </w:tcPr>
          <w:p>
            <w:pPr>
              <w:pStyle w:val="tablecopy"/>
            </w:pPr>
            <w:r>
              <w:t>5</w:t>
            </w:r>
          </w:p>
        </w:tc>
        <w:tc>
          <w:tcPr>
            <w:tcW w:w="1900" w:type="dxa"/>
          </w:tcPr>
          <w:p>
            <w:pPr>
              <w:pStyle w:val="tablecopy"/>
            </w:pPr>
            <w:r>
              <w:t>Momentum (10)</w:t>
            </w:r>
          </w:p>
        </w:tc>
        <w:tc>
          <w:tcPr>
            <w:tcW w:w="1900" w:type="dxa"/>
          </w:tcPr>
          <w:p>
            <w:pPr>
              <w:pStyle w:val="tablecopy"/>
            </w:pPr>
            <w:r>
              <w:t>Velocity</w:t>
            </w:r>
          </w:p>
        </w:tc>
        <w:tc>
          <w:tcPr>
            <w:tcW w:w="4320" w:type="dxa"/>
          </w:tcPr>
          <w:p>
            <w:pPr>
              <w:pStyle w:val="tablecopy"/>
            </w:pPr>
            <w:r>
              <w:t>Pt − Pt-10 over 10 hours</w:t>
            </w:r>
          </w:p>
        </w:tc>
        <w:tc>
          <w:tcPr>
            <w:tcW w:w="1500" w:type="dxa"/>
          </w:tcPr>
          <w:p>
            <w:pPr>
              <w:pStyle w:val="tablecopy"/>
            </w:pPr>
            <w:r>
              <w:t>Rank 4 (0.112)</w:t>
            </w:r>
          </w:p>
        </w:tc>
      </w:tr>
      <w:tr>
        <w:tc>
          <w:tcPr>
            <w:tcW w:w="500" w:type="dxa"/>
          </w:tcPr>
          <w:p>
            <w:pPr>
              <w:pStyle w:val="tablecopy"/>
            </w:pPr>
            <w:r>
              <w:t>6</w:t>
            </w:r>
          </w:p>
        </w:tc>
        <w:tc>
          <w:tcPr>
            <w:tcW w:w="1900" w:type="dxa"/>
          </w:tcPr>
          <w:p>
            <w:pPr>
              <w:pStyle w:val="tablecopy"/>
            </w:pPr>
            <w:r>
              <w:t>Volume</w:t>
            </w:r>
          </w:p>
        </w:tc>
        <w:tc>
          <w:tcPr>
            <w:tcW w:w="1900" w:type="dxa"/>
          </w:tcPr>
          <w:p>
            <w:pPr>
              <w:pStyle w:val="tablecopy"/>
            </w:pPr>
            <w:r>
              <w:t>Liquidity</w:t>
            </w:r>
          </w:p>
        </w:tc>
        <w:tc>
          <w:tcPr>
            <w:tcW w:w="4320" w:type="dxa"/>
          </w:tcPr>
          <w:p>
            <w:pPr>
              <w:pStyle w:val="tablecopy"/>
            </w:pPr>
            <w:r>
              <w:t>Raw hourly transaction volume Vt</w:t>
            </w:r>
          </w:p>
        </w:tc>
        <w:tc>
          <w:tcPr>
            <w:tcW w:w="1500" w:type="dxa"/>
          </w:tcPr>
          <w:p>
            <w:pPr>
              <w:pStyle w:val="tablecopy"/>
            </w:pPr>
            <w:r>
              <w:t>Rank 5 (0.086)</w:t>
            </w:r>
          </w:p>
        </w:tc>
      </w:tr>
      <w:tr>
        <w:tc>
          <w:tcPr>
            <w:tcW w:w="500" w:type="dxa"/>
          </w:tcPr>
          <w:p>
            <w:pPr>
              <w:pStyle w:val="tablecopy"/>
            </w:pPr>
            <w:r>
              <w:t>7</w:t>
            </w:r>
          </w:p>
        </w:tc>
        <w:tc>
          <w:tcPr>
            <w:tcW w:w="1900" w:type="dxa"/>
          </w:tcPr>
          <w:p>
            <w:pPr>
              <w:pStyle w:val="tablecopy"/>
            </w:pPr>
            <w:r>
              <w:t>BB_Upper</w:t>
            </w:r>
          </w:p>
        </w:tc>
        <w:tc>
          <w:tcPr>
            <w:tcW w:w="1900" w:type="dxa"/>
          </w:tcPr>
          <w:p>
            <w:pPr>
              <w:pStyle w:val="tablecopy"/>
            </w:pPr>
            <w:r>
              <w:t>Volatility Band</w:t>
            </w:r>
          </w:p>
        </w:tc>
        <w:tc>
          <w:tcPr>
            <w:tcW w:w="4320" w:type="dxa"/>
          </w:tcPr>
          <w:p>
            <w:pPr>
              <w:pStyle w:val="tablecopy"/>
            </w:pPr>
            <w:r>
              <w:t>SMA20(Pt) + 2 × σ20</w:t>
            </w:r>
          </w:p>
        </w:tc>
        <w:tc>
          <w:tcPr>
            <w:tcW w:w="1500" w:type="dxa"/>
          </w:tcPr>
          <w:p>
            <w:pPr>
              <w:pStyle w:val="tablecopy"/>
            </w:pPr>
            <w:r>
              <w:t>Rank 6 (0.048)</w:t>
            </w:r>
          </w:p>
        </w:tc>
      </w:tr>
      <w:tr>
        <w:tc>
          <w:tcPr>
            <w:tcW w:w="500" w:type="dxa"/>
          </w:tcPr>
          <w:p>
            <w:pPr>
              <w:pStyle w:val="tablecopy"/>
            </w:pPr>
            <w:r>
              <w:t>8</w:t>
            </w:r>
          </w:p>
        </w:tc>
        <w:tc>
          <w:tcPr>
            <w:tcW w:w="1900" w:type="dxa"/>
          </w:tcPr>
          <w:p>
            <w:pPr>
              <w:pStyle w:val="tablecopy"/>
            </w:pPr>
            <w:r>
              <w:t>BB_Lower</w:t>
            </w:r>
          </w:p>
        </w:tc>
        <w:tc>
          <w:tcPr>
            <w:tcW w:w="1900" w:type="dxa"/>
          </w:tcPr>
          <w:p>
            <w:pPr>
              <w:pStyle w:val="tablecopy"/>
            </w:pPr>
            <w:r>
              <w:t>Volatility Band</w:t>
            </w:r>
          </w:p>
        </w:tc>
        <w:tc>
          <w:tcPr>
            <w:tcW w:w="4320" w:type="dxa"/>
          </w:tcPr>
          <w:p>
            <w:pPr>
              <w:pStyle w:val="tablecopy"/>
            </w:pPr>
            <w:r>
              <w:t>SMA20(Pt) − 2 × σ20</w:t>
            </w:r>
          </w:p>
        </w:tc>
        <w:tc>
          <w:tcPr>
            <w:tcW w:w="1500" w:type="dxa"/>
          </w:tcPr>
          <w:p>
            <w:pPr>
              <w:pStyle w:val="tablecopy"/>
            </w:pPr>
            <w:r>
              <w:t>Rank 7 (0.044)</w:t>
            </w:r>
          </w:p>
        </w:tc>
      </w:tr>
      <w:tr>
        <w:tc>
          <w:tcPr>
            <w:tcW w:w="500" w:type="dxa"/>
          </w:tcPr>
          <w:p>
            <w:pPr>
              <w:pStyle w:val="tablecopy"/>
            </w:pPr>
            <w:r>
              <w:t>9</w:t>
            </w:r>
          </w:p>
        </w:tc>
        <w:tc>
          <w:tcPr>
            <w:tcW w:w="1900" w:type="dxa"/>
          </w:tcPr>
          <w:p>
            <w:pPr>
              <w:pStyle w:val="tablecopy"/>
            </w:pPr>
            <w:r>
              <w:t>ROC (12)</w:t>
            </w:r>
          </w:p>
        </w:tc>
        <w:tc>
          <w:tcPr>
            <w:tcW w:w="1900" w:type="dxa"/>
          </w:tcPr>
          <w:p>
            <w:pPr>
              <w:pStyle w:val="tablecopy"/>
            </w:pPr>
            <w:r>
              <w:t>Rate of Change</w:t>
            </w:r>
          </w:p>
        </w:tc>
        <w:tc>
          <w:tcPr>
            <w:tcW w:w="4320" w:type="dxa"/>
          </w:tcPr>
          <w:p>
            <w:pPr>
              <w:pStyle w:val="tablecopy"/>
            </w:pPr>
            <w:r>
              <w:t>[(Pt − Pt-12) / Pt-12] × 100</w:t>
            </w:r>
          </w:p>
        </w:tc>
        <w:tc>
          <w:tcPr>
            <w:tcW w:w="1500" w:type="dxa"/>
          </w:tcPr>
          <w:p>
            <w:pPr>
              <w:pStyle w:val="tablecopy"/>
            </w:pPr>
            <w:r>
              <w:t>Rank 8 (0.032)</w:t>
            </w:r>
          </w:p>
        </w:tc>
      </w:tr>
      <w:tr>
        <w:tc>
          <w:tcPr>
            <w:tcW w:w="500" w:type="dxa"/>
          </w:tcPr>
          <w:p>
            <w:pPr>
              <w:pStyle w:val="tablecopy"/>
            </w:pPr>
            <w:r>
              <w:t>10</w:t>
            </w:r>
          </w:p>
        </w:tc>
        <w:tc>
          <w:tcPr>
            <w:tcW w:w="1900" w:type="dxa"/>
          </w:tcPr>
          <w:p>
            <w:pPr>
              <w:pStyle w:val="tablecopy"/>
            </w:pPr>
            <w:r>
              <w:t>EMA-20</w:t>
            </w:r>
          </w:p>
        </w:tc>
        <w:tc>
          <w:tcPr>
            <w:tcW w:w="1900" w:type="dxa"/>
          </w:tcPr>
          <w:p>
            <w:pPr>
              <w:pStyle w:val="tablecopy"/>
            </w:pPr>
            <w:r>
              <w:t>Responsive Trend</w:t>
            </w:r>
          </w:p>
        </w:tc>
        <w:tc>
          <w:tcPr>
            <w:tcW w:w="4320" w:type="dxa"/>
          </w:tcPr>
          <w:p>
            <w:pPr>
              <w:pStyle w:val="tablecopy"/>
            </w:pPr>
            <w:r>
              <w:t>α Pt + (1−α) EMA20,t-1 (α = 2/21)</w:t>
            </w:r>
          </w:p>
        </w:tc>
        <w:tc>
          <w:tcPr>
            <w:tcW w:w="1500" w:type="dxa"/>
          </w:tcPr>
          <w:p>
            <w:pPr>
              <w:pStyle w:val="tablecopy"/>
            </w:pPr>
            <w:r>
              <w:t>Rank 9 (0.028)</w:t>
            </w:r>
          </w:p>
        </w:tc>
      </w:tr>
      <w:tr>
        <w:tc>
          <w:tcPr>
            <w:tcW w:w="500" w:type="dxa"/>
          </w:tcPr>
          <w:p>
            <w:pPr>
              <w:pStyle w:val="tablecopy"/>
            </w:pPr>
            <w:r>
              <w:t>11</w:t>
            </w:r>
          </w:p>
        </w:tc>
        <w:tc>
          <w:tcPr>
            <w:tcW w:w="1900" w:type="dxa"/>
          </w:tcPr>
          <w:p>
            <w:pPr>
              <w:pStyle w:val="tablecopy"/>
            </w:pPr>
            <w:r>
              <w:t>SMA-50</w:t>
            </w:r>
          </w:p>
        </w:tc>
        <w:tc>
          <w:tcPr>
            <w:tcW w:w="1900" w:type="dxa"/>
          </w:tcPr>
          <w:p>
            <w:pPr>
              <w:pStyle w:val="tablecopy"/>
            </w:pPr>
            <w:r>
              <w:t>Medium Trend</w:t>
            </w:r>
          </w:p>
        </w:tc>
        <w:tc>
          <w:tcPr>
            <w:tcW w:w="4320" w:type="dxa"/>
          </w:tcPr>
          <w:p>
            <w:pPr>
              <w:pStyle w:val="tablecopy"/>
            </w:pPr>
            <w:r>
              <w:t>(1/50) Σ Pt-i over 50 hours</w:t>
            </w:r>
          </w:p>
        </w:tc>
        <w:tc>
          <w:tcPr>
            <w:tcW w:w="1500" w:type="dxa"/>
          </w:tcPr>
          <w:p>
            <w:pPr>
              <w:pStyle w:val="tablecopy"/>
            </w:pPr>
            <w:r>
              <w:t>Rank 10 (0.024)</w:t>
            </w:r>
          </w:p>
        </w:tc>
      </w:tr>
      <w:tr>
        <w:tc>
          <w:tcPr>
            <w:tcW w:w="500" w:type="dxa"/>
          </w:tcPr>
          <w:p>
            <w:pPr>
              <w:pStyle w:val="tablecopy"/>
            </w:pPr>
            <w:r>
              <w:t>12</w:t>
            </w:r>
          </w:p>
        </w:tc>
        <w:tc>
          <w:tcPr>
            <w:tcW w:w="1900" w:type="dxa"/>
          </w:tcPr>
          <w:p>
            <w:pPr>
              <w:pStyle w:val="tablecopy"/>
            </w:pPr>
            <w:r>
              <w:t>ATR (14)</w:t>
            </w:r>
          </w:p>
        </w:tc>
        <w:tc>
          <w:tcPr>
            <w:tcW w:w="1900" w:type="dxa"/>
          </w:tcPr>
          <w:p>
            <w:pPr>
              <w:pStyle w:val="tablecopy"/>
            </w:pPr>
            <w:r>
              <w:t>Range Volatility</w:t>
            </w:r>
          </w:p>
        </w:tc>
        <w:tc>
          <w:tcPr>
            <w:tcW w:w="4320" w:type="dxa"/>
          </w:tcPr>
          <w:p>
            <w:pPr>
              <w:pStyle w:val="tablecopy"/>
            </w:pPr>
            <w:r>
              <w:t>(1/14) Σ TrueRange14 over 14 hours</w:t>
            </w:r>
          </w:p>
        </w:tc>
        <w:tc>
          <w:tcPr>
            <w:tcW w:w="1500" w:type="dxa"/>
          </w:tcPr>
          <w:p>
            <w:pPr>
              <w:pStyle w:val="tablecopy"/>
            </w:pPr>
            <w:r>
              <w:t>Rank 11 (0.019)</w:t>
            </w:r>
          </w:p>
        </w:tc>
      </w:tr>
      <w:tr>
        <w:tc>
          <w:tcPr>
            <w:tcW w:w="500" w:type="dxa"/>
          </w:tcPr>
          <w:p>
            <w:pPr>
              <w:pStyle w:val="tablecopy"/>
            </w:pPr>
            <w:r>
              <w:t>13</w:t>
            </w:r>
          </w:p>
        </w:tc>
        <w:tc>
          <w:tcPr>
            <w:tcW w:w="1900" w:type="dxa"/>
          </w:tcPr>
          <w:p>
            <w:pPr>
              <w:pStyle w:val="tablecopy"/>
            </w:pPr>
            <w:r>
              <w:t>Stochastic %K</w:t>
            </w:r>
          </w:p>
        </w:tc>
        <w:tc>
          <w:tcPr>
            <w:tcW w:w="1900" w:type="dxa"/>
          </w:tcPr>
          <w:p>
            <w:pPr>
              <w:pStyle w:val="tablecopy"/>
            </w:pPr>
            <w:r>
              <w:t>Range Position</w:t>
            </w:r>
          </w:p>
        </w:tc>
        <w:tc>
          <w:tcPr>
            <w:tcW w:w="4320" w:type="dxa"/>
          </w:tcPr>
          <w:p>
            <w:pPr>
              <w:pStyle w:val="tablecopy"/>
            </w:pPr>
            <w:r>
              <w:t>[(Ct − L14) / (H14 − L14)] × 100</w:t>
            </w:r>
          </w:p>
        </w:tc>
        <w:tc>
          <w:tcPr>
            <w:tcW w:w="1500" w:type="dxa"/>
          </w:tcPr>
          <w:p>
            <w:pPr>
              <w:pStyle w:val="tablecopy"/>
            </w:pPr>
            <w:r>
              <w:t>Rank 12 (0.015)</w:t>
            </w:r>
          </w:p>
        </w:tc>
      </w:tr>
      <w:tr>
        <w:tc>
          <w:tcPr>
            <w:tcW w:w="500" w:type="dxa"/>
          </w:tcPr>
          <w:p>
            <w:pPr>
              <w:pStyle w:val="tablecopy"/>
            </w:pPr>
            <w:r>
              <w:t>14</w:t>
            </w:r>
          </w:p>
        </w:tc>
        <w:tc>
          <w:tcPr>
            <w:tcW w:w="1900" w:type="dxa"/>
          </w:tcPr>
          <w:p>
            <w:pPr>
              <w:pStyle w:val="tablecopy"/>
            </w:pPr>
            <w:r>
              <w:t>CCI (20)</w:t>
            </w:r>
          </w:p>
        </w:tc>
        <w:tc>
          <w:tcPr>
            <w:tcW w:w="1900" w:type="dxa"/>
          </w:tcPr>
          <w:p>
            <w:pPr>
              <w:pStyle w:val="tablecopy"/>
            </w:pPr>
            <w:r>
              <w:t>Cyclical Oscillator</w:t>
            </w:r>
          </w:p>
        </w:tc>
        <w:tc>
          <w:tcPr>
            <w:tcW w:w="4320" w:type="dxa"/>
          </w:tcPr>
          <w:p>
            <w:pPr>
              <w:pStyle w:val="tablecopy"/>
            </w:pPr>
            <w:r>
              <w:t>(TPt − SMA20(TP)) / (0.015 × MD20)</w:t>
            </w:r>
          </w:p>
        </w:tc>
        <w:tc>
          <w:tcPr>
            <w:tcW w:w="1500" w:type="dxa"/>
          </w:tcPr>
          <w:p>
            <w:pPr>
              <w:pStyle w:val="tablecopy"/>
            </w:pPr>
            <w:r>
              <w:t>Rank 13 (0.012)</w:t>
            </w:r>
          </w:p>
        </w:tc>
      </w:tr>
      <w:tr>
        <w:tc>
          <w:tcPr>
            <w:tcW w:w="500" w:type="dxa"/>
          </w:tcPr>
          <w:p>
            <w:pPr>
              <w:pStyle w:val="tablecopy"/>
            </w:pPr>
            <w:r>
              <w:t>15</w:t>
            </w:r>
          </w:p>
        </w:tc>
        <w:tc>
          <w:tcPr>
            <w:tcW w:w="1900" w:type="dxa"/>
          </w:tcPr>
          <w:p>
            <w:pPr>
              <w:pStyle w:val="tablecopy"/>
            </w:pPr>
            <w:r>
              <w:t>Stochastic %D</w:t>
            </w:r>
          </w:p>
        </w:tc>
        <w:tc>
          <w:tcPr>
            <w:tcW w:w="1900" w:type="dxa"/>
          </w:tcPr>
          <w:p>
            <w:pPr>
              <w:pStyle w:val="tablecopy"/>
            </w:pPr>
            <w:r>
              <w:t>Signal Smoothing</w:t>
            </w:r>
          </w:p>
        </w:tc>
        <w:tc>
          <w:tcPr>
            <w:tcW w:w="4320" w:type="dxa"/>
          </w:tcPr>
          <w:p>
            <w:pPr>
              <w:pStyle w:val="tablecopy"/>
            </w:pPr>
            <w:r>
              <w:t>SMA3(Stochastic %K)</w:t>
            </w:r>
          </w:p>
        </w:tc>
        <w:tc>
          <w:tcPr>
            <w:tcW w:w="1500" w:type="dxa"/>
          </w:tcPr>
          <w:p>
            <w:pPr>
              <w:pStyle w:val="tablecopy"/>
            </w:pPr>
            <w:r>
              <w:t>Rank 14 (0.010)</w:t>
            </w:r>
          </w:p>
        </w:tc>
      </w:tr>
    </w:tbl>
    <w:p>
      <w:pPr>
        <w:spacing w:before="0" w:after="0" w:line="20" w:lineRule="exact"/>
        <w:sectPr>
          <w:type w:val="continuous"/>
          <w:pgSz w:w="11906" w:h="16838"/>
          <w:pgMar w:top="540" w:right="893" w:bottom="1440" w:left="893" w:header="0" w:footer="720" w:gutter="0"/>
          <w:cols w:num="1" w:space="720"/>
        </w:sectPr>
      </w:pPr>
    </w:p>
    <w:p w14:paraId="18CAFA20" w14:textId="77777777" w:rsidR="008A78AA" w:rsidRDefault="00000000">
      <w:pPr>
        <w:pStyle w:val="BodyText"/>
      </w:pPr>
      <w:r>
        <w:t>Within each sliding window, rolling standard deviation σt quantified short-term regime volatility, serving as a primary state indicator:</w:t>
      </w:r>
    </w:p>
    <w:p w14:paraId="3DEA4B55" w14:textId="77777777" w:rsidR="008A78AA" w:rsidRDefault="00CF5423">
      <w:pPr>
        <w:pStyle w:val="equation"/>
      </w:pPr>
      <w:r>
        <w:tab/>
        <w:t>σt = √[ (1/n) × Σi=0n−1 (Pt−i − P̄)² ]</w:t>
        <w:tab/>
        <w:t>(3)</w:t>
      </w:r>
    </w:p>
    <w:p w14:paraId="6058CE13" w14:textId="77777777" w:rsidR="008A78AA" w:rsidRDefault="00000000">
      <w:pPr>
        <w:pStyle w:val="Heading2"/>
      </w:pPr>
      <w:r>
        <w:t>Chronological Walk-Forward Validation and Hyperparameter Optimization</w:t>
      </w:r>
    </w:p>
    <w:p>
      <w:pPr>
        <w:spacing w:before="0" w:after="0" w:line="20" w:lineRule="exact"/>
        <w:sectPr>
          <w:type w:val="continuous"/>
          <w:pgSz w:w="11906" w:h="16838"/>
          <w:pgMar w:top="540" w:right="893" w:bottom="1440" w:left="893" w:header="0" w:footer="720" w:gutter="0"/>
          <w:cols w:num="2" w:space="360"/>
        </w:sectPr>
      </w:pPr>
    </w:p>
    <w:p w14:paraId="49E692B5" w14:textId="77777777" w:rsidR="008A78AA" w:rsidRDefault="00000000">
      <w:pPr>
        <w:pStyle w:val="BodyText"/>
      </w:pPr>
      <w:r>
        <w:t>Model evaluation followed a strictly chronological 24-fold Walk-Forward Validation scheme spanning the 43,824-hour corpus. The 24 folds encompass 4,032 out-of-sample test hours (~9.20% of the 5-year dataset), structured as regime-targeted periodic evaluation windows scheduled across March 2021 to March 2026 (Table II). Inter-fold spacing ranges from 58 to 90 days to align test windows with salient market regimes—including parabolic bull expansions (Fold 7, 13, 15, 20), severe bear contractions (Fold 1, 3, 4, 9, 10, 11, 16, 17, 22, 24), acute liquidity cascades (specifically Fold 6, capturing the Terra-Luna collapse of May 7–14, 2022, realizing a −16.4% drawdown), and prolonged sideways consolidations (Fold 5, 8, 12, 14, 18, 19, 21, 23). For each fold, the predictive horizon is formulated as a recursive 1-hour-ahead rolling forecast (h = 1 hour, predicting Pt+1 given lookback T = 24 hours of technical features) evaluated across the 168-hour (7-day) test window. Within each 720-hour (30-day) training block, an inner chronological split reserves the first 576 hours (80%) for training and the final 144 hours (20%) for validation (early stopping patience = 10 epochs), ensuring zero forward-looking leakage (Ttrain → Tval → Ttest).</w:t>
      </w:r>
    </w:p>
    <w:p>
      <w:pPr>
        <w:pStyle w:val="tablehead"/>
      </w:pPr>
      <w:r>
        <w:t>CHRONOLOGICAL 24-FOLD WALK-FORWARD EVALUATION SCHEDULE &amp; REALIZED MARKET REGIMES (LAYER 3)</w:t>
      </w:r>
    </w:p>
    <w:tbl>
      <w:tblPr>
        <w:tblW w:w="10120" w:type="dxa"/>
        <w:tblLayout w:type="fixed"/>
        <w:tblLook w:firstColumn="1" w:firstRow="1" w:lastColumn="0" w:lastRow="0" w:noHBand="0" w:noVBand="1" w:val="04A0"/>
      </w:tblPr>
      <w:tblGrid>
        <w:gridCol w:w="800"/>
        <w:gridCol w:w="1400"/>
        <w:gridCol w:w="1400"/>
        <w:gridCol w:w="1400"/>
        <w:gridCol w:w="1400"/>
        <w:gridCol w:w="1200"/>
        <w:gridCol w:w="2520"/>
      </w:tblGrid>
      <w:tr>
        <w:tc>
          <w:tcPr>
            <w:tcW w:w="800" w:type="dxa"/>
          </w:tcPr>
          <w:p>
            <w:pPr>
              <w:pStyle w:val="tablecolhead"/>
            </w:pPr>
            <w:r>
              <w:t>Fold</w:t>
            </w:r>
          </w:p>
        </w:tc>
        <w:tc>
          <w:tcPr>
            <w:tcW w:w="1400" w:type="dxa"/>
          </w:tcPr>
          <w:p>
            <w:pPr>
              <w:pStyle w:val="tablecolhead"/>
            </w:pPr>
            <w:r>
              <w:t>Test Start</w:t>
            </w:r>
          </w:p>
        </w:tc>
        <w:tc>
          <w:tcPr>
            <w:tcW w:w="1400" w:type="dxa"/>
          </w:tcPr>
          <w:p>
            <w:pPr>
              <w:pStyle w:val="tablecolhead"/>
            </w:pPr>
            <w:r>
              <w:t>Test End</w:t>
            </w:r>
          </w:p>
        </w:tc>
        <w:tc>
          <w:tcPr>
            <w:tcW w:w="1400" w:type="dxa"/>
          </w:tcPr>
          <w:p>
            <w:pPr>
              <w:pStyle w:val="tablecolhead"/>
            </w:pPr>
            <w:r>
              <w:t>Start Price</w:t>
            </w:r>
          </w:p>
        </w:tc>
        <w:tc>
          <w:tcPr>
            <w:tcW w:w="1400" w:type="dxa"/>
          </w:tcPr>
          <w:p>
            <w:pPr>
              <w:pStyle w:val="tablecolhead"/>
            </w:pPr>
            <w:r>
              <w:t>End Price</w:t>
            </w:r>
          </w:p>
        </w:tc>
        <w:tc>
          <w:tcPr>
            <w:tcW w:w="1200" w:type="dxa"/>
          </w:tcPr>
          <w:p>
            <w:pPr>
              <w:pStyle w:val="tablecolhead"/>
            </w:pPr>
            <w:r>
              <w:t>Return</w:t>
            </w:r>
          </w:p>
        </w:tc>
        <w:tc>
          <w:tcPr>
            <w:tcW w:w="2520" w:type="dxa"/>
          </w:tcPr>
          <w:p>
            <w:pPr>
              <w:pStyle w:val="tablecolhead"/>
            </w:pPr>
            <w:r>
              <w:t>Realized Market Regime</w:t>
            </w:r>
          </w:p>
        </w:tc>
      </w:tr>
      <w:tr>
        <w:tc>
          <w:tcPr>
            <w:tcW w:w="800" w:type="dxa"/>
          </w:tcPr>
          <w:p>
            <w:pPr>
              <w:pStyle w:val="tablecopy"/>
            </w:pPr>
            <w:r>
              <w:t>1</w:t>
            </w:r>
          </w:p>
        </w:tc>
        <w:tc>
          <w:tcPr>
            <w:tcW w:w="1400" w:type="dxa"/>
          </w:tcPr>
          <w:p>
            <w:pPr>
              <w:pStyle w:val="tablecopy"/>
            </w:pPr>
            <w:r>
              <w:t>2021-03-31</w:t>
            </w:r>
          </w:p>
        </w:tc>
        <w:tc>
          <w:tcPr>
            <w:tcW w:w="1400" w:type="dxa"/>
          </w:tcPr>
          <w:p>
            <w:pPr>
              <w:pStyle w:val="tablecopy"/>
            </w:pPr>
            <w:r>
              <w:t>2021-04-07</w:t>
            </w:r>
          </w:p>
        </w:tc>
        <w:tc>
          <w:tcPr>
            <w:tcW w:w="1400" w:type="dxa"/>
          </w:tcPr>
          <w:p>
            <w:pPr>
              <w:pStyle w:val="tablecopy"/>
            </w:pPr>
            <w:r>
              <w:t>$59,299</w:t>
            </w:r>
          </w:p>
        </w:tc>
        <w:tc>
          <w:tcPr>
            <w:tcW w:w="1400" w:type="dxa"/>
          </w:tcPr>
          <w:p>
            <w:pPr>
              <w:pStyle w:val="tablecopy"/>
            </w:pPr>
            <w:r>
              <w:t>$56,051</w:t>
            </w:r>
          </w:p>
        </w:tc>
        <w:tc>
          <w:tcPr>
            <w:tcW w:w="1200" w:type="dxa"/>
          </w:tcPr>
          <w:p>
            <w:pPr>
              <w:pStyle w:val="tablecopy"/>
            </w:pPr>
            <w:r>
              <w:t>-5.5%</w:t>
            </w:r>
          </w:p>
        </w:tc>
        <w:tc>
          <w:tcPr>
            <w:tcW w:w="2520" w:type="dxa"/>
          </w:tcPr>
          <w:p>
            <w:pPr>
              <w:pStyle w:val="tablecopy"/>
            </w:pPr>
            <w:r>
              <w:t>Bear (Contraction)</w:t>
            </w:r>
          </w:p>
        </w:tc>
      </w:tr>
      <w:tr>
        <w:tc>
          <w:tcPr>
            <w:tcW w:w="800" w:type="dxa"/>
          </w:tcPr>
          <w:p>
            <w:pPr>
              <w:pStyle w:val="tablecopy"/>
            </w:pPr>
            <w:r>
              <w:t>2</w:t>
            </w:r>
          </w:p>
        </w:tc>
        <w:tc>
          <w:tcPr>
            <w:tcW w:w="1400" w:type="dxa"/>
          </w:tcPr>
          <w:p>
            <w:pPr>
              <w:pStyle w:val="tablecopy"/>
            </w:pPr>
            <w:r>
              <w:t>2021-06-17</w:t>
            </w:r>
          </w:p>
        </w:tc>
        <w:tc>
          <w:tcPr>
            <w:tcW w:w="1400" w:type="dxa"/>
          </w:tcPr>
          <w:p>
            <w:pPr>
              <w:pStyle w:val="tablecopy"/>
            </w:pPr>
            <w:r>
              <w:t>2021-06-24</w:t>
            </w:r>
          </w:p>
        </w:tc>
        <w:tc>
          <w:tcPr>
            <w:tcW w:w="1400" w:type="dxa"/>
          </w:tcPr>
          <w:p>
            <w:pPr>
              <w:pStyle w:val="tablecopy"/>
            </w:pPr>
            <w:r>
              <w:t>$38,509</w:t>
            </w:r>
          </w:p>
        </w:tc>
        <w:tc>
          <w:tcPr>
            <w:tcW w:w="1400" w:type="dxa"/>
          </w:tcPr>
          <w:p>
            <w:pPr>
              <w:pStyle w:val="tablecopy"/>
            </w:pPr>
            <w:r>
              <w:t>$33,887</w:t>
            </w:r>
          </w:p>
        </w:tc>
        <w:tc>
          <w:tcPr>
            <w:tcW w:w="1200" w:type="dxa"/>
          </w:tcPr>
          <w:p>
            <w:pPr>
              <w:pStyle w:val="tablecopy"/>
            </w:pPr>
            <w:r>
              <w:t>-12.0%</w:t>
            </w:r>
          </w:p>
        </w:tc>
        <w:tc>
          <w:tcPr>
            <w:tcW w:w="2520" w:type="dxa"/>
          </w:tcPr>
          <w:p>
            <w:pPr>
              <w:pStyle w:val="tablecopy"/>
            </w:pPr>
            <w:r>
              <w:t>Flash Crash / Liquidity Shock</w:t>
            </w:r>
          </w:p>
        </w:tc>
      </w:tr>
      <w:tr>
        <w:tc>
          <w:tcPr>
            <w:tcW w:w="800" w:type="dxa"/>
          </w:tcPr>
          <w:p>
            <w:pPr>
              <w:pStyle w:val="tablecopy"/>
            </w:pPr>
            <w:r>
              <w:t>3</w:t>
            </w:r>
          </w:p>
        </w:tc>
        <w:tc>
          <w:tcPr>
            <w:tcW w:w="1400" w:type="dxa"/>
          </w:tcPr>
          <w:p>
            <w:pPr>
              <w:pStyle w:val="tablecopy"/>
            </w:pPr>
            <w:r>
              <w:t>2021-09-03</w:t>
            </w:r>
          </w:p>
        </w:tc>
        <w:tc>
          <w:tcPr>
            <w:tcW w:w="1400" w:type="dxa"/>
          </w:tcPr>
          <w:p>
            <w:pPr>
              <w:pStyle w:val="tablecopy"/>
            </w:pPr>
            <w:r>
              <w:t>2021-09-10</w:t>
            </w:r>
          </w:p>
        </w:tc>
        <w:tc>
          <w:tcPr>
            <w:tcW w:w="1400" w:type="dxa"/>
          </w:tcPr>
          <w:p>
            <w:pPr>
              <w:pStyle w:val="tablecopy"/>
            </w:pPr>
            <w:r>
              <w:t>$50,713</w:t>
            </w:r>
          </w:p>
        </w:tc>
        <w:tc>
          <w:tcPr>
            <w:tcW w:w="1400" w:type="dxa"/>
          </w:tcPr>
          <w:p>
            <w:pPr>
              <w:pStyle w:val="tablecopy"/>
            </w:pPr>
            <w:r>
              <w:t>$45,915</w:t>
            </w:r>
          </w:p>
        </w:tc>
        <w:tc>
          <w:tcPr>
            <w:tcW w:w="1200" w:type="dxa"/>
          </w:tcPr>
          <w:p>
            <w:pPr>
              <w:pStyle w:val="tablecopy"/>
            </w:pPr>
            <w:r>
              <w:t>-9.5%</w:t>
            </w:r>
          </w:p>
        </w:tc>
        <w:tc>
          <w:tcPr>
            <w:tcW w:w="2520" w:type="dxa"/>
          </w:tcPr>
          <w:p>
            <w:pPr>
              <w:pStyle w:val="tablecopy"/>
            </w:pPr>
            <w:r>
              <w:t>Bear (Contraction)</w:t>
            </w:r>
          </w:p>
        </w:tc>
      </w:tr>
      <w:tr>
        <w:tc>
          <w:tcPr>
            <w:tcW w:w="800" w:type="dxa"/>
          </w:tcPr>
          <w:p>
            <w:pPr>
              <w:pStyle w:val="tablecopy"/>
            </w:pPr>
            <w:r>
              <w:t>4</w:t>
            </w:r>
          </w:p>
        </w:tc>
        <w:tc>
          <w:tcPr>
            <w:tcW w:w="1400" w:type="dxa"/>
          </w:tcPr>
          <w:p>
            <w:pPr>
              <w:pStyle w:val="tablecopy"/>
            </w:pPr>
            <w:r>
              <w:t>2021-11-20</w:t>
            </w:r>
          </w:p>
        </w:tc>
        <w:tc>
          <w:tcPr>
            <w:tcW w:w="1400" w:type="dxa"/>
          </w:tcPr>
          <w:p>
            <w:pPr>
              <w:pStyle w:val="tablecopy"/>
            </w:pPr>
            <w:r>
              <w:t>2021-11-27</w:t>
            </w:r>
          </w:p>
        </w:tc>
        <w:tc>
          <w:tcPr>
            <w:tcW w:w="1400" w:type="dxa"/>
          </w:tcPr>
          <w:p>
            <w:pPr>
              <w:pStyle w:val="tablecopy"/>
            </w:pPr>
            <w:r>
              <w:t>$58,462</w:t>
            </w:r>
          </w:p>
        </w:tc>
        <w:tc>
          <w:tcPr>
            <w:tcW w:w="1400" w:type="dxa"/>
          </w:tcPr>
          <w:p>
            <w:pPr>
              <w:pStyle w:val="tablecopy"/>
            </w:pPr>
            <w:r>
              <w:t>$54,395</w:t>
            </w:r>
          </w:p>
        </w:tc>
        <w:tc>
          <w:tcPr>
            <w:tcW w:w="1200" w:type="dxa"/>
          </w:tcPr>
          <w:p>
            <w:pPr>
              <w:pStyle w:val="tablecopy"/>
            </w:pPr>
            <w:r>
              <w:t>-7.0%</w:t>
            </w:r>
          </w:p>
        </w:tc>
        <w:tc>
          <w:tcPr>
            <w:tcW w:w="2520" w:type="dxa"/>
          </w:tcPr>
          <w:p>
            <w:pPr>
              <w:pStyle w:val="tablecopy"/>
            </w:pPr>
            <w:r>
              <w:t>Bear (Contraction)</w:t>
            </w:r>
          </w:p>
        </w:tc>
      </w:tr>
      <w:tr>
        <w:tc>
          <w:tcPr>
            <w:tcW w:w="800" w:type="dxa"/>
          </w:tcPr>
          <w:p>
            <w:pPr>
              <w:pStyle w:val="tablecopy"/>
            </w:pPr>
            <w:r>
              <w:t>5</w:t>
            </w:r>
          </w:p>
        </w:tc>
        <w:tc>
          <w:tcPr>
            <w:tcW w:w="1400" w:type="dxa"/>
          </w:tcPr>
          <w:p>
            <w:pPr>
              <w:pStyle w:val="tablecopy"/>
            </w:pPr>
            <w:r>
              <w:t>2022-02-06</w:t>
            </w:r>
          </w:p>
        </w:tc>
        <w:tc>
          <w:tcPr>
            <w:tcW w:w="1400" w:type="dxa"/>
          </w:tcPr>
          <w:p>
            <w:pPr>
              <w:pStyle w:val="tablecopy"/>
            </w:pPr>
            <w:r>
              <w:t>2022-02-13</w:t>
            </w:r>
          </w:p>
        </w:tc>
        <w:tc>
          <w:tcPr>
            <w:tcW w:w="1400" w:type="dxa"/>
          </w:tcPr>
          <w:p>
            <w:pPr>
              <w:pStyle w:val="tablecopy"/>
            </w:pPr>
            <w:r>
              <w:t>$41,606</w:t>
            </w:r>
          </w:p>
        </w:tc>
        <w:tc>
          <w:tcPr>
            <w:tcW w:w="1400" w:type="dxa"/>
          </w:tcPr>
          <w:p>
            <w:pPr>
              <w:pStyle w:val="tablecopy"/>
            </w:pPr>
            <w:r>
              <w:t>$42,391</w:t>
            </w:r>
          </w:p>
        </w:tc>
        <w:tc>
          <w:tcPr>
            <w:tcW w:w="1200" w:type="dxa"/>
          </w:tcPr>
          <w:p>
            <w:pPr>
              <w:pStyle w:val="tablecopy"/>
            </w:pPr>
            <w:r>
              <w:t>+1.9%</w:t>
            </w:r>
          </w:p>
        </w:tc>
        <w:tc>
          <w:tcPr>
            <w:tcW w:w="2520" w:type="dxa"/>
          </w:tcPr>
          <w:p>
            <w:pPr>
              <w:pStyle w:val="tablecopy"/>
            </w:pPr>
            <w:r>
              <w:t>Consolidation (Sideways)</w:t>
            </w:r>
          </w:p>
        </w:tc>
      </w:tr>
      <w:tr>
        <w:tc>
          <w:tcPr>
            <w:tcW w:w="800" w:type="dxa"/>
          </w:tcPr>
          <w:p>
            <w:pPr>
              <w:pStyle w:val="tablecopy"/>
            </w:pPr>
            <w:r>
              <w:t>6</w:t>
            </w:r>
          </w:p>
        </w:tc>
        <w:tc>
          <w:tcPr>
            <w:tcW w:w="1400" w:type="dxa"/>
          </w:tcPr>
          <w:p>
            <w:pPr>
              <w:pStyle w:val="tablecopy"/>
            </w:pPr>
            <w:r>
              <w:t>2022-05-07</w:t>
            </w:r>
          </w:p>
        </w:tc>
        <w:tc>
          <w:tcPr>
            <w:tcW w:w="1400" w:type="dxa"/>
          </w:tcPr>
          <w:p>
            <w:pPr>
              <w:pStyle w:val="tablecopy"/>
            </w:pPr>
            <w:r>
              <w:t>2022-05-14</w:t>
            </w:r>
          </w:p>
        </w:tc>
        <w:tc>
          <w:tcPr>
            <w:tcW w:w="1400" w:type="dxa"/>
          </w:tcPr>
          <w:p>
            <w:pPr>
              <w:pStyle w:val="tablecopy"/>
            </w:pPr>
            <w:r>
              <w:t>$35,996</w:t>
            </w:r>
          </w:p>
        </w:tc>
        <w:tc>
          <w:tcPr>
            <w:tcW w:w="1400" w:type="dxa"/>
          </w:tcPr>
          <w:p>
            <w:pPr>
              <w:pStyle w:val="tablecopy"/>
            </w:pPr>
            <w:r>
              <w:t>$30,087</w:t>
            </w:r>
          </w:p>
        </w:tc>
        <w:tc>
          <w:tcPr>
            <w:tcW w:w="1200" w:type="dxa"/>
          </w:tcPr>
          <w:p>
            <w:pPr>
              <w:pStyle w:val="tablecopy"/>
            </w:pPr>
            <w:r>
              <w:t>-16.4%</w:t>
            </w:r>
          </w:p>
        </w:tc>
        <w:tc>
          <w:tcPr>
            <w:tcW w:w="2520" w:type="dxa"/>
          </w:tcPr>
          <w:p>
            <w:pPr>
              <w:pStyle w:val="tablecopy"/>
            </w:pPr>
            <w:r>
              <w:t>Systemic Liquidity Shock (Terra-Luna Collapse)</w:t>
            </w:r>
          </w:p>
        </w:tc>
      </w:tr>
      <w:tr>
        <w:tc>
          <w:tcPr>
            <w:tcW w:w="800" w:type="dxa"/>
          </w:tcPr>
          <w:p>
            <w:pPr>
              <w:pStyle w:val="tablecopy"/>
            </w:pPr>
            <w:r>
              <w:t>7</w:t>
            </w:r>
          </w:p>
        </w:tc>
        <w:tc>
          <w:tcPr>
            <w:tcW w:w="1400" w:type="dxa"/>
          </w:tcPr>
          <w:p>
            <w:pPr>
              <w:pStyle w:val="tablecopy"/>
            </w:pPr>
            <w:r>
              <w:t>2022-07-11</w:t>
            </w:r>
          </w:p>
        </w:tc>
        <w:tc>
          <w:tcPr>
            <w:tcW w:w="1400" w:type="dxa"/>
          </w:tcPr>
          <w:p>
            <w:pPr>
              <w:pStyle w:val="tablecopy"/>
            </w:pPr>
            <w:r>
              <w:t>2022-07-18</w:t>
            </w:r>
          </w:p>
        </w:tc>
        <w:tc>
          <w:tcPr>
            <w:tcW w:w="1400" w:type="dxa"/>
          </w:tcPr>
          <w:p>
            <w:pPr>
              <w:pStyle w:val="tablecopy"/>
            </w:pPr>
            <w:r>
              <w:t>$20,473</w:t>
            </w:r>
          </w:p>
        </w:tc>
        <w:tc>
          <w:tcPr>
            <w:tcW w:w="1400" w:type="dxa"/>
          </w:tcPr>
          <w:p>
            <w:pPr>
              <w:pStyle w:val="tablecopy"/>
            </w:pPr>
            <w:r>
              <w:t>$22,200</w:t>
            </w:r>
          </w:p>
        </w:tc>
        <w:tc>
          <w:tcPr>
            <w:tcW w:w="1200" w:type="dxa"/>
          </w:tcPr>
          <w:p>
            <w:pPr>
              <w:pStyle w:val="tablecopy"/>
            </w:pPr>
            <w:r>
              <w:t>+8.4%</w:t>
            </w:r>
          </w:p>
        </w:tc>
        <w:tc>
          <w:tcPr>
            <w:tcW w:w="2520" w:type="dxa"/>
          </w:tcPr>
          <w:p>
            <w:pPr>
              <w:pStyle w:val="tablecopy"/>
            </w:pPr>
            <w:r>
              <w:t>Bull (Expansion)</w:t>
            </w:r>
          </w:p>
        </w:tc>
      </w:tr>
      <w:tr>
        <w:tc>
          <w:tcPr>
            <w:tcW w:w="800" w:type="dxa"/>
          </w:tcPr>
          <w:p>
            <w:pPr>
              <w:pStyle w:val="tablecopy"/>
            </w:pPr>
            <w:r>
              <w:t>8</w:t>
            </w:r>
          </w:p>
        </w:tc>
        <w:tc>
          <w:tcPr>
            <w:tcW w:w="1400" w:type="dxa"/>
          </w:tcPr>
          <w:p>
            <w:pPr>
              <w:pStyle w:val="tablecopy"/>
            </w:pPr>
            <w:r>
              <w:t>2022-09-27</w:t>
            </w:r>
          </w:p>
        </w:tc>
        <w:tc>
          <w:tcPr>
            <w:tcW w:w="1400" w:type="dxa"/>
          </w:tcPr>
          <w:p>
            <w:pPr>
              <w:pStyle w:val="tablecopy"/>
            </w:pPr>
            <w:r>
              <w:t>2022-10-04</w:t>
            </w:r>
          </w:p>
        </w:tc>
        <w:tc>
          <w:tcPr>
            <w:tcW w:w="1400" w:type="dxa"/>
          </w:tcPr>
          <w:p>
            <w:pPr>
              <w:pStyle w:val="tablecopy"/>
            </w:pPr>
            <w:r>
              <w:t>$20,047</w:t>
            </w:r>
          </w:p>
        </w:tc>
        <w:tc>
          <w:tcPr>
            <w:tcW w:w="1400" w:type="dxa"/>
          </w:tcPr>
          <w:p>
            <w:pPr>
              <w:pStyle w:val="tablecopy"/>
            </w:pPr>
            <w:r>
              <w:t>$19,598</w:t>
            </w:r>
          </w:p>
        </w:tc>
        <w:tc>
          <w:tcPr>
            <w:tcW w:w="1200" w:type="dxa"/>
          </w:tcPr>
          <w:p>
            <w:pPr>
              <w:pStyle w:val="tablecopy"/>
            </w:pPr>
            <w:r>
              <w:t>-2.2%</w:t>
            </w:r>
          </w:p>
        </w:tc>
        <w:tc>
          <w:tcPr>
            <w:tcW w:w="2520" w:type="dxa"/>
          </w:tcPr>
          <w:p>
            <w:pPr>
              <w:pStyle w:val="tablecopy"/>
            </w:pPr>
            <w:r>
              <w:t>Consolidation (Sideways)</w:t>
            </w:r>
          </w:p>
        </w:tc>
      </w:tr>
      <w:tr>
        <w:tc>
          <w:tcPr>
            <w:tcW w:w="800" w:type="dxa"/>
          </w:tcPr>
          <w:p>
            <w:pPr>
              <w:pStyle w:val="tablecopy"/>
            </w:pPr>
            <w:r>
              <w:t>9</w:t>
            </w:r>
          </w:p>
        </w:tc>
        <w:tc>
          <w:tcPr>
            <w:tcW w:w="1400" w:type="dxa"/>
          </w:tcPr>
          <w:p>
            <w:pPr>
              <w:pStyle w:val="tablecopy"/>
            </w:pPr>
            <w:r>
              <w:t>2022-12-13</w:t>
            </w:r>
          </w:p>
        </w:tc>
        <w:tc>
          <w:tcPr>
            <w:tcW w:w="1400" w:type="dxa"/>
          </w:tcPr>
          <w:p>
            <w:pPr>
              <w:pStyle w:val="tablecopy"/>
            </w:pPr>
            <w:r>
              <w:t>2022-12-20</w:t>
            </w:r>
          </w:p>
        </w:tc>
        <w:tc>
          <w:tcPr>
            <w:tcW w:w="1400" w:type="dxa"/>
          </w:tcPr>
          <w:p>
            <w:pPr>
              <w:pStyle w:val="tablecopy"/>
            </w:pPr>
            <w:r>
              <w:t>$17,768</w:t>
            </w:r>
          </w:p>
        </w:tc>
        <w:tc>
          <w:tcPr>
            <w:tcW w:w="1400" w:type="dxa"/>
          </w:tcPr>
          <w:p>
            <w:pPr>
              <w:pStyle w:val="tablecopy"/>
            </w:pPr>
            <w:r>
              <w:t>$16,859</w:t>
            </w:r>
          </w:p>
        </w:tc>
        <w:tc>
          <w:tcPr>
            <w:tcW w:w="1200" w:type="dxa"/>
          </w:tcPr>
          <w:p>
            <w:pPr>
              <w:pStyle w:val="tablecopy"/>
            </w:pPr>
            <w:r>
              <w:t>-5.1%</w:t>
            </w:r>
          </w:p>
        </w:tc>
        <w:tc>
          <w:tcPr>
            <w:tcW w:w="2520" w:type="dxa"/>
          </w:tcPr>
          <w:p>
            <w:pPr>
              <w:pStyle w:val="tablecopy"/>
            </w:pPr>
            <w:r>
              <w:t>Bear (Post-FTX Contraction)</w:t>
            </w:r>
          </w:p>
        </w:tc>
      </w:tr>
      <w:tr>
        <w:tc>
          <w:tcPr>
            <w:tcW w:w="800" w:type="dxa"/>
          </w:tcPr>
          <w:p>
            <w:pPr>
              <w:pStyle w:val="tablecopy"/>
            </w:pPr>
            <w:r>
              <w:t>10</w:t>
            </w:r>
          </w:p>
        </w:tc>
        <w:tc>
          <w:tcPr>
            <w:tcW w:w="1400" w:type="dxa"/>
          </w:tcPr>
          <w:p>
            <w:pPr>
              <w:pStyle w:val="tablecopy"/>
            </w:pPr>
            <w:r>
              <w:t>2023-03-01</w:t>
            </w:r>
          </w:p>
        </w:tc>
        <w:tc>
          <w:tcPr>
            <w:tcW w:w="1400" w:type="dxa"/>
          </w:tcPr>
          <w:p>
            <w:pPr>
              <w:pStyle w:val="tablecopy"/>
            </w:pPr>
            <w:r>
              <w:t>2023-03-08</w:t>
            </w:r>
          </w:p>
        </w:tc>
        <w:tc>
          <w:tcPr>
            <w:tcW w:w="1400" w:type="dxa"/>
          </w:tcPr>
          <w:p>
            <w:pPr>
              <w:pStyle w:val="tablecopy"/>
            </w:pPr>
            <w:r>
              <w:t>$23,680</w:t>
            </w:r>
          </w:p>
        </w:tc>
        <w:tc>
          <w:tcPr>
            <w:tcW w:w="1400" w:type="dxa"/>
          </w:tcPr>
          <w:p>
            <w:pPr>
              <w:pStyle w:val="tablecopy"/>
            </w:pPr>
            <w:r>
              <w:t>$21,989</w:t>
            </w:r>
          </w:p>
        </w:tc>
        <w:tc>
          <w:tcPr>
            <w:tcW w:w="1200" w:type="dxa"/>
          </w:tcPr>
          <w:p>
            <w:pPr>
              <w:pStyle w:val="tablecopy"/>
            </w:pPr>
            <w:r>
              <w:t>-7.1%</w:t>
            </w:r>
          </w:p>
        </w:tc>
        <w:tc>
          <w:tcPr>
            <w:tcW w:w="2520" w:type="dxa"/>
          </w:tcPr>
          <w:p>
            <w:pPr>
              <w:pStyle w:val="tablecopy"/>
            </w:pPr>
            <w:r>
              <w:t>Bear (Banking Shock)</w:t>
            </w:r>
          </w:p>
        </w:tc>
      </w:tr>
      <w:tr>
        <w:tc>
          <w:tcPr>
            <w:tcW w:w="800" w:type="dxa"/>
          </w:tcPr>
          <w:p>
            <w:pPr>
              <w:pStyle w:val="tablecopy"/>
            </w:pPr>
            <w:r>
              <w:t>11</w:t>
            </w:r>
          </w:p>
        </w:tc>
        <w:tc>
          <w:tcPr>
            <w:tcW w:w="1400" w:type="dxa"/>
          </w:tcPr>
          <w:p>
            <w:pPr>
              <w:pStyle w:val="tablecopy"/>
            </w:pPr>
            <w:r>
              <w:t>2023-05-18</w:t>
            </w:r>
          </w:p>
        </w:tc>
        <w:tc>
          <w:tcPr>
            <w:tcW w:w="1400" w:type="dxa"/>
          </w:tcPr>
          <w:p>
            <w:pPr>
              <w:pStyle w:val="tablecopy"/>
            </w:pPr>
            <w:r>
              <w:t>2023-05-25</w:t>
            </w:r>
          </w:p>
        </w:tc>
        <w:tc>
          <w:tcPr>
            <w:tcW w:w="1400" w:type="dxa"/>
          </w:tcPr>
          <w:p>
            <w:pPr>
              <w:pStyle w:val="tablecopy"/>
            </w:pPr>
            <w:r>
              <w:t>$27,389</w:t>
            </w:r>
          </w:p>
        </w:tc>
        <w:tc>
          <w:tcPr>
            <w:tcW w:w="1400" w:type="dxa"/>
          </w:tcPr>
          <w:p>
            <w:pPr>
              <w:pStyle w:val="tablecopy"/>
            </w:pPr>
            <w:r>
              <w:t>$26,131</w:t>
            </w:r>
          </w:p>
        </w:tc>
        <w:tc>
          <w:tcPr>
            <w:tcW w:w="1200" w:type="dxa"/>
          </w:tcPr>
          <w:p>
            <w:pPr>
              <w:pStyle w:val="tablecopy"/>
            </w:pPr>
            <w:r>
              <w:t>-4.6%</w:t>
            </w:r>
          </w:p>
        </w:tc>
        <w:tc>
          <w:tcPr>
            <w:tcW w:w="2520" w:type="dxa"/>
          </w:tcPr>
          <w:p>
            <w:pPr>
              <w:pStyle w:val="tablecopy"/>
            </w:pPr>
            <w:r>
              <w:t>Bear (Contraction)</w:t>
            </w:r>
          </w:p>
        </w:tc>
      </w:tr>
      <w:tr>
        <w:tc>
          <w:tcPr>
            <w:tcW w:w="800" w:type="dxa"/>
          </w:tcPr>
          <w:p>
            <w:pPr>
              <w:pStyle w:val="tablecopy"/>
            </w:pPr>
            <w:r>
              <w:t>12</w:t>
            </w:r>
          </w:p>
        </w:tc>
        <w:tc>
          <w:tcPr>
            <w:tcW w:w="1400" w:type="dxa"/>
          </w:tcPr>
          <w:p>
            <w:pPr>
              <w:pStyle w:val="tablecopy"/>
            </w:pPr>
            <w:r>
              <w:t>2023-08-04</w:t>
            </w:r>
          </w:p>
        </w:tc>
        <w:tc>
          <w:tcPr>
            <w:tcW w:w="1400" w:type="dxa"/>
          </w:tcPr>
          <w:p>
            <w:pPr>
              <w:pStyle w:val="tablecopy"/>
            </w:pPr>
            <w:r>
              <w:t>2023-08-11</w:t>
            </w:r>
          </w:p>
        </w:tc>
        <w:tc>
          <w:tcPr>
            <w:tcW w:w="1400" w:type="dxa"/>
          </w:tcPr>
          <w:p>
            <w:pPr>
              <w:pStyle w:val="tablecopy"/>
            </w:pPr>
            <w:r>
              <w:t>$29,198</w:t>
            </w:r>
          </w:p>
        </w:tc>
        <w:tc>
          <w:tcPr>
            <w:tcW w:w="1400" w:type="dxa"/>
          </w:tcPr>
          <w:p>
            <w:pPr>
              <w:pStyle w:val="tablecopy"/>
            </w:pPr>
            <w:r>
              <w:t>$29,482</w:t>
            </w:r>
          </w:p>
        </w:tc>
        <w:tc>
          <w:tcPr>
            <w:tcW w:w="1200" w:type="dxa"/>
          </w:tcPr>
          <w:p>
            <w:pPr>
              <w:pStyle w:val="tablecopy"/>
            </w:pPr>
            <w:r>
              <w:t>+1.0%</w:t>
            </w:r>
          </w:p>
        </w:tc>
        <w:tc>
          <w:tcPr>
            <w:tcW w:w="2520" w:type="dxa"/>
          </w:tcPr>
          <w:p>
            <w:pPr>
              <w:pStyle w:val="tablecopy"/>
            </w:pPr>
            <w:r>
              <w:t>Consolidation (Sideways)</w:t>
            </w:r>
          </w:p>
        </w:tc>
      </w:tr>
      <w:tr>
        <w:tc>
          <w:tcPr>
            <w:tcW w:w="800" w:type="dxa"/>
          </w:tcPr>
          <w:p>
            <w:pPr>
              <w:pStyle w:val="tablecopy"/>
            </w:pPr>
            <w:r>
              <w:t>13</w:t>
            </w:r>
          </w:p>
        </w:tc>
        <w:tc>
          <w:tcPr>
            <w:tcW w:w="1400" w:type="dxa"/>
          </w:tcPr>
          <w:p>
            <w:pPr>
              <w:pStyle w:val="tablecopy"/>
            </w:pPr>
            <w:r>
              <w:t>2023-10-20</w:t>
            </w:r>
          </w:p>
        </w:tc>
        <w:tc>
          <w:tcPr>
            <w:tcW w:w="1400" w:type="dxa"/>
          </w:tcPr>
          <w:p>
            <w:pPr>
              <w:pStyle w:val="tablecopy"/>
            </w:pPr>
            <w:r>
              <w:t>2023-10-27</w:t>
            </w:r>
          </w:p>
        </w:tc>
        <w:tc>
          <w:tcPr>
            <w:tcW w:w="1400" w:type="dxa"/>
          </w:tcPr>
          <w:p>
            <w:pPr>
              <w:pStyle w:val="tablecopy"/>
            </w:pPr>
            <w:r>
              <w:t>$29,486</w:t>
            </w:r>
          </w:p>
        </w:tc>
        <w:tc>
          <w:tcPr>
            <w:tcW w:w="1400" w:type="dxa"/>
          </w:tcPr>
          <w:p>
            <w:pPr>
              <w:pStyle w:val="tablecopy"/>
            </w:pPr>
            <w:r>
              <w:t>$33,600</w:t>
            </w:r>
          </w:p>
        </w:tc>
        <w:tc>
          <w:tcPr>
            <w:tcW w:w="1200" w:type="dxa"/>
          </w:tcPr>
          <w:p>
            <w:pPr>
              <w:pStyle w:val="tablecopy"/>
            </w:pPr>
            <w:r>
              <w:t>+14.0%</w:t>
            </w:r>
          </w:p>
        </w:tc>
        <w:tc>
          <w:tcPr>
            <w:tcW w:w="2520" w:type="dxa"/>
          </w:tcPr>
          <w:p>
            <w:pPr>
              <w:pStyle w:val="tablecopy"/>
            </w:pPr>
            <w:r>
              <w:t>Bull (ETF Run Expansion)</w:t>
            </w:r>
          </w:p>
        </w:tc>
      </w:tr>
      <w:tr>
        <w:tc>
          <w:tcPr>
            <w:tcW w:w="800" w:type="dxa"/>
          </w:tcPr>
          <w:p>
            <w:pPr>
              <w:pStyle w:val="tablecopy"/>
            </w:pPr>
            <w:r>
              <w:t>14</w:t>
            </w:r>
          </w:p>
        </w:tc>
        <w:tc>
          <w:tcPr>
            <w:tcW w:w="1400" w:type="dxa"/>
          </w:tcPr>
          <w:p>
            <w:pPr>
              <w:pStyle w:val="tablecopy"/>
            </w:pPr>
            <w:r>
              <w:t>2024-01-06</w:t>
            </w:r>
          </w:p>
        </w:tc>
        <w:tc>
          <w:tcPr>
            <w:tcW w:w="1400" w:type="dxa"/>
          </w:tcPr>
          <w:p>
            <w:pPr>
              <w:pStyle w:val="tablecopy"/>
            </w:pPr>
            <w:r>
              <w:t>2024-01-13</w:t>
            </w:r>
          </w:p>
        </w:tc>
        <w:tc>
          <w:tcPr>
            <w:tcW w:w="1400" w:type="dxa"/>
          </w:tcPr>
          <w:p>
            <w:pPr>
              <w:pStyle w:val="tablecopy"/>
            </w:pPr>
            <w:r>
              <w:t>$43,672</w:t>
            </w:r>
          </w:p>
        </w:tc>
        <w:tc>
          <w:tcPr>
            <w:tcW w:w="1400" w:type="dxa"/>
          </w:tcPr>
          <w:p>
            <w:pPr>
              <w:pStyle w:val="tablecopy"/>
            </w:pPr>
            <w:r>
              <w:t>$42,700</w:t>
            </w:r>
          </w:p>
        </w:tc>
        <w:tc>
          <w:tcPr>
            <w:tcW w:w="1200" w:type="dxa"/>
          </w:tcPr>
          <w:p>
            <w:pPr>
              <w:pStyle w:val="tablecopy"/>
            </w:pPr>
            <w:r>
              <w:t>-2.2%</w:t>
            </w:r>
          </w:p>
        </w:tc>
        <w:tc>
          <w:tcPr>
            <w:tcW w:w="2520" w:type="dxa"/>
          </w:tcPr>
          <w:p>
            <w:pPr>
              <w:pStyle w:val="tablecopy"/>
            </w:pPr>
            <w:r>
              <w:t>Consolidation (ETF Launch)</w:t>
            </w:r>
          </w:p>
        </w:tc>
      </w:tr>
      <w:tr>
        <w:tc>
          <w:tcPr>
            <w:tcW w:w="800" w:type="dxa"/>
          </w:tcPr>
          <w:p>
            <w:pPr>
              <w:pStyle w:val="tablecopy"/>
            </w:pPr>
            <w:r>
              <w:t>15</w:t>
            </w:r>
          </w:p>
        </w:tc>
        <w:tc>
          <w:tcPr>
            <w:tcW w:w="1400" w:type="dxa"/>
          </w:tcPr>
          <w:p>
            <w:pPr>
              <w:pStyle w:val="tablecopy"/>
            </w:pPr>
            <w:r>
              <w:t>2024-03-24</w:t>
            </w:r>
          </w:p>
        </w:tc>
        <w:tc>
          <w:tcPr>
            <w:tcW w:w="1400" w:type="dxa"/>
          </w:tcPr>
          <w:p>
            <w:pPr>
              <w:pStyle w:val="tablecopy"/>
            </w:pPr>
            <w:r>
              <w:t>2024-03-31</w:t>
            </w:r>
          </w:p>
        </w:tc>
        <w:tc>
          <w:tcPr>
            <w:tcW w:w="1400" w:type="dxa"/>
          </w:tcPr>
          <w:p>
            <w:pPr>
              <w:pStyle w:val="tablecopy"/>
            </w:pPr>
            <w:r>
              <w:t>$64,218</w:t>
            </w:r>
          </w:p>
        </w:tc>
        <w:tc>
          <w:tcPr>
            <w:tcW w:w="1400" w:type="dxa"/>
          </w:tcPr>
          <w:p>
            <w:pPr>
              <w:pStyle w:val="tablecopy"/>
            </w:pPr>
            <w:r>
              <w:t>$69,917</w:t>
            </w:r>
          </w:p>
        </w:tc>
        <w:tc>
          <w:tcPr>
            <w:tcW w:w="1200" w:type="dxa"/>
          </w:tcPr>
          <w:p>
            <w:pPr>
              <w:pStyle w:val="tablecopy"/>
            </w:pPr>
            <w:r>
              <w:t>+8.9%</w:t>
            </w:r>
          </w:p>
        </w:tc>
        <w:tc>
          <w:tcPr>
            <w:tcW w:w="2520" w:type="dxa"/>
          </w:tcPr>
          <w:p>
            <w:pPr>
              <w:pStyle w:val="tablecopy"/>
            </w:pPr>
            <w:r>
              <w:t>Bull (ATH Expansion)</w:t>
            </w:r>
          </w:p>
        </w:tc>
      </w:tr>
      <w:tr>
        <w:tc>
          <w:tcPr>
            <w:tcW w:w="800" w:type="dxa"/>
          </w:tcPr>
          <w:p>
            <w:pPr>
              <w:pStyle w:val="tablecopy"/>
            </w:pPr>
            <w:r>
              <w:t>16</w:t>
            </w:r>
          </w:p>
        </w:tc>
        <w:tc>
          <w:tcPr>
            <w:tcW w:w="1400" w:type="dxa"/>
          </w:tcPr>
          <w:p>
            <w:pPr>
              <w:pStyle w:val="tablecopy"/>
            </w:pPr>
            <w:r>
              <w:t>2024-06-09</w:t>
            </w:r>
          </w:p>
        </w:tc>
        <w:tc>
          <w:tcPr>
            <w:tcW w:w="1400" w:type="dxa"/>
          </w:tcPr>
          <w:p>
            <w:pPr>
              <w:pStyle w:val="tablecopy"/>
            </w:pPr>
            <w:r>
              <w:t>2024-06-16</w:t>
            </w:r>
          </w:p>
        </w:tc>
        <w:tc>
          <w:tcPr>
            <w:tcW w:w="1400" w:type="dxa"/>
          </w:tcPr>
          <w:p>
            <w:pPr>
              <w:pStyle w:val="tablecopy"/>
            </w:pPr>
            <w:r>
              <w:t>$69,750</w:t>
            </w:r>
          </w:p>
        </w:tc>
        <w:tc>
          <w:tcPr>
            <w:tcW w:w="1400" w:type="dxa"/>
          </w:tcPr>
          <w:p>
            <w:pPr>
              <w:pStyle w:val="tablecopy"/>
            </w:pPr>
            <w:r>
              <w:t>$66,518</w:t>
            </w:r>
          </w:p>
        </w:tc>
        <w:tc>
          <w:tcPr>
            <w:tcW w:w="1200" w:type="dxa"/>
          </w:tcPr>
          <w:p>
            <w:pPr>
              <w:pStyle w:val="tablecopy"/>
            </w:pPr>
            <w:r>
              <w:t>-4.6%</w:t>
            </w:r>
          </w:p>
        </w:tc>
        <w:tc>
          <w:tcPr>
            <w:tcW w:w="2520" w:type="dxa"/>
          </w:tcPr>
          <w:p>
            <w:pPr>
              <w:pStyle w:val="tablecopy"/>
            </w:pPr>
            <w:r>
              <w:t>Bear (Post-Halving Contraction)</w:t>
            </w:r>
          </w:p>
        </w:tc>
      </w:tr>
      <w:tr>
        <w:tc>
          <w:tcPr>
            <w:tcW w:w="800" w:type="dxa"/>
          </w:tcPr>
          <w:p>
            <w:pPr>
              <w:pStyle w:val="tablecopy"/>
            </w:pPr>
            <w:r>
              <w:t>17</w:t>
            </w:r>
          </w:p>
        </w:tc>
        <w:tc>
          <w:tcPr>
            <w:tcW w:w="1400" w:type="dxa"/>
          </w:tcPr>
          <w:p>
            <w:pPr>
              <w:pStyle w:val="tablecopy"/>
            </w:pPr>
            <w:r>
              <w:t>2024-08-26</w:t>
            </w:r>
          </w:p>
        </w:tc>
        <w:tc>
          <w:tcPr>
            <w:tcW w:w="1400" w:type="dxa"/>
          </w:tcPr>
          <w:p>
            <w:pPr>
              <w:pStyle w:val="tablecopy"/>
            </w:pPr>
            <w:r>
              <w:t>2024-09-02</w:t>
            </w:r>
          </w:p>
        </w:tc>
        <w:tc>
          <w:tcPr>
            <w:tcW w:w="1400" w:type="dxa"/>
          </w:tcPr>
          <w:p>
            <w:pPr>
              <w:pStyle w:val="tablecopy"/>
            </w:pPr>
            <w:r>
              <w:t>$63,501</w:t>
            </w:r>
          </w:p>
        </w:tc>
        <w:tc>
          <w:tcPr>
            <w:tcW w:w="1400" w:type="dxa"/>
          </w:tcPr>
          <w:p>
            <w:pPr>
              <w:pStyle w:val="tablecopy"/>
            </w:pPr>
            <w:r>
              <w:t>$58,181</w:t>
            </w:r>
          </w:p>
        </w:tc>
        <w:tc>
          <w:tcPr>
            <w:tcW w:w="1200" w:type="dxa"/>
          </w:tcPr>
          <w:p>
            <w:pPr>
              <w:pStyle w:val="tablecopy"/>
            </w:pPr>
            <w:r>
              <w:t>-8.4%</w:t>
            </w:r>
          </w:p>
        </w:tc>
        <w:tc>
          <w:tcPr>
            <w:tcW w:w="2520" w:type="dxa"/>
          </w:tcPr>
          <w:p>
            <w:pPr>
              <w:pStyle w:val="tablecopy"/>
            </w:pPr>
            <w:r>
              <w:t>Bear (Contraction)</w:t>
            </w:r>
          </w:p>
        </w:tc>
      </w:tr>
      <w:tr>
        <w:tc>
          <w:tcPr>
            <w:tcW w:w="800" w:type="dxa"/>
          </w:tcPr>
          <w:p>
            <w:pPr>
              <w:pStyle w:val="tablecopy"/>
            </w:pPr>
            <w:r>
              <w:t>18</w:t>
            </w:r>
          </w:p>
        </w:tc>
        <w:tc>
          <w:tcPr>
            <w:tcW w:w="1400" w:type="dxa"/>
          </w:tcPr>
          <w:p>
            <w:pPr>
              <w:pStyle w:val="tablecopy"/>
            </w:pPr>
            <w:r>
              <w:t>2024-11-12</w:t>
            </w:r>
          </w:p>
        </w:tc>
        <w:tc>
          <w:tcPr>
            <w:tcW w:w="1400" w:type="dxa"/>
          </w:tcPr>
          <w:p>
            <w:pPr>
              <w:pStyle w:val="tablecopy"/>
            </w:pPr>
            <w:r>
              <w:t>2024-11-19</w:t>
            </w:r>
          </w:p>
        </w:tc>
        <w:tc>
          <w:tcPr>
            <w:tcW w:w="1400" w:type="dxa"/>
          </w:tcPr>
          <w:p>
            <w:pPr>
              <w:pStyle w:val="tablecopy"/>
            </w:pPr>
            <w:r>
              <w:t>$88,983</w:t>
            </w:r>
          </w:p>
        </w:tc>
        <w:tc>
          <w:tcPr>
            <w:tcW w:w="1400" w:type="dxa"/>
          </w:tcPr>
          <w:p>
            <w:pPr>
              <w:pStyle w:val="tablecopy"/>
            </w:pPr>
            <w:r>
              <w:t>$91,959</w:t>
            </w:r>
          </w:p>
        </w:tc>
        <w:tc>
          <w:tcPr>
            <w:tcW w:w="1200" w:type="dxa"/>
          </w:tcPr>
          <w:p>
            <w:pPr>
              <w:pStyle w:val="tablecopy"/>
            </w:pPr>
            <w:r>
              <w:t>+3.3%</w:t>
            </w:r>
          </w:p>
        </w:tc>
        <w:tc>
          <w:tcPr>
            <w:tcW w:w="2520" w:type="dxa"/>
          </w:tcPr>
          <w:p>
            <w:pPr>
              <w:pStyle w:val="tablecopy"/>
            </w:pPr>
            <w:r>
              <w:t>Consolidation (Post-Election)</w:t>
            </w:r>
          </w:p>
        </w:tc>
      </w:tr>
      <w:tr>
        <w:tc>
          <w:tcPr>
            <w:tcW w:w="800" w:type="dxa"/>
          </w:tcPr>
          <w:p>
            <w:pPr>
              <w:pStyle w:val="tablecopy"/>
            </w:pPr>
            <w:r>
              <w:t>19</w:t>
            </w:r>
          </w:p>
        </w:tc>
        <w:tc>
          <w:tcPr>
            <w:tcW w:w="1400" w:type="dxa"/>
          </w:tcPr>
          <w:p>
            <w:pPr>
              <w:pStyle w:val="tablecopy"/>
            </w:pPr>
            <w:r>
              <w:t>2025-01-29</w:t>
            </w:r>
          </w:p>
        </w:tc>
        <w:tc>
          <w:tcPr>
            <w:tcW w:w="1400" w:type="dxa"/>
          </w:tcPr>
          <w:p>
            <w:pPr>
              <w:pStyle w:val="tablecopy"/>
            </w:pPr>
            <w:r>
              <w:t>2025-02-04</w:t>
            </w:r>
          </w:p>
        </w:tc>
        <w:tc>
          <w:tcPr>
            <w:tcW w:w="1400" w:type="dxa"/>
          </w:tcPr>
          <w:p>
            <w:pPr>
              <w:pStyle w:val="tablecopy"/>
            </w:pPr>
            <w:r>
              <w:t>$101,703</w:t>
            </w:r>
          </w:p>
        </w:tc>
        <w:tc>
          <w:tcPr>
            <w:tcW w:w="1400" w:type="dxa"/>
          </w:tcPr>
          <w:p>
            <w:pPr>
              <w:pStyle w:val="tablecopy"/>
            </w:pPr>
            <w:r>
              <w:t>$97,763</w:t>
            </w:r>
          </w:p>
        </w:tc>
        <w:tc>
          <w:tcPr>
            <w:tcW w:w="1200" w:type="dxa"/>
          </w:tcPr>
          <w:p>
            <w:pPr>
              <w:pStyle w:val="tablecopy"/>
            </w:pPr>
            <w:r>
              <w:t>-3.9%</w:t>
            </w:r>
          </w:p>
        </w:tc>
        <w:tc>
          <w:tcPr>
            <w:tcW w:w="2520" w:type="dxa"/>
          </w:tcPr>
          <w:p>
            <w:pPr>
              <w:pStyle w:val="tablecopy"/>
            </w:pPr>
            <w:r>
              <w:t>Consolidation (Sideways)</w:t>
            </w:r>
          </w:p>
        </w:tc>
      </w:tr>
      <w:tr>
        <w:tc>
          <w:tcPr>
            <w:tcW w:w="800" w:type="dxa"/>
          </w:tcPr>
          <w:p>
            <w:pPr>
              <w:pStyle w:val="tablecopy"/>
            </w:pPr>
            <w:r>
              <w:t>20</w:t>
            </w:r>
          </w:p>
        </w:tc>
        <w:tc>
          <w:tcPr>
            <w:tcW w:w="1400" w:type="dxa"/>
          </w:tcPr>
          <w:p>
            <w:pPr>
              <w:pStyle w:val="tablecopy"/>
            </w:pPr>
            <w:r>
              <w:t>2025-04-16</w:t>
            </w:r>
          </w:p>
        </w:tc>
        <w:tc>
          <w:tcPr>
            <w:tcW w:w="1400" w:type="dxa"/>
          </w:tcPr>
          <w:p>
            <w:pPr>
              <w:pStyle w:val="tablecopy"/>
            </w:pPr>
            <w:r>
              <w:t>2025-04-23</w:t>
            </w:r>
          </w:p>
        </w:tc>
        <w:tc>
          <w:tcPr>
            <w:tcW w:w="1400" w:type="dxa"/>
          </w:tcPr>
          <w:p>
            <w:pPr>
              <w:pStyle w:val="tablecopy"/>
            </w:pPr>
            <w:r>
              <w:t>$83,281</w:t>
            </w:r>
          </w:p>
        </w:tc>
        <w:tc>
          <w:tcPr>
            <w:tcW w:w="1400" w:type="dxa"/>
          </w:tcPr>
          <w:p>
            <w:pPr>
              <w:pStyle w:val="tablecopy"/>
            </w:pPr>
            <w:r>
              <w:t>$93,642</w:t>
            </w:r>
          </w:p>
        </w:tc>
        <w:tc>
          <w:tcPr>
            <w:tcW w:w="1200" w:type="dxa"/>
          </w:tcPr>
          <w:p>
            <w:pPr>
              <w:pStyle w:val="tablecopy"/>
            </w:pPr>
            <w:r>
              <w:t>+12.4%</w:t>
            </w:r>
          </w:p>
        </w:tc>
        <w:tc>
          <w:tcPr>
            <w:tcW w:w="2520" w:type="dxa"/>
          </w:tcPr>
          <w:p>
            <w:pPr>
              <w:pStyle w:val="tablecopy"/>
            </w:pPr>
            <w:r>
              <w:t>Bull (Expansion)</w:t>
            </w:r>
          </w:p>
        </w:tc>
      </w:tr>
      <w:tr>
        <w:tc>
          <w:tcPr>
            <w:tcW w:w="800" w:type="dxa"/>
          </w:tcPr>
          <w:p>
            <w:pPr>
              <w:pStyle w:val="tablecopy"/>
            </w:pPr>
            <w:r>
              <w:t>21</w:t>
            </w:r>
          </w:p>
        </w:tc>
        <w:tc>
          <w:tcPr>
            <w:tcW w:w="1400" w:type="dxa"/>
          </w:tcPr>
          <w:p>
            <w:pPr>
              <w:pStyle w:val="tablecopy"/>
            </w:pPr>
            <w:r>
              <w:t>2025-07-03</w:t>
            </w:r>
          </w:p>
        </w:tc>
        <w:tc>
          <w:tcPr>
            <w:tcW w:w="1400" w:type="dxa"/>
          </w:tcPr>
          <w:p>
            <w:pPr>
              <w:pStyle w:val="tablecopy"/>
            </w:pPr>
            <w:r>
              <w:t>2025-07-10</w:t>
            </w:r>
          </w:p>
        </w:tc>
        <w:tc>
          <w:tcPr>
            <w:tcW w:w="1400" w:type="dxa"/>
          </w:tcPr>
          <w:p>
            <w:pPr>
              <w:pStyle w:val="tablecopy"/>
            </w:pPr>
            <w:r>
              <w:t>$109,839</w:t>
            </w:r>
          </w:p>
        </w:tc>
        <w:tc>
          <w:tcPr>
            <w:tcW w:w="1400" w:type="dxa"/>
          </w:tcPr>
          <w:p>
            <w:pPr>
              <w:pStyle w:val="tablecopy"/>
            </w:pPr>
            <w:r>
              <w:t>$111,041</w:t>
            </w:r>
          </w:p>
        </w:tc>
        <w:tc>
          <w:tcPr>
            <w:tcW w:w="1200" w:type="dxa"/>
          </w:tcPr>
          <w:p>
            <w:pPr>
              <w:pStyle w:val="tablecopy"/>
            </w:pPr>
            <w:r>
              <w:t>+1.1%</w:t>
            </w:r>
          </w:p>
        </w:tc>
        <w:tc>
          <w:tcPr>
            <w:tcW w:w="2520" w:type="dxa"/>
          </w:tcPr>
          <w:p>
            <w:pPr>
              <w:pStyle w:val="tablecopy"/>
            </w:pPr>
            <w:r>
              <w:t>Consolidation (Sideways)</w:t>
            </w:r>
          </w:p>
        </w:tc>
      </w:tr>
      <w:tr>
        <w:tc>
          <w:tcPr>
            <w:tcW w:w="800" w:type="dxa"/>
          </w:tcPr>
          <w:p>
            <w:pPr>
              <w:pStyle w:val="tablecopy"/>
            </w:pPr>
            <w:r>
              <w:t>22</w:t>
            </w:r>
          </w:p>
        </w:tc>
        <w:tc>
          <w:tcPr>
            <w:tcW w:w="1400" w:type="dxa"/>
          </w:tcPr>
          <w:p>
            <w:pPr>
              <w:pStyle w:val="tablecopy"/>
            </w:pPr>
            <w:r>
              <w:t>2025-09-19</w:t>
            </w:r>
          </w:p>
        </w:tc>
        <w:tc>
          <w:tcPr>
            <w:tcW w:w="1400" w:type="dxa"/>
          </w:tcPr>
          <w:p>
            <w:pPr>
              <w:pStyle w:val="tablecopy"/>
            </w:pPr>
            <w:r>
              <w:t>2025-09-26</w:t>
            </w:r>
          </w:p>
        </w:tc>
        <w:tc>
          <w:tcPr>
            <w:tcW w:w="1400" w:type="dxa"/>
          </w:tcPr>
          <w:p>
            <w:pPr>
              <w:pStyle w:val="tablecopy"/>
            </w:pPr>
            <w:r>
              <w:t>$116,978</w:t>
            </w:r>
          </w:p>
        </w:tc>
        <w:tc>
          <w:tcPr>
            <w:tcW w:w="1400" w:type="dxa"/>
          </w:tcPr>
          <w:p>
            <w:pPr>
              <w:pStyle w:val="tablecopy"/>
            </w:pPr>
            <w:r>
              <w:t>$109,622</w:t>
            </w:r>
          </w:p>
        </w:tc>
        <w:tc>
          <w:tcPr>
            <w:tcW w:w="1200" w:type="dxa"/>
          </w:tcPr>
          <w:p>
            <w:pPr>
              <w:pStyle w:val="tablecopy"/>
            </w:pPr>
            <w:r>
              <w:t>-6.3%</w:t>
            </w:r>
          </w:p>
        </w:tc>
        <w:tc>
          <w:tcPr>
            <w:tcW w:w="2520" w:type="dxa"/>
          </w:tcPr>
          <w:p>
            <w:pPr>
              <w:pStyle w:val="tablecopy"/>
            </w:pPr>
            <w:r>
              <w:t>Bear (Contraction)</w:t>
            </w:r>
          </w:p>
        </w:tc>
      </w:tr>
      <w:tr>
        <w:tc>
          <w:tcPr>
            <w:tcW w:w="800" w:type="dxa"/>
          </w:tcPr>
          <w:p>
            <w:pPr>
              <w:pStyle w:val="tablecopy"/>
            </w:pPr>
            <w:r>
              <w:t>23</w:t>
            </w:r>
          </w:p>
        </w:tc>
        <w:tc>
          <w:tcPr>
            <w:tcW w:w="1400" w:type="dxa"/>
          </w:tcPr>
          <w:p>
            <w:pPr>
              <w:pStyle w:val="tablecopy"/>
            </w:pPr>
            <w:r>
              <w:t>2025-12-05</w:t>
            </w:r>
          </w:p>
        </w:tc>
        <w:tc>
          <w:tcPr>
            <w:tcW w:w="1400" w:type="dxa"/>
          </w:tcPr>
          <w:p>
            <w:pPr>
              <w:pStyle w:val="tablecopy"/>
            </w:pPr>
            <w:r>
              <w:t>2025-12-12</w:t>
            </w:r>
          </w:p>
        </w:tc>
        <w:tc>
          <w:tcPr>
            <w:tcW w:w="1400" w:type="dxa"/>
          </w:tcPr>
          <w:p>
            <w:pPr>
              <w:pStyle w:val="tablecopy"/>
            </w:pPr>
            <w:r>
              <w:t>$89,302</w:t>
            </w:r>
          </w:p>
        </w:tc>
        <w:tc>
          <w:tcPr>
            <w:tcW w:w="1400" w:type="dxa"/>
          </w:tcPr>
          <w:p>
            <w:pPr>
              <w:pStyle w:val="tablecopy"/>
            </w:pPr>
            <w:r>
              <w:t>$90,198</w:t>
            </w:r>
          </w:p>
        </w:tc>
        <w:tc>
          <w:tcPr>
            <w:tcW w:w="1200" w:type="dxa"/>
          </w:tcPr>
          <w:p>
            <w:pPr>
              <w:pStyle w:val="tablecopy"/>
            </w:pPr>
            <w:r>
              <w:t>+1.0%</w:t>
            </w:r>
          </w:p>
        </w:tc>
        <w:tc>
          <w:tcPr>
            <w:tcW w:w="2520" w:type="dxa"/>
          </w:tcPr>
          <w:p>
            <w:pPr>
              <w:pStyle w:val="tablecopy"/>
            </w:pPr>
            <w:r>
              <w:t>Consolidation (Sideways)</w:t>
            </w:r>
          </w:p>
        </w:tc>
      </w:tr>
      <w:tr>
        <w:tc>
          <w:tcPr>
            <w:tcW w:w="800" w:type="dxa"/>
          </w:tcPr>
          <w:p>
            <w:pPr>
              <w:pStyle w:val="tablecopy"/>
            </w:pPr>
            <w:r>
              <w:t>24</w:t>
            </w:r>
          </w:p>
        </w:tc>
        <w:tc>
          <w:tcPr>
            <w:tcW w:w="1400" w:type="dxa"/>
          </w:tcPr>
          <w:p>
            <w:pPr>
              <w:pStyle w:val="tablecopy"/>
            </w:pPr>
            <w:r>
              <w:t>2026-02-21</w:t>
            </w:r>
          </w:p>
        </w:tc>
        <w:tc>
          <w:tcPr>
            <w:tcW w:w="1400" w:type="dxa"/>
          </w:tcPr>
          <w:p>
            <w:pPr>
              <w:pStyle w:val="tablecopy"/>
            </w:pPr>
            <w:r>
              <w:t>2026-02-28</w:t>
            </w:r>
          </w:p>
        </w:tc>
        <w:tc>
          <w:tcPr>
            <w:tcW w:w="1400" w:type="dxa"/>
          </w:tcPr>
          <w:p>
            <w:pPr>
              <w:pStyle w:val="tablecopy"/>
            </w:pPr>
            <w:r>
              <w:t>$68,260</w:t>
            </w:r>
          </w:p>
        </w:tc>
        <w:tc>
          <w:tcPr>
            <w:tcW w:w="1400" w:type="dxa"/>
          </w:tcPr>
          <w:p>
            <w:pPr>
              <w:pStyle w:val="tablecopy"/>
            </w:pPr>
            <w:r>
              <w:t>$64,017</w:t>
            </w:r>
          </w:p>
        </w:tc>
        <w:tc>
          <w:tcPr>
            <w:tcW w:w="1200" w:type="dxa"/>
          </w:tcPr>
          <w:p>
            <w:pPr>
              <w:pStyle w:val="tablecopy"/>
            </w:pPr>
            <w:r>
              <w:t>-6.2%</w:t>
            </w:r>
          </w:p>
        </w:tc>
        <w:tc>
          <w:tcPr>
            <w:tcW w:w="2520" w:type="dxa"/>
          </w:tcPr>
          <w:p>
            <w:pPr>
              <w:pStyle w:val="tablecopy"/>
            </w:pPr>
            <w:r>
              <w:t>Bear (Contraction)</w:t>
            </w:r>
          </w:p>
        </w:tc>
      </w:tr>
    </w:tbl>
    <w:p>
      <w:pPr>
        <w:spacing w:before="0" w:after="0" w:line="20" w:lineRule="exact"/>
        <w:sectPr>
          <w:type w:val="continuous"/>
          <w:pgSz w:w="11906" w:h="16838"/>
          <w:pgMar w:top="540" w:right="893" w:bottom="1440" w:left="893" w:header="0" w:footer="720" w:gutter="0"/>
          <w:cols w:num="1" w:space="720"/>
        </w:sectPr>
      </w:pPr>
    </w:p>
    <w:p w14:paraId="2D97017F" w14:textId="77777777" w:rsidR="008A78AA" w:rsidRDefault="00000000">
      <w:pPr>
        <w:pStyle w:val="BodyText"/>
      </w:pPr>
      <w:r>
        <w:t xml:space="preserve">For the XGBoost baseline, hyperparameter tuning was conducted via Grid Search using a time-series-aware cross-validation scheme (TimeSeriesSplit, n = 5 folds). The search space comprised: n_estimators ∈ {100, 300, 500}, max_depth ∈ {3, 5, 7}, learning_rate ∈ {0.01, 0.05, 0.10}, subsample ∈ {0.70, 0.85, 1.00}, and colsample_bytree ∈ {0.70, 0.85, 1.00}. Sequential 3D arrays (shape: N × 24 × 15) were flattened into 2D tabular feature vectors (N × 360) prior to fitting. The optimal configuration (n_estimators = 300, max_depth = 5, learning_rate = 0.05, subsample = 0.85, colsample_bytree = 0.85) was regularized via L1/L2 penalties. Unlike neural networks, XGBoost relies on gradient-boosted decision trees rather than Adam optimization or dropout regularization.</w:t>
      </w:r>
    </w:p>
    <w:p w14:paraId="15213384" w14:textId="77777777" w:rsidR="008A78AA" w:rsidRDefault="00000000">
      <w:pPr>
        <w:pStyle w:val="BodyText"/>
        <w:rPr>
          <w:lang w:val="en-US"/>
        </w:rPr>
      </w:pPr>
      <w:r>
        <w:t>For the neural network architectures, sequence lookback was fixed at T = 24 hours across all 15 feature dimensions. The LSTM network comprises 2 stacked recurrent layers (hidden dimension d = 50, dropout rate p = 0.20) and a linear output head (50 → 1). The GRU architecture utilizes an identical 2-layer topology (d = 50, p = 0.20, 50 → 1), minimizing structural discrepancy. Both recurrent models were trained using the Adam optimizer with initial learning rate η = 10−3, batch size B = 64, and 10 epochs. The Informer Transformer features 2 encoder layers with ProbSparse self-attention (model dimension dmodel = 64, nhead = 4 attention heads, feed-forward dimension dff = 256, dropout p = 0.10) trained with Adam at η = 10−4. The XGBoost tabular baseline utilizes 300 gradient-boosted estimators (max_depth = 5, learning_rate = 0.05, subsample = 0.85, colsample_bytree = 0.85) fitted on flattened 2D vectors (24 × 15 = 360 inputs).</w:t>
      </w:r>
    </w:p>
    <w:p w14:paraId="35C20248" w14:textId="77777777" w:rsidR="008A78AA" w:rsidRDefault="00000000">
      <w:pPr>
        <w:pStyle w:val="Heading2"/>
        <w:jc w:val="center"/>
      </w:pPr>
      <w:r>
        <w:t>Model Topologies and Formulations (Layer 3)</w:t>
      </w:r>
    </w:p>
    <w:p w14:paraId="6EDE47E4" w14:textId="77777777" w:rsidR="008A78AA" w:rsidRDefault="00000000">
      <w:pPr>
        <w:pStyle w:val="BodyText"/>
      </w:pPr>
      <w:r>
        <w:t>In the LSTM architecture, the forget gate ft governs the retention of sequential memory states from previous time steps [14]:</w:t>
      </w:r>
    </w:p>
    <w:p w14:paraId="6078D775" w14:textId="77777777" w:rsidR="008A78AA" w:rsidRDefault="00000000">
      <w:pPr>
        <w:pStyle w:val="equation"/>
      </w:pPr>
      <w:r>
        <w:tab/>
        <w:t>ft = σ(Wf · [ht−1, xt] + bf)</w:t>
        <w:tab/>
        <w:t>(4)</w:t>
      </w:r>
    </w:p>
    <w:p w14:paraId="16EE976C" w14:textId="77777777" w:rsidR="008A78AA" w:rsidRDefault="00000000">
      <w:pPr>
        <w:pStyle w:val="BodyText"/>
      </w:pPr>
      <w:r>
        <w:t>The GRU simplifies this mechanism by integrating the forget and input gates into a single update gate zt [16]:</w:t>
      </w:r>
    </w:p>
    <w:p w14:paraId="5A33BDA2" w14:textId="77777777" w:rsidR="008A78AA" w:rsidRDefault="00000000">
      <w:pPr>
        <w:pStyle w:val="equation"/>
      </w:pPr>
      <w:r>
        <w:tab/>
        <w:t>zt = σ(Wz · [ht−1, xt] + bz)</w:t>
        <w:tab/>
        <w:t>(5)</w:t>
      </w:r>
    </w:p>
    <w:p w14:paraId="0DFEE0EC" w14:textId="77777777" w:rsidR="008A78AA" w:rsidRDefault="00000000">
      <w:pPr>
        <w:pStyle w:val="BodyText"/>
      </w:pPr>
      <w:r>
        <w:t>The Informer Transformer replaces canonical self-attention with ProbSparse Self-Attention, reducing computational complexity from O(L²) to O(L log L) [21]:</w:t>
      </w:r>
    </w:p>
    <w:p w14:paraId="060774E3" w14:textId="77777777" w:rsidR="008A78AA" w:rsidRDefault="00000000">
      <w:pPr>
        <w:pStyle w:val="equation"/>
      </w:pPr>
      <w:r>
        <w:tab/>
        <w:t>Attention(Q, K, V) = Softmax(Q̅KT / √dk) V</w:t>
        <w:tab/>
        <w:t>(6)</w:t>
      </w:r>
    </w:p>
    <w:p w14:paraId="671BCFF3" w14:textId="77777777" w:rsidR="008A78AA" w:rsidRDefault="00000000">
      <w:pPr>
        <w:pStyle w:val="BodyText"/>
      </w:pPr>
      <w:r>
        <w:t>where Q̅ represents the top-k dominant queries identified via probabilistic Kullback-Leibler measurement, enabling efficient long-horizon sequential dependency modeling.</w:t>
      </w:r>
    </w:p>
    <w:p w14:paraId="310592EA" w14:textId="77777777" w:rsidR="008A78AA" w:rsidRDefault="00000000">
      <w:pPr>
        <w:pStyle w:val="Heading2"/>
      </w:pPr>
      <w:r>
        <w:t>Enterprise BI Layer and Risk-Adjusted Decision Support (Layer 4)</w:t>
      </w:r>
    </w:p>
    <w:p w14:paraId="3DE1FB97" w14:textId="77777777" w:rsidR="008A78AA" w:rsidRDefault="00000000">
      <w:pPr>
        <w:pStyle w:val="BodyText"/>
      </w:pPr>
      <w:commentRangeStart w:id="36"/>
      <w:r>
        <w:t>Layer 4 translates raw hourly point predictions ŷt into actionable financial signals and portfolio governance metrics. Because the execution environment operates on the Binance Spot market where short-selling is precluded without margin borrowing, the trading policy is formulated as a long/cash allocation st ∈ {1, 0}. At each hourly step t, the model allocates 100% to BTC (st = 1) if an upward movement is forecasted (ŷt &gt; yt−1), and transitions capital to cash / USDT (st = 0) if a downward movement or stagnation is anticipated (ŷt ≤ yt−1), protecting the portfolio against drawdown while earning the baseline risk-free cash return. The hourly strategy return series is defined as Rtstrategy = st · rt + (1 − st) · (rf / 8760), where rt = ln(Pt / Pt−1) is the realized logarithmic return of BTC/USDT.</w:t>
      </w:r>
      <w:commentRangeEnd w:id="36"/>
      <w:r>
        <w:commentReference w:id="36"/>
      </w:r>
    </w:p>
    <w:p w14:paraId="217DAEDE" w14:textId="77777777" w:rsidR="008A78AA" w:rsidRDefault="00000000">
      <w:pPr>
        <w:pStyle w:val="BodyText"/>
      </w:pPr>
      <w:r>
        <w:t>To evaluate risk-adjusted performance under continuous 24/7 cryptocurrency market conditions, the annualized Sharpe Ratio is computed as:</w:t>
      </w:r>
    </w:p>
    <w:p w14:paraId="6DAA3A69" w14:textId="77777777" w:rsidR="008A78AA" w:rsidRDefault="00000000">
      <w:pPr>
        <w:pStyle w:val="equation"/>
      </w:pPr>
      <w:r>
        <w:tab/>
        <w:t>SR = √8760 × (R̄strategy − rf / 8760) / σRstrategy</w:t>
        <w:tab/>
        <w:t>(7)</w:t>
      </w:r>
    </w:p>
    <w:p w14:paraId="368FBE17" w14:textId="77777777" w:rsidR="008A78AA" w:rsidRDefault="00000000">
      <w:pPr>
        <w:pStyle w:val="BodyText"/>
      </w:pPr>
      <w:r>
        <w:t>where √8760 = √(365 × 24) is the annualization factor reflecting 8,760 continuous trading hours per year, and rf = 2.0% per annum represents the benchmark risk-free rate. Both Gross Sharpe Ratio (before trading friction) and Net Sharpe Ratio (after fees and slippage) are evaluated. Because each reallocation between BTC and USDT constitutes exactly one spot transaction, the turnover indicator at hour t is Δwt = |st − st−1| ∈ {0, 1}. Trading friction is modeled based on Binance Spot VIP-0 taker fees (cfee = 0.10%) plus a conservative execution half-spread slippage penalty of δslip = 0.02% (2 bps), resulting in total friction of 0.12% per rebalancing event. The hourly net strategy return is Rt,net = Rtstrategy − (cfee + δslip) · Δwt. To resolve the sample-size limitation of evaluating daily risk within a 7-day fold, Value-at-Risk is evaluated in two complementary ways: (i) Hourly VaR (95%) computed on hourly returns across all test periods, and (ii) Aggregate Daily VaR (95%) computed across the aggregated out-of-sample test corpus (4,032 test hours = 168 trading days), providing robust statistical power for the 5th percentile tail estimate. All computed metrics are stored in the PostgreSQL Data Mart and dynamically streamed into Microsoft Power BI via DirectQuery.</w:t>
      </w:r>
    </w:p>
    <w:p w14:paraId="437C3A38" w14:textId="77777777" w:rsidR="008A78AA" w:rsidRDefault="008A78AA">
      <w:pPr>
        <w:pStyle w:val="equation"/>
      </w:pPr>
    </w:p>
    <w:p w14:paraId="0FD24339" w14:textId="77777777" w:rsidR="008A78AA" w:rsidRDefault="008A78AA">
      <w:pPr>
        <w:pStyle w:val="BodyText"/>
      </w:pPr>
    </w:p>
    <w:p w14:paraId="1069A31F" w14:textId="77777777" w:rsidR="008A78AA" w:rsidRDefault="00000000">
      <w:pPr>
        <w:pStyle w:val="Heading1"/>
      </w:pPr>
      <w:r>
        <w:t>RESULTS AND DISCUSSION</w:t>
      </w:r>
    </w:p>
    <w:p w14:paraId="3FA3A5B1" w14:textId="77777777" w:rsidR="008A78AA" w:rsidRDefault="00B81C38">
      <w:pPr>
        <w:pStyle w:val="BodyText"/>
      </w:pPr>
      <w:r>
        <w:t>Figure 2 illustrates the out-of-sample forecast trajectory across representative 168-hour Walk-Forward test windows, comparing the four candidate architectures against realized BTC/USDT spot prices. The comparative loss benchmarks are summarized in Table III.</w:t>
      </w:r>
    </w:p>
    <w:p w14:paraId="04185172" w14:textId="77777777" w:rsidR="008A78AA" w:rsidRDefault="00000000">
      <w:pPr>
        <w:pStyle w:val="BodyText"/>
        <w:ind w:firstLine="0"/>
        <w:jc w:val="center"/>
      </w:pPr>
      <w:r>
        <w:rPr>
          <w:noProof/>
        </w:rPr>
        <w:drawing>
          <wp:inline distT="0" distB="0" distL="0" distR="0" wp14:anchorId="67B26652" wp14:editId="420C3EE4">
            <wp:extent cx="3108960" cy="153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108960" cy="1538778"/>
                    </a:xfrm>
                    <a:prstGeom prst="rect">
                      <a:avLst/>
                    </a:prstGeom>
                  </pic:spPr>
                </pic:pic>
              </a:graphicData>
            </a:graphic>
          </wp:inline>
        </w:drawing>
      </w:r>
    </w:p>
    <w:p w14:paraId="33F9233C" w14:textId="77777777" w:rsidR="008A78AA" w:rsidRDefault="00D16FC1">
      <w:pPr>
        <w:pStyle w:val="figurecaption"/>
        <w:jc w:val="center"/>
      </w:pPr>
      <w:r>
        <w:t>168-hour out-of-sample forecast overlay: actual BTC closing prices (solid) vs. XGBoost, LSTM, GRU and Informer predictions across representative Walk-Forward test folds.</w:t>
      </w:r>
    </w:p>
    <w:p w14:paraId="77C97DB3" w14:textId="77777777" w:rsidR="008A78AA" w:rsidRDefault="00000000">
      <w:pPr>
        <w:pStyle w:val="Heading2"/>
      </w:pPr>
      <w:r>
        <w:t>Validation Across Model Topologies</w:t>
      </w:r>
    </w:p>
    <w:p w14:paraId="07E8321E" w14:textId="77777777" w:rsidR="008A78AA" w:rsidRDefault="00B81C38">
      <w:pPr>
        <w:pStyle w:val="BodyText"/>
      </w:pPr>
      <w:r>
        <w:t>Table III reports the mean RMSE, MAE, and MAPE across all 24 Walk-Forward test folds alongside inter-fold standard deviations. To establish rigorous empirical benchmarks, two classical statistical baselines were implemented: a Naive Persistence model (P̂t+1 = Pt) and an ARIMA(1,1,0) model. Under single-step 1-hour ahead forecasting, the Naive persistence baseline achieves a raw price MAPE of 0.37% ± 0.16% (normalized RMSE = 0.0281 ± 0.0127), and ARIMA(1,1,0) yields virtually identical results (0.37% ± 0.16%, normalized RMSE = 0.0281 ± 0.0127) because the autoregressive coefficient on hourly differenced prices is near-zero (ϕ ≈ −0.012), reducing ARIMA to a random walk. While single-step persistence achieves low Euclidean error due to strong price autocorrelation over 60 minutes, it forecasts zero price change (r̂t+1 = 0), generating zero directional trading signals. This architectural evaluation addresses two distinct functional requirements within an enterprise Decision Support System (DSS): (i) Tactical Hourly Rebalancing, where models generate hourly directional positioning signals (st ∈ {1, 0}) to manage execution timing—a task where 1-hour Naive persistence achieves low nominal Euclidean error (0.0281) due to 60-minute autocorrelation but provides zero tactical utility (r̂t+1 = 0); and (ii) Strategic Multi-Step Risk Planning, where risk committees require multi-day 168-hour (7-day) unrolled trajectory forecasts to simulate weekly Value-at-Risk, capital adequacy, and liquidity buffers across the holding period. Across this 168-hour risk horizon, naive constant projection deteriorates severely (RMSE = 0.1845 ± 0.0092; raw dollar MAPE = 5.58% ± 0.42%), whereas GRU (RMSE = 0.1058 ± 0.0034) preserves bounded representation stability without runaway error accumulation. Among machine learning models, XGBoost records an RMSE of 0.1524 ± 0.0068, while Informer achieves 0.1321 ± 0.0081. The recurrent models demonstrated clear superiority, with GRU attaining the lowest error (RMSE = 0.1058 ± 0.0034, MAE = 0.0948 ± 0.0028). In raw dollar terms ($16,000–$116,000), unscaled price MAPE across the 168-hour horizon is 1.42% for GRU, 1.58% for LSTM, 1.94% for Informer, and 2.18% for XGBoost.</w:t>
      </w:r>
    </w:p>
    <w:p w14:paraId="18273588" w14:textId="2B0A3DE1" w:rsidR="008A78AA" w:rsidRDefault="00D16FC1" w:rsidP="00662A52">
      <w:pPr>
        <w:pStyle w:val="BodyText"/>
      </w:pPr>
      <w:commentRangeStart w:id="37"/>
      <w:r>
        <w:t>Because the candidate models were evaluated repeatedly over matched Walk-Forward folds, a non-parametric Friedman test for repeated measures [46] was conducted across all 24 folds, confirming significant performance divergence across candidate architectures (χF² = 115.76, df = 5, p = 2.48 × 10−23 across all six models; χF² = 67.70, df = 3, p = 1.33 × 10−14 among the four machine learning architectures). Post-hoc pairwise Diebold–Mariano (DM) tests [35] evaluated over the out-of-sample differential loss series confirmed that the GRU statistically significantly outperformed the Naive 168-hour trajectory (DM z = −5.87, p = 4.36 × 10−9), XGBoost (DM z = −4.18, p = 2.92 × 10−5), Informer (DM z = −3.42, p = 6.26 × 10−4), and LSTM (DM z = −2.45, p = 0.0143), Holm–Bonferroni-adjusted p-values [47] remained below 0.05 for all four comparisons (largest adjusted p = 0.0143), confirming GRU as the statistically superior architecture under classical point-loss criteria.</w:t>
      </w:r>
      <w:commentRangeEnd w:id="37"/>
      <w:r>
        <w:commentReference w:id="37"/>
      </w:r>
    </w:p>
    <w:p w14:paraId="333D64D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29B6B485" w14:textId="77777777">
        <w:trPr>
          <w:cantSplit/>
          <w:trHeight w:val="240"/>
          <w:tblHeader/>
          <w:jc w:val="center"/>
        </w:trPr>
        <w:tc>
          <w:tcPr>
            <w:tcW w:w="1441"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Model Architecture</w:t>
            </w:r>
          </w:p>
        </w:tc>
        <w:tc>
          <w:tcPr>
            <w:tcW w:w="1239"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Mean RMSE (± SD)</w:t>
            </w:r>
          </w:p>
        </w:tc>
        <w:tc>
          <w:tcPr>
            <w:tcW w:w="1241"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Absolute MAE (± SD)</w:t>
            </w:r>
          </w:p>
        </w:tc>
        <w:tc>
          <w:tcPr>
            <w:tcW w:w="879"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Norm. MAPE [Raw Price MAPE]</w:t>
            </w:r>
          </w:p>
        </w:tc>
      </w:tr>
      <w:tr w:rsidR="008A78AA" w14:paraId="459E93C3" w14:textId="77777777">
        <w:trPr>
          <w:cantSplit/>
          <w:trHeight w:val="240"/>
          <w:jc w:val="center"/>
        </w:trPr>
        <w:tc>
          <w:tcPr>
            <w:tcW w:w="1441" w:type="dxa"/>
            <w:tcMar>
              <w:top w:w="50" w:type="dxa"/>
              <w:left w:w="70" w:type="dxa"/>
              <w:bottom w:w="50" w:type="dxa"/>
              <w:right w:w="70" w:type="dxa"/>
            </w:tcMar>
            <w:vAlign w:val="center"/>
          </w:tcPr>
          <w:p>
            <w:pPr>
              <w:pStyle w:val="tablecopy"/>
            </w:pPr>
            <w:r>
              <w:t>Naive (1h Persistence)</w:t>
            </w:r>
          </w:p>
        </w:tc>
        <w:tc>
          <w:tcPr>
            <w:tcW w:w="1239" w:type="dxa"/>
            <w:tcMar>
              <w:top w:w="50" w:type="dxa"/>
              <w:left w:w="70" w:type="dxa"/>
              <w:bottom w:w="50" w:type="dxa"/>
              <w:right w:w="70" w:type="dxa"/>
            </w:tcMar>
            <w:vAlign w:val="center"/>
          </w:tcPr>
          <w:p>
            <w:pPr>
              <w:pStyle w:val="tablecopy"/>
            </w:pPr>
            <w:r>
              <w:t>0.0281 ± 0.0127</w:t>
            </w:r>
          </w:p>
        </w:tc>
        <w:tc>
          <w:tcPr>
            <w:tcW w:w="1241" w:type="dxa"/>
            <w:tcMar>
              <w:top w:w="50" w:type="dxa"/>
              <w:left w:w="70" w:type="dxa"/>
              <w:bottom w:w="50" w:type="dxa"/>
              <w:right w:w="70" w:type="dxa"/>
            </w:tcMar>
            <w:vAlign w:val="center"/>
          </w:tcPr>
          <w:p>
            <w:pPr>
              <w:pStyle w:val="tablecopy"/>
            </w:pPr>
            <w:r>
              <w:t>0.0215 ± 0.0094</w:t>
            </w:r>
          </w:p>
        </w:tc>
        <w:tc>
          <w:tcPr>
            <w:tcW w:w="879" w:type="dxa"/>
            <w:tcMar>
              <w:top w:w="50" w:type="dxa"/>
              <w:left w:w="70" w:type="dxa"/>
              <w:bottom w:w="50" w:type="dxa"/>
              <w:right w:w="70" w:type="dxa"/>
            </w:tcMar>
            <w:vAlign w:val="center"/>
          </w:tcPr>
          <w:p>
            <w:pPr>
              <w:pStyle w:val="tablecopy"/>
            </w:pPr>
            <w:r>
              <w:t>4.12% [0.37% ± 0.16%]</w:t>
            </w:r>
          </w:p>
        </w:tc>
      </w:tr>
      <w:tr w:rsidR="008A78AA" w14:paraId="366F49BD" w14:textId="77777777">
        <w:trPr>
          <w:cantSplit/>
          <w:trHeight w:val="240"/>
          <w:jc w:val="center"/>
        </w:trPr>
        <w:tc>
          <w:tcPr>
            <w:tcW w:w="1441" w:type="dxa"/>
            <w:tcMar>
              <w:top w:w="50" w:type="dxa"/>
              <w:left w:w="70" w:type="dxa"/>
              <w:bottom w:w="50" w:type="dxa"/>
              <w:right w:w="70" w:type="dxa"/>
            </w:tcMar>
            <w:vAlign w:val="center"/>
          </w:tcPr>
          <w:p>
            <w:pPr>
              <w:pStyle w:val="tablecopy"/>
            </w:pPr>
            <w:r>
              <w:t>ARIMA(1,1,0)</w:t>
            </w:r>
          </w:p>
        </w:tc>
        <w:tc>
          <w:tcPr>
            <w:tcW w:w="1239" w:type="dxa"/>
            <w:tcMar>
              <w:top w:w="50" w:type="dxa"/>
              <w:left w:w="70" w:type="dxa"/>
              <w:bottom w:w="50" w:type="dxa"/>
              <w:right w:w="70" w:type="dxa"/>
            </w:tcMar>
            <w:vAlign w:val="center"/>
          </w:tcPr>
          <w:p>
            <w:pPr>
              <w:pStyle w:val="tablecopy"/>
            </w:pPr>
            <w:r>
              <w:t>0.0281 ± 0.0127</w:t>
            </w:r>
          </w:p>
        </w:tc>
        <w:tc>
          <w:tcPr>
            <w:tcW w:w="1241" w:type="dxa"/>
            <w:tcMar>
              <w:top w:w="50" w:type="dxa"/>
              <w:left w:w="70" w:type="dxa"/>
              <w:bottom w:w="50" w:type="dxa"/>
              <w:right w:w="70" w:type="dxa"/>
            </w:tcMar>
            <w:vAlign w:val="center"/>
          </w:tcPr>
          <w:p>
            <w:pPr>
              <w:pStyle w:val="tablecopy"/>
            </w:pPr>
            <w:r>
              <w:t>0.0215 ± 0.0094</w:t>
            </w:r>
          </w:p>
        </w:tc>
        <w:tc>
          <w:tcPr>
            <w:tcW w:w="879" w:type="dxa"/>
            <w:tcMar>
              <w:top w:w="50" w:type="dxa"/>
              <w:left w:w="70" w:type="dxa"/>
              <w:bottom w:w="50" w:type="dxa"/>
              <w:right w:w="70" w:type="dxa"/>
            </w:tcMar>
            <w:vAlign w:val="center"/>
          </w:tcPr>
          <w:p>
            <w:pPr>
              <w:pStyle w:val="tablecopy"/>
            </w:pPr>
            <w:r>
              <w:t>4.12% [0.37% ± 0.16%]</w:t>
            </w:r>
          </w:p>
        </w:tc>
      </w:tr>
      <w:tr w:rsidR="008A78AA" w14:paraId="321856CB" w14:textId="77777777">
        <w:trPr>
          <w:cantSplit/>
          <w:trHeight w:val="240"/>
          <w:jc w:val="center"/>
        </w:trPr>
        <w:tc>
          <w:tcPr>
            <w:tcW w:w="1441" w:type="dxa"/>
            <w:tcMar>
              <w:top w:w="50" w:type="dxa"/>
              <w:left w:w="70" w:type="dxa"/>
              <w:bottom w:w="50" w:type="dxa"/>
              <w:right w:w="70" w:type="dxa"/>
            </w:tcMar>
            <w:vAlign w:val="center"/>
          </w:tcPr>
          <w:p>
            <w:pPr>
              <w:pStyle w:val="tablecopy"/>
            </w:pPr>
            <w:r>
              <w:t>Naive (168h Trajectory)</w:t>
            </w:r>
          </w:p>
        </w:tc>
        <w:tc>
          <w:tcPr>
            <w:tcW w:w="1239" w:type="dxa"/>
            <w:tcMar>
              <w:top w:w="50" w:type="dxa"/>
              <w:left w:w="70" w:type="dxa"/>
              <w:bottom w:w="50" w:type="dxa"/>
              <w:right w:w="70" w:type="dxa"/>
            </w:tcMar>
            <w:vAlign w:val="center"/>
          </w:tcPr>
          <w:p>
            <w:pPr>
              <w:pStyle w:val="tablecopy"/>
            </w:pPr>
            <w:r>
              <w:t>0.1845 ± 0.0092</w:t>
            </w:r>
          </w:p>
        </w:tc>
        <w:tc>
          <w:tcPr>
            <w:tcW w:w="1241" w:type="dxa"/>
            <w:tcMar>
              <w:top w:w="50" w:type="dxa"/>
              <w:left w:w="70" w:type="dxa"/>
              <w:bottom w:w="50" w:type="dxa"/>
              <w:right w:w="70" w:type="dxa"/>
            </w:tcMar>
            <w:vAlign w:val="center"/>
          </w:tcPr>
          <w:p>
            <w:pPr>
              <w:pStyle w:val="tablecopy"/>
            </w:pPr>
            <w:r>
              <w:t>0.1512 ± 0.0078</w:t>
            </w:r>
          </w:p>
        </w:tc>
        <w:tc>
          <w:tcPr>
            <w:tcW w:w="879" w:type="dxa"/>
            <w:tcMar>
              <w:top w:w="50" w:type="dxa"/>
              <w:left w:w="70" w:type="dxa"/>
              <w:bottom w:w="50" w:type="dxa"/>
              <w:right w:w="70" w:type="dxa"/>
            </w:tcMar>
            <w:vAlign w:val="center"/>
          </w:tcPr>
          <w:p>
            <w:pPr>
              <w:pStyle w:val="tablecopy"/>
            </w:pPr>
            <w:r>
              <w:t>19.85% [5.58% ± 0.42%]</w:t>
            </w:r>
          </w:p>
        </w:tc>
      </w:tr>
      <w:tr w:rsidR="008A78AA" w14:paraId="0619D184" w14:textId="77777777">
        <w:trPr>
          <w:cantSplit/>
          <w:trHeight w:val="240"/>
          <w:jc w:val="center"/>
        </w:trPr>
        <w:tc>
          <w:tcPr>
            <w:tcW w:w="1441" w:type="dxa"/>
            <w:tcBorders>
              <w:bottom w:val="single" w:sz="8" w:space="0" w:color="000000"/>
            </w:tcBorders>
            <w:tcMar>
              <w:top w:w="50" w:type="dxa"/>
              <w:left w:w="70" w:type="dxa"/>
              <w:bottom w:w="50" w:type="dxa"/>
              <w:right w:w="70" w:type="dxa"/>
            </w:tcMar>
            <w:vAlign w:val="center"/>
          </w:tcPr>
          <w:p>
            <w:pPr>
              <w:pStyle w:val="tablecopy"/>
            </w:pPr>
            <w:r>
              <w:t>XGBoost (Tabular)</w:t>
            </w:r>
          </w:p>
        </w:tc>
        <w:tc>
          <w:tcPr>
            <w:tcW w:w="1239" w:type="dxa"/>
            <w:tcBorders>
              <w:bottom w:val="single" w:sz="8" w:space="0" w:color="000000"/>
            </w:tcBorders>
            <w:tcMar>
              <w:top w:w="50" w:type="dxa"/>
              <w:left w:w="70" w:type="dxa"/>
              <w:bottom w:w="50" w:type="dxa"/>
              <w:right w:w="70" w:type="dxa"/>
            </w:tcMar>
            <w:vAlign w:val="center"/>
          </w:tcPr>
          <w:p>
            <w:pPr>
              <w:pStyle w:val="tablecopy"/>
            </w:pPr>
            <w:r>
              <w:t>0.1524 ± 0.0068</w:t>
            </w:r>
          </w:p>
        </w:tc>
        <w:tc>
          <w:tcPr>
            <w:tcW w:w="1241" w:type="dxa"/>
            <w:tcBorders>
              <w:bottom w:val="single" w:sz="8" w:space="0" w:color="000000"/>
            </w:tcBorders>
            <w:tcMar>
              <w:top w:w="50" w:type="dxa"/>
              <w:left w:w="70" w:type="dxa"/>
              <w:bottom w:w="50" w:type="dxa"/>
              <w:right w:w="70" w:type="dxa"/>
            </w:tcMar>
            <w:vAlign w:val="center"/>
          </w:tcPr>
          <w:p>
            <w:pPr>
              <w:pStyle w:val="tablecopy"/>
            </w:pPr>
            <w:r>
              <w:t>0.1260 ± 0.0055</w:t>
            </w:r>
          </w:p>
        </w:tc>
        <w:tc>
          <w:tcPr>
            <w:tcW w:w="879" w:type="dxa"/>
            <w:tcBorders>
              <w:bottom w:val="single" w:sz="8" w:space="0" w:color="000000"/>
            </w:tcBorders>
            <w:tcMar>
              <w:top w:w="50" w:type="dxa"/>
              <w:left w:w="70" w:type="dxa"/>
              <w:bottom w:w="50" w:type="dxa"/>
              <w:right w:w="70" w:type="dxa"/>
            </w:tcMar>
            <w:vAlign w:val="center"/>
          </w:tcPr>
          <w:p>
            <w:pPr>
              <w:pStyle w:val="tablecopy"/>
            </w:pPr>
            <w:r>
              <w:t>16.50% [2.18% ± 0.12%]</w:t>
            </w:r>
          </w:p>
        </w:tc>
      </w:tr>
      <w:tr>
        <w:tc>
          <w:tcPr>
            <w:tcW w:w="1441" w:type="dxa"/>
          </w:tcPr>
          <w:p>
            <w:pPr>
              <w:pStyle w:val="tablecopy"/>
            </w:pPr>
            <w:r>
              <w:t>Informer Transformer</w:t>
            </w:r>
          </w:p>
        </w:tc>
        <w:tc>
          <w:tcPr>
            <w:tcW w:w="1239" w:type="dxa"/>
          </w:tcPr>
          <w:p>
            <w:pPr>
              <w:pStyle w:val="tablecopy"/>
            </w:pPr>
            <w:r>
              <w:t>0.1321 ± 0.0081</w:t>
            </w:r>
          </w:p>
        </w:tc>
        <w:tc>
          <w:tcPr>
            <w:tcW w:w="1241" w:type="dxa"/>
          </w:tcPr>
          <w:p>
            <w:pPr>
              <w:pStyle w:val="tablecopy"/>
            </w:pPr>
            <w:r>
              <w:t>0.1119 ± 0.0072</w:t>
            </w:r>
          </w:p>
        </w:tc>
        <w:tc>
          <w:tcPr>
            <w:tcW w:w="879" w:type="dxa"/>
          </w:tcPr>
          <w:p>
            <w:pPr>
              <w:pStyle w:val="tablecopy"/>
            </w:pPr>
            <w:r>
              <w:t>14.82% [1.94% ± 0.15%]</w:t>
            </w:r>
          </w:p>
        </w:tc>
      </w:tr>
      <w:tr>
        <w:tc>
          <w:tcPr>
            <w:tcW w:w="1441" w:type="dxa"/>
          </w:tcPr>
          <w:p>
            <w:pPr>
              <w:pStyle w:val="tablecopy"/>
            </w:pPr>
            <w:r>
              <w:t>LSTM Recurrent</w:t>
            </w:r>
          </w:p>
        </w:tc>
        <w:tc>
          <w:tcPr>
            <w:tcW w:w="1239" w:type="dxa"/>
          </w:tcPr>
          <w:p>
            <w:pPr>
              <w:pStyle w:val="tablecopy"/>
            </w:pPr>
            <w:r>
              <w:t>0.1145 ± 0.0051</w:t>
            </w:r>
          </w:p>
        </w:tc>
        <w:tc>
          <w:tcPr>
            <w:tcW w:w="1241" w:type="dxa"/>
          </w:tcPr>
          <w:p>
            <w:pPr>
              <w:pStyle w:val="tablecopy"/>
            </w:pPr>
            <w:r>
              <w:t>0.1008 ± 0.0042</w:t>
            </w:r>
          </w:p>
        </w:tc>
        <w:tc>
          <w:tcPr>
            <w:tcW w:w="879" w:type="dxa"/>
          </w:tcPr>
          <w:p>
            <w:pPr>
              <w:pStyle w:val="tablecopy"/>
            </w:pPr>
            <w:r>
              <w:t>13.96% [1.58% ± 0.09%]</w:t>
            </w:r>
          </w:p>
        </w:tc>
      </w:tr>
      <w:tr>
        <w:tc>
          <w:tcPr>
            <w:tcW w:w="1441" w:type="dxa"/>
          </w:tcPr>
          <w:p>
            <w:pPr>
              <w:pStyle w:val="tablecopy"/>
            </w:pPr>
            <w:r>
              <w:t>GRU Recurrent</w:t>
            </w:r>
          </w:p>
        </w:tc>
        <w:tc>
          <w:tcPr>
            <w:tcW w:w="1239" w:type="dxa"/>
          </w:tcPr>
          <w:p>
            <w:pPr>
              <w:pStyle w:val="tablecopy"/>
            </w:pPr>
            <w:r>
              <w:t>0.1058 ± 0.0034</w:t>
            </w:r>
          </w:p>
        </w:tc>
        <w:tc>
          <w:tcPr>
            <w:tcW w:w="1241" w:type="dxa"/>
          </w:tcPr>
          <w:p>
            <w:pPr>
              <w:pStyle w:val="tablecopy"/>
            </w:pPr>
            <w:r>
              <w:t>0.0948 ± 0.0028</w:t>
            </w:r>
          </w:p>
        </w:tc>
        <w:tc>
          <w:tcPr>
            <w:tcW w:w="879" w:type="dxa"/>
          </w:tcPr>
          <w:p>
            <w:pPr>
              <w:pStyle w:val="tablecopy"/>
            </w:pPr>
            <w:r>
              <w:t>13.13% [1.42% ± 0.06%]</w:t>
            </w:r>
          </w:p>
        </w:tc>
      </w:tr>
    </w:tbl>
    <w:p w14:paraId="27876C67" w14:textId="77777777" w:rsidR="008A78AA" w:rsidRDefault="00000000">
      <w:pPr>
        <w:pStyle w:val="Heading2"/>
      </w:pPr>
      <w:r>
        <w:t>Error Distributions and Macro-Regime Anomalies</w:t>
      </w:r>
    </w:p>
    <w:p w14:paraId="11566EC8" w14:textId="77777777" w:rsidR="00B81C38" w:rsidRDefault="00D16FC1" w:rsidP="00B81C38">
      <w:pPr>
        <w:pStyle w:val="BodyText"/>
      </w:pPr>
      <w:commentRangeStart w:id="24"/>
      <w:r>
        <w:t xml:space="preserve">A critical dimension of model governance is the characterization of failure regimes. Forecast errors are expected to increase during systemic liquidity shocks, in which price moves exceed three rolling standard deviations (±3σ). Among the 24 test windows in Table II, the most relevant stress episodes are Fold 2 (June 2021 liquidity shock), Fold 9 (post-FTX contraction), Fold 10 (March 2023 banking shock), and Fold 6 (Terra-Luna collapse, May 7–14, 2022, −16.4%).</w:t>
      </w:r>
      <w:commentRangeEnd w:id="24"/>
      <w:r>
        <w:commentReference w:id="24"/>
      </w:r>
    </w:p>
    <w:p w14:paraId="3BE4AD72" w14:textId="77777777" w:rsidR="008A78AA" w:rsidRDefault="00B81C38" w:rsidP="00B81C38">
      <w:pPr>
        <w:pStyle w:val="BodyText"/>
      </w:pPr>
      <w:r>
        <w:t>As illustrated in Figure 3, the residual error distributions exhibit pronounced right-skewed fat tails consistent with extreme regime transitions. This structural limitation underscores that technical price-derived features alone cannot anticipate exogenous macro-liquidity shifts or exchange-insolvency cascades.</w:t>
      </w:r>
    </w:p>
    <w:p w14:paraId="4EDED07F" w14:textId="77777777" w:rsidR="008A78AA" w:rsidRDefault="00000000">
      <w:pPr>
        <w:pStyle w:val="BodyText"/>
        <w:jc w:val="center"/>
      </w:pPr>
      <w:r>
        <w:rPr>
          <w:noProof/>
        </w:rPr>
        <w:drawing>
          <wp:inline distT="0" distB="0" distL="0" distR="0" wp14:anchorId="6AD58844" wp14:editId="1CD997EF">
            <wp:extent cx="3108960" cy="14122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sidual_Distribution_300dpi.png"/>
                    <pic:cNvPicPr/>
                  </pic:nvPicPr>
                  <pic:blipFill>
                    <a:blip r:embed="rId13"/>
                    <a:stretch>
                      <a:fillRect/>
                    </a:stretch>
                  </pic:blipFill>
                  <pic:spPr>
                    <a:xfrm>
                      <a:off x="0" y="0"/>
                      <a:ext cx="3108960" cy="1412299"/>
                    </a:xfrm>
                    <a:prstGeom prst="rect">
                      <a:avLst/>
                    </a:prstGeom>
                  </pic:spPr>
                </pic:pic>
              </a:graphicData>
            </a:graphic>
          </wp:inline>
        </w:drawing>
      </w:r>
    </w:p>
    <w:p w14:paraId="54F1690F" w14:textId="77777777" w:rsidR="008A78AA" w:rsidRDefault="00A018D2">
      <w:pPr>
        <w:pStyle w:val="figurecaption"/>
        <w:jc w:val="center"/>
      </w:pPr>
      <w:r>
        <w:t>Residual error distributions for GRU and LSTM fold-aggregates: fat tails are consistent with extreme ±3σ volatility episodes.</w:t>
      </w:r>
    </w:p>
    <w:p w14:paraId="4C5844E2" w14:textId="77777777" w:rsidR="008A78AA" w:rsidRDefault="00000000">
      <w:pPr>
        <w:pStyle w:val="Heading2"/>
      </w:pPr>
      <w:r>
        <w:t>Operational Microsoft Power BI Prototype Verification</w:t>
      </w:r>
    </w:p>
    <w:p w14:paraId="7157632C" w14:textId="77777777" w:rsidR="008A78AA" w:rsidRDefault="00A018D2">
      <w:pPr>
        <w:pStyle w:val="BodyText"/>
      </w:pPr>
      <w:r>
        <w:t>Table IV presents a markedly contrasting evaluation when assessing models through the lens of decision support and risk-adjusted financial performance. The operational prototype was evaluated across three core dimensions adapted from Power [9] and Sharda et al. [26], followed by a practical-implications analysis:</w:t>
      </w:r>
    </w:p>
    <w:p w14:paraId="40847D5B" w14:textId="77777777" w:rsidR="008A78AA" w:rsidRDefault="00000000">
      <w:pPr>
        <w:pStyle w:val="BodyText"/>
      </w:pPr>
      <w:r>
        <w:t>1) Functional Correctness: Model inference outputs were streamed to live dashboard tiles with an average refresh latency of 1.2 seconds. All 43,824 records were successfully ingested into the PostgreSQL Data Mart with 100% integrity, validated by row-count audits and SHA-256 checksums.</w:t>
      </w:r>
    </w:p>
    <w:p w14:paraId="35C9D4F7" w14:textId="77777777" w:rsidR="008A78AA" w:rsidRDefault="00000000">
      <w:pPr>
        <w:pStyle w:val="BodyText"/>
      </w:pPr>
      <w:r>
        <w:t>2) Numerical Stability: Dashboard-computed Sharpe Ratios and VaR(95%) values demonstrated exact agreement with Python-computed ground-truth calculations (maximum deviation ≤ 0.003), satisfying the precision criteria for enterprise risk management.</w:t>
      </w:r>
    </w:p>
    <w:p w14:paraId="1AFBD775" w14:textId="77777777" w:rsidR="00D90C4A" w:rsidRDefault="00000000" w:rsidP="00D90C4A">
      <w:pPr>
        <w:pStyle w:val="BodyText"/>
      </w:pPr>
      <w:commentRangeStart w:id="31"/>
      <w:r>
        <w:t>3) Usability Evaluation and Ethical Clearance: Following a structured 30-minute walkthrough, a usability assessment was conducted with 15 domain evaluators (10 postgraduate informatics researchers and 5 financial analytics professionals) using the standardized System Usability Scale (SUS) [37]. The usability evaluation protocol was reviewed and granted formal institutional ethical clearance by the Research Ethics Review Committee of Universitas Nusa Putra (Protocol Ref: UNP-REC/2026/04-019). The dashboard achieved an average SUS score of 86.4 with a standard deviation of 3.2, placing it in the 'Excellent' usability tier [38]. The compact dispersion (SD = 3.2) reflects the shared advanced technical literacy of the evaluator cohort and their execution of identical scripted walkthrough tasks.</w:t>
      </w:r>
      <w:commentRangeEnd w:id="31"/>
      <w:r>
        <w:commentReference w:id="31"/>
      </w:r>
    </w:p>
    <w:p w14:paraId="4A85612B" w14:textId="77777777" w:rsidR="008A78AA" w:rsidRDefault="00D90C4A" w:rsidP="00D90C4A">
      <w:pPr>
        <w:pStyle w:val="BodyText"/>
      </w:pPr>
      <w:r>
        <w:t>4) Practical Implications: As detailed in Table IV, active spot algorithmic trading substantially outperformed the passive Buy-and-Hold benchmark (Net Sharpe = 0.48 ± 0.65, Aggregate Daily VaR95% = −5.82%). Accounting for transaction friction under a consistent strategy volatility assumption (σ ≈ 57%), the annualized Net Sharpe Ratios are 1.45 ± 0.38 for LSTM (turnover τ = 1.8%, annual fee drag = 0.33), 1.23 ± 0.40 for GRU (τ = 2.1%, annual fee drag = 0.39), 0.93 ± 0.45 for Informer (τ = 2.6%, annual fee drag = 0.48), and 0.63 ± 0.48 for XGBoost (τ = 3.2%, annual fee drag = 0.59). The empirical Directional Accuracy (56.4% for LSTM, 55.1% for GRU) is mathematically consistent with these annualized Gross Sharpe Ratios (1.78 and 1.62) under the spot long/cash policy. Importantly, the performance difference between LSTM and GRU (DA: 56.4% vs 55.1%; Net Sharpe: 1.45 vs 1.23) is modest and falls within inter-fold sampling error (inter-fold SD of 3.6%–3.8% and 0.38–0.40; paired Wilcoxon signed-rank p = 0.088, non-significant). Rather than indicating a stark divergence, both recurrent architectures demonstrate comparable effectiveness in capital preservation over tree-based and transformer models, effectively reducing Aggregate Daily VaR95% from −5.82% (Buy-and-Hold) to −2.34% (LSTM) and −2.70% (GRU).</w:t>
      </w:r>
    </w:p>
    <w:p>
      <w:pPr>
        <w:spacing w:before="0" w:after="0" w:line="20" w:lineRule="exact"/>
        <w:sectPr>
          <w:type w:val="continuous"/>
          <w:pgSz w:w="11906" w:h="16838"/>
          <w:pgMar w:top="540" w:right="893" w:bottom="1440" w:left="893" w:header="0" w:footer="720" w:gutter="0"/>
          <w:cols w:num="2" w:space="360"/>
        </w:sectPr>
      </w:pPr>
    </w:p>
    <w:p w14:paraId="79ED9B44" w14:textId="77777777" w:rsidR="008A78AA" w:rsidRDefault="00000000">
      <w:pPr>
        <w:pStyle w:val="tablehead"/>
      </w:pPr>
      <w:commentRangeStart w:id="38"/>
      <w:commentRangeStart w:id="26"/>
      <w:r>
        <w:t>KPI DASHBOARD (SHARPE, VAR, DIRECTIONAL ACCURACY)</w:t>
      </w:r>
      <w:commentRangeEnd w:id="26"/>
      <w:r>
        <w:commentReference w:id="26"/>
      </w:r>
      <w:commentRangeEnd w:id="38"/>
      <w:r>
        <w:commentReference w:id="38"/>
      </w:r>
    </w:p>
    <w:tbl>
      <w:tblPr>
        <w:tblW w:w="10120" w:type="dxa"/>
        <w:jc w:val="center"/>
        <w:tblLayout w:type="fixed"/>
        <w:tblLook w:val="0000" w:firstRow="0" w:lastRow="0" w:firstColumn="0" w:lastColumn="0" w:noHBand="0" w:noVBand="0"/>
      </w:tblPr>
      <w:tblGrid>
        <w:gridCol w:w="2200"/>
        <w:gridCol w:w="1100"/>
        <w:gridCol w:w="1100"/>
        <w:gridCol w:w="1100"/>
        <w:gridCol w:w="1400"/>
        <w:gridCol w:w="1500"/>
        <w:gridCol w:w="1720"/>
      </w:tblGrid>
      <w:tr w:rsidR="008A78AA" w14:paraId="342C79E8" w14:textId="77777777">
        <w:trPr>
          <w:cantSplit/>
          <w:trHeight w:val="240"/>
          <w:tblHeader/>
          <w:jc w:val="center"/>
        </w:trPr>
        <w:tc>
          <w:tcPr>
            <w:tcW w:w="2200"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Model / Strategy</w:t>
            </w:r>
          </w:p>
        </w:tc>
        <w:tc>
          <w:tcPr>
            <w:tcW w:w="1100"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Direction Acc.</w:t>
            </w:r>
          </w:p>
        </w:tc>
        <w:tc>
          <w:tcPr>
            <w:tcW w:w="1100"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Gross Sharpe</w:t>
            </w:r>
          </w:p>
        </w:tc>
        <w:tc>
          <w:tcPr>
            <w:tcW w:w="1100"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Net Sharpe</w:t>
            </w:r>
          </w:p>
        </w:tc>
        <w:tc>
          <w:tcPr>
            <w:tcW w:w="1400" w:type="dxa"/>
          </w:tcPr>
          <w:p>
            <w:pPr>
              <w:pStyle w:val="tablecolhead"/>
            </w:pPr>
            <w:r>
              <w:t>Hourly Turnover (τ)</w:t>
            </w:r>
          </w:p>
        </w:tc>
        <w:tc>
          <w:tcPr>
            <w:tcW w:w="1500" w:type="dxa"/>
          </w:tcPr>
          <w:p>
            <w:pPr>
              <w:pStyle w:val="tablecolhead"/>
            </w:pPr>
            <w:r>
              <w:t>Hourly VaR (95%)</w:t>
            </w:r>
          </w:p>
        </w:tc>
        <w:tc>
          <w:tcPr>
            <w:tcW w:w="1720" w:type="dxa"/>
          </w:tcPr>
          <w:p>
            <w:pPr>
              <w:pStyle w:val="tablecolhead"/>
            </w:pPr>
            <w:r>
              <w:t>Aggregate Daily VaR (95%)</w:t>
            </w:r>
          </w:p>
        </w:tc>
      </w:tr>
      <w:tr w:rsidR="008A78AA" w14:paraId="30A7DDFF" w14:textId="77777777">
        <w:trPr>
          <w:cantSplit/>
          <w:trHeight w:val="240"/>
          <w:jc w:val="center"/>
        </w:trPr>
        <w:tc>
          <w:tcPr>
            <w:tcW w:w="2200" w:type="dxa"/>
            <w:tcMar>
              <w:top w:w="50" w:type="dxa"/>
              <w:left w:w="70" w:type="dxa"/>
              <w:bottom w:w="50" w:type="dxa"/>
              <w:right w:w="70" w:type="dxa"/>
            </w:tcMar>
            <w:vAlign w:val="center"/>
          </w:tcPr>
          <w:p>
            <w:pPr>
              <w:pStyle w:val="tablecopy"/>
            </w:pPr>
            <w:r>
              <w:t>Buy-and-Hold (Benchmark)</w:t>
            </w:r>
          </w:p>
        </w:tc>
        <w:tc>
          <w:tcPr>
            <w:tcW w:w="1100" w:type="dxa"/>
            <w:tcMar>
              <w:top w:w="50" w:type="dxa"/>
              <w:left w:w="70" w:type="dxa"/>
              <w:bottom w:w="50" w:type="dxa"/>
              <w:right w:w="70" w:type="dxa"/>
            </w:tcMar>
            <w:vAlign w:val="center"/>
          </w:tcPr>
          <w:p>
            <w:pPr>
              <w:pStyle w:val="tablecopy"/>
            </w:pPr>
            <w:r>
              <w:t>50.8% (Drift)</w:t>
            </w:r>
          </w:p>
        </w:tc>
        <w:tc>
          <w:tcPr>
            <w:tcW w:w="1100" w:type="dxa"/>
            <w:tcMar>
              <w:top w:w="50" w:type="dxa"/>
              <w:left w:w="70" w:type="dxa"/>
              <w:bottom w:w="50" w:type="dxa"/>
              <w:right w:w="70" w:type="dxa"/>
            </w:tcMar>
            <w:vAlign w:val="center"/>
          </w:tcPr>
          <w:p>
            <w:pPr>
              <w:pStyle w:val="tablecopy"/>
            </w:pPr>
            <w:r>
              <w:t>0.48 ± 0.65</w:t>
            </w:r>
          </w:p>
        </w:tc>
        <w:tc>
          <w:tcPr>
            <w:tcW w:w="1100" w:type="dxa"/>
            <w:tcMar>
              <w:top w:w="50" w:type="dxa"/>
              <w:left w:w="70" w:type="dxa"/>
              <w:bottom w:w="50" w:type="dxa"/>
              <w:right w:w="70" w:type="dxa"/>
            </w:tcMar>
            <w:vAlign w:val="center"/>
          </w:tcPr>
          <w:p>
            <w:pPr>
              <w:pStyle w:val="tablecopy"/>
            </w:pPr>
            <w:r>
              <w:t>0.48 ± 0.65</w:t>
            </w:r>
          </w:p>
        </w:tc>
        <w:tc>
          <w:tcPr>
            <w:tcW w:w="1400" w:type="dxa"/>
          </w:tcPr>
          <w:p>
            <w:pPr>
              <w:pStyle w:val="tablecopy"/>
            </w:pPr>
            <w:r>
              <w:t>0.0%</w:t>
            </w:r>
          </w:p>
        </w:tc>
        <w:tc>
          <w:tcPr>
            <w:tcW w:w="1500" w:type="dxa"/>
          </w:tcPr>
          <w:p>
            <w:pPr>
              <w:pStyle w:val="tablecopy"/>
            </w:pPr>
            <w:r>
              <w:t>-0.87%</w:t>
            </w:r>
          </w:p>
        </w:tc>
        <w:tc>
          <w:tcPr>
            <w:tcW w:w="1720" w:type="dxa"/>
          </w:tcPr>
          <w:p>
            <w:pPr>
              <w:pStyle w:val="tablecopy"/>
            </w:pPr>
            <w:r>
              <w:t>-5.82%</w:t>
            </w:r>
          </w:p>
        </w:tc>
      </w:tr>
      <w:tr w:rsidR="008A78AA" w14:paraId="6F2A5717" w14:textId="77777777">
        <w:trPr>
          <w:cantSplit/>
          <w:trHeight w:val="240"/>
          <w:jc w:val="center"/>
        </w:trPr>
        <w:tc>
          <w:tcPr>
            <w:tcW w:w="2200" w:type="dxa"/>
            <w:tcMar>
              <w:top w:w="50" w:type="dxa"/>
              <w:left w:w="70" w:type="dxa"/>
              <w:bottom w:w="50" w:type="dxa"/>
              <w:right w:w="70" w:type="dxa"/>
            </w:tcMar>
            <w:vAlign w:val="center"/>
          </w:tcPr>
          <w:p>
            <w:pPr>
              <w:pStyle w:val="tablecopy"/>
            </w:pPr>
            <w:r>
              <w:t>XGBoost</w:t>
            </w:r>
          </w:p>
        </w:tc>
        <w:tc>
          <w:tcPr>
            <w:tcW w:w="1100" w:type="dxa"/>
            <w:tcMar>
              <w:top w:w="50" w:type="dxa"/>
              <w:left w:w="70" w:type="dxa"/>
              <w:bottom w:w="50" w:type="dxa"/>
              <w:right w:w="70" w:type="dxa"/>
            </w:tcMar>
            <w:vAlign w:val="center"/>
          </w:tcPr>
          <w:p>
            <w:pPr>
              <w:pStyle w:val="tablecopy"/>
            </w:pPr>
            <w:r>
              <w:t>52.2% ± 4.2%</w:t>
            </w:r>
          </w:p>
        </w:tc>
        <w:tc>
          <w:tcPr>
            <w:tcW w:w="1100" w:type="dxa"/>
            <w:tcMar>
              <w:top w:w="50" w:type="dxa"/>
              <w:left w:w="70" w:type="dxa"/>
              <w:bottom w:w="50" w:type="dxa"/>
              <w:right w:w="70" w:type="dxa"/>
            </w:tcMar>
            <w:vAlign w:val="center"/>
          </w:tcPr>
          <w:p>
            <w:pPr>
              <w:pStyle w:val="tablecopy"/>
            </w:pPr>
            <w:r>
              <w:t>1.22 ± 0.52</w:t>
            </w:r>
          </w:p>
        </w:tc>
        <w:tc>
          <w:tcPr>
            <w:tcW w:w="1100" w:type="dxa"/>
            <w:tcMar>
              <w:top w:w="50" w:type="dxa"/>
              <w:left w:w="70" w:type="dxa"/>
              <w:bottom w:w="50" w:type="dxa"/>
              <w:right w:w="70" w:type="dxa"/>
            </w:tcMar>
            <w:vAlign w:val="center"/>
          </w:tcPr>
          <w:p>
            <w:pPr>
              <w:pStyle w:val="tablecopy"/>
            </w:pPr>
            <w:r>
              <w:t>0.63 ± 0.48</w:t>
            </w:r>
          </w:p>
        </w:tc>
        <w:tc>
          <w:tcPr>
            <w:tcW w:w="1400" w:type="dxa"/>
          </w:tcPr>
          <w:p>
            <w:pPr>
              <w:pStyle w:val="tablecopy"/>
            </w:pPr>
            <w:r>
              <w:t>3.2%</w:t>
            </w:r>
          </w:p>
        </w:tc>
        <w:tc>
          <w:tcPr>
            <w:tcW w:w="1500" w:type="dxa"/>
          </w:tcPr>
          <w:p>
            <w:pPr>
              <w:pStyle w:val="tablecopy"/>
            </w:pPr>
            <w:r>
              <w:t>-0.72%</w:t>
            </w:r>
          </w:p>
        </w:tc>
        <w:tc>
          <w:tcPr>
            <w:tcW w:w="1720" w:type="dxa"/>
          </w:tcPr>
          <w:p>
            <w:pPr>
              <w:pStyle w:val="tablecopy"/>
            </w:pPr>
            <w:r>
              <w:t>-4.10%</w:t>
            </w:r>
          </w:p>
        </w:tc>
      </w:tr>
      <w:tr w:rsidR="008A78AA" w14:paraId="2528B601" w14:textId="77777777">
        <w:trPr>
          <w:cantSplit/>
          <w:trHeight w:val="240"/>
          <w:jc w:val="center"/>
        </w:trPr>
        <w:tc>
          <w:tcPr>
            <w:tcW w:w="2200" w:type="dxa"/>
            <w:tcBorders>
              <w:bottom w:val="single" w:sz="8" w:space="0" w:color="000000"/>
            </w:tcBorders>
            <w:tcMar>
              <w:top w:w="50" w:type="dxa"/>
              <w:left w:w="70" w:type="dxa"/>
              <w:bottom w:w="50" w:type="dxa"/>
              <w:right w:w="70" w:type="dxa"/>
            </w:tcMar>
            <w:vAlign w:val="center"/>
          </w:tcPr>
          <w:p>
            <w:pPr>
              <w:pStyle w:val="tablecopy"/>
            </w:pPr>
            <w:r>
              <w:t>Informer</w:t>
            </w:r>
          </w:p>
        </w:tc>
        <w:tc>
          <w:tcPr>
            <w:tcW w:w="1100" w:type="dxa"/>
            <w:tcBorders>
              <w:bottom w:val="single" w:sz="8" w:space="0" w:color="000000"/>
            </w:tcBorders>
            <w:tcMar>
              <w:top w:w="50" w:type="dxa"/>
              <w:left w:w="70" w:type="dxa"/>
              <w:bottom w:w="50" w:type="dxa"/>
              <w:right w:w="70" w:type="dxa"/>
            </w:tcMar>
            <w:vAlign w:val="center"/>
          </w:tcPr>
          <w:p>
            <w:pPr>
              <w:pStyle w:val="tablecopy"/>
            </w:pPr>
            <w:r>
              <w:t>53.6% ± 4.1%</w:t>
            </w:r>
          </w:p>
        </w:tc>
        <w:tc>
          <w:tcPr>
            <w:tcW w:w="1100" w:type="dxa"/>
            <w:tcBorders>
              <w:bottom w:val="single" w:sz="8" w:space="0" w:color="000000"/>
            </w:tcBorders>
            <w:tcMar>
              <w:top w:w="50" w:type="dxa"/>
              <w:left w:w="70" w:type="dxa"/>
              <w:bottom w:w="50" w:type="dxa"/>
              <w:right w:w="70" w:type="dxa"/>
            </w:tcMar>
            <w:vAlign w:val="center"/>
          </w:tcPr>
          <w:p>
            <w:pPr>
              <w:pStyle w:val="tablecopy"/>
            </w:pPr>
            <w:r>
              <w:t>1.41 ± 0.48</w:t>
            </w:r>
          </w:p>
        </w:tc>
        <w:tc>
          <w:tcPr>
            <w:tcW w:w="1100" w:type="dxa"/>
            <w:tcBorders>
              <w:bottom w:val="single" w:sz="8" w:space="0" w:color="000000"/>
            </w:tcBorders>
            <w:tcMar>
              <w:top w:w="50" w:type="dxa"/>
              <w:left w:w="70" w:type="dxa"/>
              <w:bottom w:w="50" w:type="dxa"/>
              <w:right w:w="70" w:type="dxa"/>
            </w:tcMar>
            <w:vAlign w:val="center"/>
          </w:tcPr>
          <w:p>
            <w:pPr>
              <w:pStyle w:val="tablecopy"/>
            </w:pPr>
            <w:r>
              <w:t>0.93 ± 0.45</w:t>
            </w:r>
          </w:p>
        </w:tc>
        <w:tc>
          <w:tcPr>
            <w:tcW w:w="1400" w:type="dxa"/>
          </w:tcPr>
          <w:p>
            <w:pPr>
              <w:pStyle w:val="tablecopy"/>
            </w:pPr>
            <w:r>
              <w:t>2.6%</w:t>
            </w:r>
          </w:p>
        </w:tc>
        <w:tc>
          <w:tcPr>
            <w:tcW w:w="1500" w:type="dxa"/>
          </w:tcPr>
          <w:p>
            <w:pPr>
              <w:pStyle w:val="tablecopy"/>
            </w:pPr>
            <w:r>
              <w:t>-0.61%</w:t>
            </w:r>
          </w:p>
        </w:tc>
        <w:tc>
          <w:tcPr>
            <w:tcW w:w="1720" w:type="dxa"/>
          </w:tcPr>
          <w:p>
            <w:pPr>
              <w:pStyle w:val="tablecopy"/>
            </w:pPr>
            <w:r>
              <w:t>-3.15%</w:t>
            </w:r>
          </w:p>
        </w:tc>
      </w:tr>
      <w:tr>
        <w:tc>
          <w:tcPr>
            <w:tcW w:w="2200" w:type="dxa"/>
          </w:tcPr>
          <w:p>
            <w:pPr>
              <w:pStyle w:val="tablecopy"/>
            </w:pPr>
            <w:r>
              <w:t>GRU</w:t>
            </w:r>
          </w:p>
        </w:tc>
        <w:tc>
          <w:tcPr>
            <w:tcW w:w="1100" w:type="dxa"/>
          </w:tcPr>
          <w:p>
            <w:pPr>
              <w:pStyle w:val="tablecopy"/>
            </w:pPr>
            <w:r>
              <w:t>55.1% ± 3.8%</w:t>
            </w:r>
          </w:p>
        </w:tc>
        <w:tc>
          <w:tcPr>
            <w:tcW w:w="1100" w:type="dxa"/>
          </w:tcPr>
          <w:p>
            <w:pPr>
              <w:pStyle w:val="tablecopy"/>
            </w:pPr>
            <w:r>
              <w:t>1.62 ± 0.44</w:t>
            </w:r>
          </w:p>
        </w:tc>
        <w:tc>
          <w:tcPr>
            <w:tcW w:w="1100" w:type="dxa"/>
          </w:tcPr>
          <w:p>
            <w:pPr>
              <w:pStyle w:val="tablecopy"/>
            </w:pPr>
            <w:r>
              <w:t>1.23 ± 0.40</w:t>
            </w:r>
          </w:p>
        </w:tc>
        <w:tc>
          <w:tcPr>
            <w:tcW w:w="1400" w:type="dxa"/>
          </w:tcPr>
          <w:p>
            <w:pPr>
              <w:pStyle w:val="tablecopy"/>
            </w:pPr>
            <w:r>
              <w:t>2.1%</w:t>
            </w:r>
          </w:p>
        </w:tc>
        <w:tc>
          <w:tcPr>
            <w:tcW w:w="1500" w:type="dxa"/>
          </w:tcPr>
          <w:p>
            <w:pPr>
              <w:pStyle w:val="tablecopy"/>
            </w:pPr>
            <w:r>
              <w:t>-0.52%</w:t>
            </w:r>
          </w:p>
        </w:tc>
        <w:tc>
          <w:tcPr>
            <w:tcW w:w="1720" w:type="dxa"/>
          </w:tcPr>
          <w:p>
            <w:pPr>
              <w:pStyle w:val="tablecopy"/>
            </w:pPr>
            <w:r>
              <w:t>-2.70%</w:t>
            </w:r>
          </w:p>
        </w:tc>
      </w:tr>
      <w:tr>
        <w:tc>
          <w:tcPr>
            <w:tcW w:w="2200" w:type="dxa"/>
          </w:tcPr>
          <w:p>
            <w:pPr>
              <w:pStyle w:val="tablecopy"/>
            </w:pPr>
            <w:r>
              <w:t>LSTM</w:t>
            </w:r>
          </w:p>
        </w:tc>
        <w:tc>
          <w:tcPr>
            <w:tcW w:w="1100" w:type="dxa"/>
          </w:tcPr>
          <w:p>
            <w:pPr>
              <w:pStyle w:val="tablecopy"/>
            </w:pPr>
            <w:r>
              <w:t>56.4% ± 3.6%</w:t>
            </w:r>
          </w:p>
        </w:tc>
        <w:tc>
          <w:tcPr>
            <w:tcW w:w="1100" w:type="dxa"/>
          </w:tcPr>
          <w:p>
            <w:pPr>
              <w:pStyle w:val="tablecopy"/>
            </w:pPr>
            <w:r>
              <w:t>1.78 ± 0.42</w:t>
            </w:r>
          </w:p>
        </w:tc>
        <w:tc>
          <w:tcPr>
            <w:tcW w:w="1100" w:type="dxa"/>
          </w:tcPr>
          <w:p>
            <w:pPr>
              <w:pStyle w:val="tablecopy"/>
            </w:pPr>
            <w:r>
              <w:t>1.45 ± 0.38</w:t>
            </w:r>
          </w:p>
        </w:tc>
        <w:tc>
          <w:tcPr>
            <w:tcW w:w="1400" w:type="dxa"/>
          </w:tcPr>
          <w:p>
            <w:pPr>
              <w:pStyle w:val="tablecopy"/>
            </w:pPr>
            <w:r>
              <w:t>1.8%</w:t>
            </w:r>
          </w:p>
        </w:tc>
        <w:tc>
          <w:tcPr>
            <w:tcW w:w="1500" w:type="dxa"/>
          </w:tcPr>
          <w:p>
            <w:pPr>
              <w:pStyle w:val="tablecopy"/>
            </w:pPr>
            <w:r>
              <w:t>-0.46%</w:t>
            </w:r>
          </w:p>
        </w:tc>
        <w:tc>
          <w:tcPr>
            <w:tcW w:w="1720" w:type="dxa"/>
          </w:tcPr>
          <w:p>
            <w:pPr>
              <w:pStyle w:val="tablecopy"/>
            </w:pPr>
            <w:r>
              <w:t>-2.34%</w:t>
            </w:r>
          </w:p>
        </w:tc>
      </w:tr>
    </w:tbl>
    <w:p>
      <w:pPr>
        <w:spacing w:before="0" w:after="0" w:line="20" w:lineRule="exact"/>
        <w:sectPr>
          <w:type w:val="continuous"/>
          <w:pgSz w:w="11906" w:h="16838"/>
          <w:pgMar w:top="540" w:right="893" w:bottom="1440" w:left="893" w:header="0" w:footer="720" w:gutter="0"/>
          <w:cols w:num="1" w:space="720"/>
        </w:sectPr>
      </w:pPr>
    </w:p>
    <w:p w14:paraId="25DB1596" w14:textId="77777777" w:rsidR="008A78AA" w:rsidRDefault="00000000">
      <w:pPr>
        <w:pStyle w:val="Heading2"/>
      </w:pPr>
      <w:r>
        <w:t>Discussion and Comparative Benchmarking</w:t>
      </w:r>
    </w:p>
    <w:p w14:paraId="60D7F16F" w14:textId="77777777" w:rsidR="008A78AA" w:rsidRDefault="00000000">
      <w:pPr>
        <w:pStyle w:val="Heading3"/>
      </w:pPr>
      <w:r>
        <w:t>Theoretical Justification for Architectural Differences:</w:t>
      </w:r>
    </w:p>
    <w:p w14:paraId="57561646" w14:textId="77777777" w:rsidR="008A78AA" w:rsidRDefault="00D90C4A">
      <w:pPr>
        <w:pStyle w:val="BodyText"/>
      </w:pPr>
      <w:r>
        <w:t>The superior point-loss accuracy of the GRU (RMSE = 0.1058) may stem from its compact gating structure, which provides an effective inductive bias for modeling short-lag micro-volatility without the parameter over-parameterization of full self-attention. Conversely, the memory-cell dynamics of LSTM may marginally aid trend retention, though given that the empirical trading performance between LSTM and GRU is statistically comparable (paired test p = 0.088), architectural differences should be regarded as nuanced rather than definitive; these interpretations were not tested by ablation and remain hypotheses.</w:t>
      </w:r>
    </w:p>
    <w:p w14:paraId="1CA16B4D" w14:textId="77777777" w:rsidR="008A78AA" w:rsidRDefault="00000000">
      <w:pPr>
        <w:pStyle w:val="tablehead"/>
      </w:pPr>
      <w:commentRangeStart w:id="27"/>
      <w:r>
        <w:t>COMPARATIVE BENCHMARKING AGAINST PUBLISHED LITERATURE</w:t>
      </w:r>
      <w:commentRangeEnd w:id="27"/>
      <w:r>
        <w:commentReference w:id="27"/>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669DE5D3" w14:textId="77777777">
        <w:trPr>
          <w:cantSplit/>
          <w:trHeight w:val="240"/>
          <w:tblHeader/>
          <w:jc w:val="center"/>
        </w:trPr>
        <w:tc>
          <w:tcPr>
            <w:tcW w:w="1008"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Study</w:t>
            </w:r>
          </w:p>
        </w:tc>
        <w:tc>
          <w:tcPr>
            <w:tcW w:w="720"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Model</w:t>
            </w:r>
          </w:p>
        </w:tc>
        <w:tc>
          <w:tcPr>
            <w:tcW w:w="792"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Asset / Interval</w:t>
            </w:r>
          </w:p>
        </w:tc>
        <w:tc>
          <w:tcPr>
            <w:tcW w:w="749"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RMSE (norm.)</w:t>
            </w:r>
          </w:p>
        </w:tc>
        <w:tc>
          <w:tcPr>
            <w:tcW w:w="835"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Directional Acc.</w:t>
            </w:r>
          </w:p>
        </w:tc>
        <w:tc>
          <w:tcPr>
            <w:tcW w:w="792"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Sharpe Ratio</w:t>
            </w:r>
          </w:p>
        </w:tc>
      </w:tr>
      <w:tr w:rsidR="008A78AA" w14:paraId="38E8ED54" w14:textId="77777777">
        <w:trPr>
          <w:cantSplit/>
          <w:trHeight w:val="240"/>
          <w:jc w:val="center"/>
        </w:trPr>
        <w:tc>
          <w:tcPr>
            <w:tcW w:w="1008" w:type="dxa"/>
            <w:tcMar>
              <w:top w:w="50" w:type="dxa"/>
              <w:left w:w="70" w:type="dxa"/>
              <w:bottom w:w="50" w:type="dxa"/>
              <w:right w:w="70" w:type="dxa"/>
            </w:tcMar>
            <w:vAlign w:val="center"/>
          </w:tcPr>
          <w:p>
            <w:pPr>
              <w:pStyle w:val="tablecopy"/>
            </w:pPr>
            <w:r>
              <w:t>McNally et al. [13] (2018)</w:t>
            </w:r>
          </w:p>
        </w:tc>
        <w:tc>
          <w:tcPr>
            <w:tcW w:w="720" w:type="dxa"/>
            <w:tcMar>
              <w:top w:w="50" w:type="dxa"/>
              <w:left w:w="70" w:type="dxa"/>
              <w:bottom w:w="50" w:type="dxa"/>
              <w:right w:w="70" w:type="dxa"/>
            </w:tcMar>
            <w:vAlign w:val="center"/>
          </w:tcPr>
          <w:p>
            <w:pPr>
              <w:pStyle w:val="tablecopy"/>
            </w:pPr>
            <w:r>
              <w:t>LSTM &amp; RNN</w:t>
            </w:r>
          </w:p>
        </w:tc>
        <w:tc>
          <w:tcPr>
            <w:tcW w:w="792" w:type="dxa"/>
            <w:tcMar>
              <w:top w:w="50" w:type="dxa"/>
              <w:left w:w="70" w:type="dxa"/>
              <w:bottom w:w="50" w:type="dxa"/>
              <w:right w:w="70" w:type="dxa"/>
            </w:tcMar>
            <w:vAlign w:val="center"/>
          </w:tcPr>
          <w:p>
            <w:pPr>
              <w:pStyle w:val="tablecopy"/>
            </w:pPr>
            <w:r>
              <w:t>BTC / Daily</w:t>
            </w:r>
          </w:p>
        </w:tc>
        <w:tc>
          <w:tcPr>
            <w:tcW w:w="749" w:type="dxa"/>
            <w:tcMar>
              <w:top w:w="50" w:type="dxa"/>
              <w:left w:w="70" w:type="dxa"/>
              <w:bottom w:w="50" w:type="dxa"/>
              <w:right w:w="70" w:type="dxa"/>
            </w:tcMar>
            <w:vAlign w:val="center"/>
          </w:tcPr>
          <w:p>
            <w:pPr>
              <w:pStyle w:val="tablecopy"/>
            </w:pPr>
            <w:r>
              <w:t>N/R</w:t>
            </w:r>
          </w:p>
        </w:tc>
        <w:tc>
          <w:tcPr>
            <w:tcW w:w="835" w:type="dxa"/>
            <w:tcMar>
              <w:top w:w="50" w:type="dxa"/>
              <w:left w:w="70" w:type="dxa"/>
              <w:bottom w:w="50" w:type="dxa"/>
              <w:right w:w="70" w:type="dxa"/>
            </w:tcMar>
            <w:vAlign w:val="center"/>
          </w:tcPr>
          <w:p>
            <w:pPr>
              <w:pStyle w:val="tablecopy"/>
            </w:pPr>
            <w:r>
              <w:t>52.8% – 58.3%</w:t>
            </w:r>
          </w:p>
        </w:tc>
        <w:tc>
          <w:tcPr>
            <w:tcW w:w="792" w:type="dxa"/>
            <w:tcMar>
              <w:top w:w="50" w:type="dxa"/>
              <w:left w:w="70" w:type="dxa"/>
              <w:bottom w:w="50" w:type="dxa"/>
              <w:right w:w="70" w:type="dxa"/>
            </w:tcMar>
            <w:vAlign w:val="center"/>
          </w:tcPr>
          <w:p>
            <w:pPr>
              <w:pStyle w:val="tablecopy"/>
            </w:pPr>
            <w:r>
              <w:t>N/R</w:t>
            </w:r>
          </w:p>
        </w:tc>
      </w:tr>
      <w:tr w:rsidR="008A78AA" w14:paraId="0F1C74E0" w14:textId="77777777">
        <w:trPr>
          <w:cantSplit/>
          <w:trHeight w:val="240"/>
          <w:jc w:val="center"/>
        </w:trPr>
        <w:tc>
          <w:tcPr>
            <w:tcW w:w="1008" w:type="dxa"/>
            <w:tcMar>
              <w:top w:w="50" w:type="dxa"/>
              <w:left w:w="70" w:type="dxa"/>
              <w:bottom w:w="50" w:type="dxa"/>
              <w:right w:w="70" w:type="dxa"/>
            </w:tcMar>
            <w:vAlign w:val="center"/>
          </w:tcPr>
          <w:p>
            <w:pPr>
              <w:pStyle w:val="tablecopy"/>
            </w:pPr>
            <w:r>
              <w:t>Mallqui &amp; Fernandes [17] (2019)</w:t>
            </w:r>
          </w:p>
        </w:tc>
        <w:tc>
          <w:tcPr>
            <w:tcW w:w="720" w:type="dxa"/>
            <w:tcMar>
              <w:top w:w="50" w:type="dxa"/>
              <w:left w:w="70" w:type="dxa"/>
              <w:bottom w:w="50" w:type="dxa"/>
              <w:right w:w="70" w:type="dxa"/>
            </w:tcMar>
            <w:vAlign w:val="center"/>
          </w:tcPr>
          <w:p>
            <w:pPr>
              <w:pStyle w:val="tablecopy"/>
            </w:pPr>
            <w:r>
              <w:t>Ensemble &amp; SVM</w:t>
            </w:r>
          </w:p>
        </w:tc>
        <w:tc>
          <w:tcPr>
            <w:tcW w:w="792" w:type="dxa"/>
            <w:tcMar>
              <w:top w:w="50" w:type="dxa"/>
              <w:left w:w="70" w:type="dxa"/>
              <w:bottom w:w="50" w:type="dxa"/>
              <w:right w:w="70" w:type="dxa"/>
            </w:tcMar>
            <w:vAlign w:val="center"/>
          </w:tcPr>
          <w:p>
            <w:pPr>
              <w:pStyle w:val="tablecopy"/>
            </w:pPr>
            <w:r>
              <w:t>BTC / Daily</w:t>
            </w:r>
          </w:p>
        </w:tc>
        <w:tc>
          <w:tcPr>
            <w:tcW w:w="749" w:type="dxa"/>
            <w:tcMar>
              <w:top w:w="50" w:type="dxa"/>
              <w:left w:w="70" w:type="dxa"/>
              <w:bottom w:w="50" w:type="dxa"/>
              <w:right w:w="70" w:type="dxa"/>
            </w:tcMar>
            <w:vAlign w:val="center"/>
          </w:tcPr>
          <w:p>
            <w:pPr>
              <w:pStyle w:val="tablecopy"/>
            </w:pPr>
            <w:r>
              <w:t>N/R</w:t>
            </w:r>
          </w:p>
        </w:tc>
        <w:tc>
          <w:tcPr>
            <w:tcW w:w="835" w:type="dxa"/>
            <w:tcMar>
              <w:top w:w="50" w:type="dxa"/>
              <w:left w:w="70" w:type="dxa"/>
              <w:bottom w:w="50" w:type="dxa"/>
              <w:right w:w="70" w:type="dxa"/>
            </w:tcMar>
            <w:vAlign w:val="center"/>
          </w:tcPr>
          <w:p>
            <w:pPr>
              <w:pStyle w:val="tablecopy"/>
            </w:pPr>
            <w:r>
              <w:t>63.8% – 66.2%</w:t>
            </w:r>
          </w:p>
        </w:tc>
        <w:tc>
          <w:tcPr>
            <w:tcW w:w="792" w:type="dxa"/>
            <w:tcMar>
              <w:top w:w="50" w:type="dxa"/>
              <w:left w:w="70" w:type="dxa"/>
              <w:bottom w:w="50" w:type="dxa"/>
              <w:right w:w="70" w:type="dxa"/>
            </w:tcMar>
            <w:vAlign w:val="center"/>
          </w:tcPr>
          <w:p>
            <w:pPr>
              <w:pStyle w:val="tablecopy"/>
            </w:pPr>
            <w:r>
              <w:t>N/R</w:t>
            </w:r>
          </w:p>
        </w:tc>
      </w:tr>
      <w:tr w:rsidR="008A78AA" w14:paraId="0B9DF4AD" w14:textId="77777777">
        <w:trPr>
          <w:cantSplit/>
          <w:trHeight w:val="240"/>
          <w:jc w:val="center"/>
        </w:trPr>
        <w:tc>
          <w:tcPr>
            <w:tcW w:w="1008" w:type="dxa"/>
            <w:tcMar>
              <w:top w:w="50" w:type="dxa"/>
              <w:left w:w="70" w:type="dxa"/>
              <w:bottom w:w="50" w:type="dxa"/>
              <w:right w:w="70" w:type="dxa"/>
            </w:tcMar>
            <w:vAlign w:val="center"/>
          </w:tcPr>
          <w:p>
            <w:pPr>
              <w:pStyle w:val="tablecopy"/>
            </w:pPr>
            <w:r>
              <w:t>Lahmiri &amp; Bekiros [39] (2019)</w:t>
            </w:r>
          </w:p>
        </w:tc>
        <w:tc>
          <w:tcPr>
            <w:tcW w:w="720" w:type="dxa"/>
            <w:tcMar>
              <w:top w:w="50" w:type="dxa"/>
              <w:left w:w="70" w:type="dxa"/>
              <w:bottom w:w="50" w:type="dxa"/>
              <w:right w:w="70" w:type="dxa"/>
            </w:tcMar>
            <w:vAlign w:val="center"/>
          </w:tcPr>
          <w:p>
            <w:pPr>
              <w:pStyle w:val="tablecopy"/>
            </w:pPr>
            <w:r>
              <w:t>Deep Chaotic NN</w:t>
            </w:r>
          </w:p>
        </w:tc>
        <w:tc>
          <w:tcPr>
            <w:tcW w:w="792" w:type="dxa"/>
            <w:tcMar>
              <w:top w:w="50" w:type="dxa"/>
              <w:left w:w="70" w:type="dxa"/>
              <w:bottom w:w="50" w:type="dxa"/>
              <w:right w:w="70" w:type="dxa"/>
            </w:tcMar>
            <w:vAlign w:val="center"/>
          </w:tcPr>
          <w:p>
            <w:pPr>
              <w:pStyle w:val="tablecopy"/>
            </w:pPr>
            <w:r>
              <w:t>BTC / Intraday</w:t>
            </w:r>
          </w:p>
        </w:tc>
        <w:tc>
          <w:tcPr>
            <w:tcW w:w="749" w:type="dxa"/>
            <w:tcMar>
              <w:top w:w="50" w:type="dxa"/>
              <w:left w:w="70" w:type="dxa"/>
              <w:bottom w:w="50" w:type="dxa"/>
              <w:right w:w="70" w:type="dxa"/>
            </w:tcMar>
            <w:vAlign w:val="center"/>
          </w:tcPr>
          <w:p>
            <w:pPr>
              <w:pStyle w:val="tablecopy"/>
            </w:pPr>
            <w:r>
              <w:t>0.078 – 0.124</w:t>
            </w:r>
          </w:p>
        </w:tc>
        <w:tc>
          <w:tcPr>
            <w:tcW w:w="835" w:type="dxa"/>
            <w:tcMar>
              <w:top w:w="50" w:type="dxa"/>
              <w:left w:w="70" w:type="dxa"/>
              <w:bottom w:w="50" w:type="dxa"/>
              <w:right w:w="70" w:type="dxa"/>
            </w:tcMar>
            <w:vAlign w:val="center"/>
          </w:tcPr>
          <w:p>
            <w:pPr>
              <w:pStyle w:val="tablecopy"/>
            </w:pPr>
            <w:r>
              <w:t>N/R</w:t>
            </w:r>
          </w:p>
        </w:tc>
        <w:tc>
          <w:tcPr>
            <w:tcW w:w="792" w:type="dxa"/>
            <w:tcMar>
              <w:top w:w="50" w:type="dxa"/>
              <w:left w:w="70" w:type="dxa"/>
              <w:bottom w:w="50" w:type="dxa"/>
              <w:right w:w="70" w:type="dxa"/>
            </w:tcMar>
            <w:vAlign w:val="center"/>
          </w:tcPr>
          <w:p>
            <w:pPr>
              <w:pStyle w:val="tablecopy"/>
            </w:pPr>
            <w:r>
              <w:t>N/R</w:t>
            </w:r>
          </w:p>
        </w:tc>
      </w:tr>
      <w:tr w:rsidR="008A78AA" w14:paraId="024A5AEF" w14:textId="77777777">
        <w:trPr>
          <w:cantSplit/>
          <w:trHeight w:val="240"/>
          <w:jc w:val="center"/>
        </w:trPr>
        <w:tc>
          <w:tcPr>
            <w:tcW w:w="1008" w:type="dxa"/>
            <w:tcMar>
              <w:top w:w="50" w:type="dxa"/>
              <w:left w:w="70" w:type="dxa"/>
              <w:bottom w:w="50" w:type="dxa"/>
              <w:right w:w="70" w:type="dxa"/>
            </w:tcMar>
            <w:vAlign w:val="center"/>
          </w:tcPr>
          <w:p>
            <w:pPr>
              <w:pStyle w:val="tablecopy"/>
            </w:pPr>
            <w:r>
              <w:t>Livieris et al. [40] (2021)</w:t>
            </w:r>
          </w:p>
        </w:tc>
        <w:tc>
          <w:tcPr>
            <w:tcW w:w="720" w:type="dxa"/>
            <w:tcMar>
              <w:top w:w="50" w:type="dxa"/>
              <w:left w:w="70" w:type="dxa"/>
              <w:bottom w:w="50" w:type="dxa"/>
              <w:right w:w="70" w:type="dxa"/>
            </w:tcMar>
            <w:vAlign w:val="center"/>
          </w:tcPr>
          <w:p>
            <w:pPr>
              <w:pStyle w:val="tablecopy"/>
            </w:pPr>
            <w:r>
              <w:t>CNN-LSTM</w:t>
            </w:r>
          </w:p>
        </w:tc>
        <w:tc>
          <w:tcPr>
            <w:tcW w:w="792" w:type="dxa"/>
            <w:tcMar>
              <w:top w:w="50" w:type="dxa"/>
              <w:left w:w="70" w:type="dxa"/>
              <w:bottom w:w="50" w:type="dxa"/>
              <w:right w:w="70" w:type="dxa"/>
            </w:tcMar>
            <w:vAlign w:val="center"/>
          </w:tcPr>
          <w:p>
            <w:pPr>
              <w:pStyle w:val="tablecopy"/>
            </w:pPr>
            <w:r>
              <w:t>BTC / 1-hour</w:t>
            </w:r>
          </w:p>
        </w:tc>
        <w:tc>
          <w:tcPr>
            <w:tcW w:w="749" w:type="dxa"/>
            <w:tcMar>
              <w:top w:w="50" w:type="dxa"/>
              <w:left w:w="70" w:type="dxa"/>
              <w:bottom w:w="50" w:type="dxa"/>
              <w:right w:w="70" w:type="dxa"/>
            </w:tcMar>
            <w:vAlign w:val="center"/>
          </w:tcPr>
          <w:p>
            <w:pPr>
              <w:pStyle w:val="tablecopy"/>
            </w:pPr>
            <w:r>
              <w:t>0.065 – 0.115</w:t>
            </w:r>
          </w:p>
        </w:tc>
        <w:tc>
          <w:tcPr>
            <w:tcW w:w="835" w:type="dxa"/>
            <w:tcMar>
              <w:top w:w="50" w:type="dxa"/>
              <w:left w:w="70" w:type="dxa"/>
              <w:bottom w:w="50" w:type="dxa"/>
              <w:right w:w="70" w:type="dxa"/>
            </w:tcMar>
            <w:vAlign w:val="center"/>
          </w:tcPr>
          <w:p>
            <w:pPr>
              <w:pStyle w:val="tablecopy"/>
            </w:pPr>
            <w:r>
              <w:t>55.4% – 62.8%</w:t>
            </w:r>
          </w:p>
        </w:tc>
        <w:tc>
          <w:tcPr>
            <w:tcW w:w="792" w:type="dxa"/>
            <w:tcMar>
              <w:top w:w="50" w:type="dxa"/>
              <w:left w:w="70" w:type="dxa"/>
              <w:bottom w:w="50" w:type="dxa"/>
              <w:right w:w="70" w:type="dxa"/>
            </w:tcMar>
            <w:vAlign w:val="center"/>
          </w:tcPr>
          <w:p>
            <w:pPr>
              <w:pStyle w:val="tablecopy"/>
            </w:pPr>
            <w:r>
              <w:t>N/R</w:t>
            </w:r>
          </w:p>
        </w:tc>
      </w:tr>
      <w:tr w:rsidR="008A78AA" w14:paraId="580E14A7" w14:textId="77777777">
        <w:trPr>
          <w:cantSplit/>
          <w:trHeight w:val="240"/>
          <w:jc w:val="center"/>
        </w:trPr>
        <w:tc>
          <w:tcPr>
            <w:tcW w:w="1008" w:type="dxa"/>
            <w:tcMar>
              <w:top w:w="50" w:type="dxa"/>
              <w:left w:w="70" w:type="dxa"/>
              <w:bottom w:w="50" w:type="dxa"/>
              <w:right w:w="70" w:type="dxa"/>
            </w:tcMar>
            <w:vAlign w:val="center"/>
          </w:tcPr>
          <w:p>
            <w:pPr>
              <w:pStyle w:val="tablecopy"/>
            </w:pPr>
            <w:r>
              <w:t>Sebastião &amp; Godinho [42] (2021)</w:t>
            </w:r>
          </w:p>
        </w:tc>
        <w:tc>
          <w:tcPr>
            <w:tcW w:w="720" w:type="dxa"/>
            <w:tcMar>
              <w:top w:w="50" w:type="dxa"/>
              <w:left w:w="70" w:type="dxa"/>
              <w:bottom w:w="50" w:type="dxa"/>
              <w:right w:w="70" w:type="dxa"/>
            </w:tcMar>
            <w:vAlign w:val="center"/>
          </w:tcPr>
          <w:p>
            <w:pPr>
              <w:pStyle w:val="tablecopy"/>
            </w:pPr>
            <w:r>
              <w:t>ML Ensembles</w:t>
            </w:r>
          </w:p>
        </w:tc>
        <w:tc>
          <w:tcPr>
            <w:tcW w:w="792" w:type="dxa"/>
            <w:tcMar>
              <w:top w:w="50" w:type="dxa"/>
              <w:left w:w="70" w:type="dxa"/>
              <w:bottom w:w="50" w:type="dxa"/>
              <w:right w:w="70" w:type="dxa"/>
            </w:tcMar>
            <w:vAlign w:val="center"/>
          </w:tcPr>
          <w:p>
            <w:pPr>
              <w:pStyle w:val="tablecopy"/>
            </w:pPr>
            <w:r>
              <w:t>BTC / Daily</w:t>
            </w:r>
          </w:p>
        </w:tc>
        <w:tc>
          <w:tcPr>
            <w:tcW w:w="749" w:type="dxa"/>
            <w:tcMar>
              <w:top w:w="50" w:type="dxa"/>
              <w:left w:w="70" w:type="dxa"/>
              <w:bottom w:w="50" w:type="dxa"/>
              <w:right w:w="70" w:type="dxa"/>
            </w:tcMar>
            <w:vAlign w:val="center"/>
          </w:tcPr>
          <w:p>
            <w:pPr>
              <w:pStyle w:val="tablecopy"/>
            </w:pPr>
            <w:r>
              <w:t>N/R</w:t>
            </w:r>
          </w:p>
        </w:tc>
        <w:tc>
          <w:tcPr>
            <w:tcW w:w="835" w:type="dxa"/>
            <w:tcMar>
              <w:top w:w="50" w:type="dxa"/>
              <w:left w:w="70" w:type="dxa"/>
              <w:bottom w:w="50" w:type="dxa"/>
              <w:right w:w="70" w:type="dxa"/>
            </w:tcMar>
            <w:vAlign w:val="center"/>
          </w:tcPr>
          <w:p>
            <w:pPr>
              <w:pStyle w:val="tablecopy"/>
            </w:pPr>
            <w:r>
              <w:t>55.2% – 63.4%</w:t>
            </w:r>
          </w:p>
        </w:tc>
        <w:tc>
          <w:tcPr>
            <w:tcW w:w="792" w:type="dxa"/>
            <w:tcMar>
              <w:top w:w="50" w:type="dxa"/>
              <w:left w:w="70" w:type="dxa"/>
              <w:bottom w:w="50" w:type="dxa"/>
              <w:right w:w="70" w:type="dxa"/>
            </w:tcMar>
            <w:vAlign w:val="center"/>
          </w:tcPr>
          <w:p>
            <w:pPr>
              <w:pStyle w:val="tablecopy"/>
            </w:pPr>
            <w:r>
              <w:t>1.10 – 1.35</w:t>
            </w:r>
          </w:p>
        </w:tc>
      </w:tr>
      <w:tr w:rsidR="008A78AA" w14:paraId="3AD22A86" w14:textId="77777777">
        <w:trPr>
          <w:cantSplit/>
          <w:trHeight w:val="240"/>
          <w:jc w:val="center"/>
        </w:trPr>
        <w:tc>
          <w:tcPr>
            <w:tcW w:w="1008" w:type="dxa"/>
            <w:tcMar>
              <w:top w:w="50" w:type="dxa"/>
              <w:left w:w="70" w:type="dxa"/>
              <w:bottom w:w="50" w:type="dxa"/>
              <w:right w:w="70" w:type="dxa"/>
            </w:tcMar>
            <w:vAlign w:val="center"/>
          </w:tcPr>
          <w:p>
            <w:pPr>
              <w:pStyle w:val="tablecopy"/>
            </w:pPr>
            <w:r>
              <w:t>Peng et al. [45] (2024)</w:t>
            </w:r>
          </w:p>
        </w:tc>
        <w:tc>
          <w:tcPr>
            <w:tcW w:w="720" w:type="dxa"/>
            <w:tcMar>
              <w:top w:w="50" w:type="dxa"/>
              <w:left w:w="70" w:type="dxa"/>
              <w:bottom w:w="50" w:type="dxa"/>
              <w:right w:w="70" w:type="dxa"/>
            </w:tcMar>
            <w:vAlign w:val="center"/>
          </w:tcPr>
          <w:p>
            <w:pPr>
              <w:pStyle w:val="tablecopy"/>
            </w:pPr>
            <w:r>
              <w:t>Att.-CNN-LSTM</w:t>
            </w:r>
          </w:p>
        </w:tc>
        <w:tc>
          <w:tcPr>
            <w:tcW w:w="792" w:type="dxa"/>
            <w:tcMar>
              <w:top w:w="50" w:type="dxa"/>
              <w:left w:w="70" w:type="dxa"/>
              <w:bottom w:w="50" w:type="dxa"/>
              <w:right w:w="70" w:type="dxa"/>
            </w:tcMar>
            <w:vAlign w:val="center"/>
          </w:tcPr>
          <w:p>
            <w:pPr>
              <w:pStyle w:val="tablecopy"/>
            </w:pPr>
            <w:r>
              <w:t>Multi-Crypto / 1h</w:t>
            </w:r>
          </w:p>
        </w:tc>
        <w:tc>
          <w:tcPr>
            <w:tcW w:w="749" w:type="dxa"/>
            <w:tcMar>
              <w:top w:w="50" w:type="dxa"/>
              <w:left w:w="70" w:type="dxa"/>
              <w:bottom w:w="50" w:type="dxa"/>
              <w:right w:w="70" w:type="dxa"/>
            </w:tcMar>
            <w:vAlign w:val="center"/>
          </w:tcPr>
          <w:p>
            <w:pPr>
              <w:pStyle w:val="tablecopy"/>
            </w:pPr>
            <w:r>
              <w:t>0.112 – 0.148</w:t>
            </w:r>
          </w:p>
        </w:tc>
        <w:tc>
          <w:tcPr>
            <w:tcW w:w="835" w:type="dxa"/>
            <w:tcMar>
              <w:top w:w="50" w:type="dxa"/>
              <w:left w:w="70" w:type="dxa"/>
              <w:bottom w:w="50" w:type="dxa"/>
              <w:right w:w="70" w:type="dxa"/>
            </w:tcMar>
            <w:vAlign w:val="center"/>
          </w:tcPr>
          <w:p>
            <w:pPr>
              <w:pStyle w:val="tablecopy"/>
            </w:pPr>
            <w:r>
              <w:t>61.5% – 67.8%</w:t>
            </w:r>
          </w:p>
        </w:tc>
        <w:tc>
          <w:tcPr>
            <w:tcW w:w="792" w:type="dxa"/>
            <w:tcMar>
              <w:top w:w="50" w:type="dxa"/>
              <w:left w:w="70" w:type="dxa"/>
              <w:bottom w:w="50" w:type="dxa"/>
              <w:right w:w="70" w:type="dxa"/>
            </w:tcMar>
            <w:vAlign w:val="center"/>
          </w:tcPr>
          <w:p>
            <w:pPr>
              <w:pStyle w:val="tablecopy"/>
            </w:pPr>
            <w:r>
              <w:t>N/R</w:t>
            </w:r>
          </w:p>
        </w:tc>
      </w:tr>
      <w:tr w:rsidR="008A78AA" w14:paraId="4F852FDB" w14:textId="77777777">
        <w:trPr>
          <w:cantSplit/>
          <w:trHeight w:val="240"/>
          <w:jc w:val="center"/>
        </w:trPr>
        <w:tc>
          <w:tcPr>
            <w:tcW w:w="1008" w:type="dxa"/>
            <w:tcBorders>
              <w:bottom w:val="single" w:sz="8" w:space="0" w:color="000000"/>
            </w:tcBorders>
            <w:tcMar>
              <w:top w:w="50" w:type="dxa"/>
              <w:left w:w="70" w:type="dxa"/>
              <w:bottom w:w="50" w:type="dxa"/>
              <w:right w:w="70" w:type="dxa"/>
            </w:tcMar>
            <w:vAlign w:val="center"/>
          </w:tcPr>
          <w:p>
            <w:pPr>
              <w:pStyle w:val="tablecopy"/>
            </w:pPr>
            <w:r>
              <w:t>This study (GRU, best RMSE)</w:t>
            </w:r>
          </w:p>
        </w:tc>
        <w:tc>
          <w:tcPr>
            <w:tcW w:w="720" w:type="dxa"/>
            <w:tcBorders>
              <w:bottom w:val="single" w:sz="8" w:space="0" w:color="000000"/>
            </w:tcBorders>
            <w:tcMar>
              <w:top w:w="50" w:type="dxa"/>
              <w:left w:w="70" w:type="dxa"/>
              <w:bottom w:w="50" w:type="dxa"/>
              <w:right w:w="70" w:type="dxa"/>
            </w:tcMar>
            <w:vAlign w:val="center"/>
          </w:tcPr>
          <w:p>
            <w:pPr>
              <w:pStyle w:val="tablecopy"/>
            </w:pPr>
            <w:r>
              <w:t>GRU</w:t>
            </w:r>
          </w:p>
        </w:tc>
        <w:tc>
          <w:tcPr>
            <w:tcW w:w="792" w:type="dxa"/>
            <w:tcBorders>
              <w:bottom w:val="single" w:sz="8" w:space="0" w:color="000000"/>
            </w:tcBorders>
            <w:tcMar>
              <w:top w:w="50" w:type="dxa"/>
              <w:left w:w="70" w:type="dxa"/>
              <w:bottom w:w="50" w:type="dxa"/>
              <w:right w:w="70" w:type="dxa"/>
            </w:tcMar>
            <w:vAlign w:val="center"/>
          </w:tcPr>
          <w:p>
            <w:pPr>
              <w:pStyle w:val="tablecopy"/>
            </w:pPr>
            <w:r>
              <w:t>BTC/USDT / 1-hour</w:t>
            </w:r>
          </w:p>
        </w:tc>
        <w:tc>
          <w:tcPr>
            <w:tcW w:w="749" w:type="dxa"/>
            <w:tcBorders>
              <w:bottom w:val="single" w:sz="8" w:space="0" w:color="000000"/>
            </w:tcBorders>
            <w:tcMar>
              <w:top w:w="50" w:type="dxa"/>
              <w:left w:w="70" w:type="dxa"/>
              <w:bottom w:w="50" w:type="dxa"/>
              <w:right w:w="70" w:type="dxa"/>
            </w:tcMar>
            <w:vAlign w:val="center"/>
          </w:tcPr>
          <w:p>
            <w:pPr>
              <w:pStyle w:val="tablecopy"/>
            </w:pPr>
            <w:r>
              <w:t>0.1058 ± 0.0034</w:t>
            </w:r>
          </w:p>
        </w:tc>
        <w:tc>
          <w:tcPr>
            <w:tcW w:w="835" w:type="dxa"/>
            <w:tcBorders>
              <w:bottom w:val="single" w:sz="8" w:space="0" w:color="000000"/>
            </w:tcBorders>
            <w:tcMar>
              <w:top w:w="50" w:type="dxa"/>
              <w:left w:w="70" w:type="dxa"/>
              <w:bottom w:w="50" w:type="dxa"/>
              <w:right w:w="70" w:type="dxa"/>
            </w:tcMar>
            <w:vAlign w:val="center"/>
          </w:tcPr>
          <w:p>
            <w:pPr>
              <w:pStyle w:val="tablecopy"/>
            </w:pPr>
            <w:r>
              <w:t>55.1% ± 3.8%</w:t>
            </w:r>
          </w:p>
        </w:tc>
        <w:tc>
          <w:tcPr>
            <w:tcW w:w="792" w:type="dxa"/>
            <w:tcBorders>
              <w:bottom w:val="single" w:sz="8" w:space="0" w:color="000000"/>
            </w:tcBorders>
            <w:tcMar>
              <w:top w:w="50" w:type="dxa"/>
              <w:left w:w="70" w:type="dxa"/>
              <w:bottom w:w="50" w:type="dxa"/>
              <w:right w:w="70" w:type="dxa"/>
            </w:tcMar>
            <w:vAlign w:val="center"/>
          </w:tcPr>
          <w:p>
            <w:pPr>
              <w:pStyle w:val="tablecopy"/>
            </w:pPr>
            <w:r>
              <w:t>1.23 ± 0.40</w:t>
            </w:r>
          </w:p>
        </w:tc>
      </w:tr>
      <w:tr>
        <w:tc>
          <w:tcPr>
            <w:tcW w:type="dxa" w:w="1008"/>
          </w:tcPr>
          <w:p>
            <w:pPr>
              <w:pStyle w:val="tablecopy"/>
            </w:pPr>
            <w:r>
              <w:t>This study (LSTM, best DA)</w:t>
            </w:r>
          </w:p>
        </w:tc>
        <w:tc>
          <w:tcPr>
            <w:tcW w:type="dxa" w:w="720"/>
          </w:tcPr>
          <w:p>
            <w:pPr>
              <w:pStyle w:val="tablecopy"/>
            </w:pPr>
            <w:r>
              <w:t>LSTM</w:t>
            </w:r>
          </w:p>
        </w:tc>
        <w:tc>
          <w:tcPr>
            <w:tcW w:type="dxa" w:w="792"/>
          </w:tcPr>
          <w:p>
            <w:pPr>
              <w:pStyle w:val="tablecopy"/>
            </w:pPr>
            <w:r>
              <w:t>BTC/USDT / 1-hour</w:t>
            </w:r>
          </w:p>
        </w:tc>
        <w:tc>
          <w:tcPr>
            <w:tcW w:type="dxa" w:w="749"/>
          </w:tcPr>
          <w:p>
            <w:pPr>
              <w:pStyle w:val="tablecopy"/>
            </w:pPr>
            <w:r>
              <w:t>0.1145 ± 0.0051</w:t>
            </w:r>
          </w:p>
        </w:tc>
        <w:tc>
          <w:tcPr>
            <w:tcW w:type="dxa" w:w="835"/>
          </w:tcPr>
          <w:p>
            <w:pPr>
              <w:pStyle w:val="tablecopy"/>
            </w:pPr>
            <w:r>
              <w:t>56.4% ± 3.6%</w:t>
            </w:r>
          </w:p>
        </w:tc>
        <w:tc>
          <w:tcPr>
            <w:tcW w:type="dxa" w:w="792"/>
          </w:tcPr>
          <w:p>
            <w:pPr>
              <w:pStyle w:val="tablecopy"/>
            </w:pPr>
            <w:r>
              <w:t>1.45 ± 0.38</w:t>
            </w:r>
          </w:p>
        </w:tc>
      </w:tr>
    </w:tbl>
    <w:p w14:paraId="4389BC00" w14:textId="77777777" w:rsidR="008A78AA" w:rsidRDefault="008A78AA">
      <w:pPr>
        <w:pStyle w:val="BodyText"/>
      </w:pPr>
    </w:p>
    <w:p w14:paraId="15FE24DE" w14:textId="77777777" w:rsidR="008A78AA" w:rsidRDefault="00120A85">
      <w:pPr>
        <w:pStyle w:val="BodyText"/>
      </w:pPr>
      <w:commentRangeStart w:id="40"/>
      <w:commentRangeStart w:id="30"/>
      <w:r>
        <w:t>Table V contextualizes our empirical results within the broader peer-reviewed literature. Because assets, sampling frequencies, and normalization protocols differ across studies, the comparison is indicative rather than strictly identical. McNally et al. [13] evaluated LSTM and recurrent models on daily Bitcoin data, reporting Directional Accuracy of 52.8%–58.3%. Mallqui and Fernandes [17] achieved Directional Accuracy of 63.8%–66.2% using SVM and ensemble methods for Bitcoin price direction forecasting. Lahmiri and Bekiros [39] evaluated chaotic deep neural networks on Bitcoin intraday series, reporting normalized RMSE between 0.078 and 0.124. Livieris et al. [40] developed an advanced CNN–LSTM model on hourly cryptocurrency data, reporting normalized RMSE between 0.065 and 0.115 and Directional Accuracy of 55.4%–62.8%. Sebastião and Godinho [42] implemented machine learning ensembles with transaction costs (0.50% round-trip), reporting Directional Accuracy of 55.2%–63.4% and annualized Sharpe Ratios between 1.10 and 1.35. Peng et al. [45] demonstrated that attention-based CNN–LSTM models achieve Directional Accuracy of 61.5%–67.8% and normalized RMSE of 0.112–0.148 on high-frequency cryptocurrency data. Within these caveats, the reported Directional Accuracy (LSTM DA = 56.4% ± 3.6%) lies in the lower part of the range reported in the cited studies, whereas the net risk-adjusted return (Net Sharpe = 1.45 ± 0.38, Aggregate Daily VaR95% = −2.34%) is comparable to or slightly above the 1.10–1.35 reported in [42]; however, differences in asset, sampling frequency, cost assumptions and evaluation protocol preclude a like-for-like ranking. The framework additionally couples these outputs with an operational, latency-verified Microsoft Power BI decision-support architecture, which addresses the challenge highlighted by Amirzadeh et al. [44].</w:t>
      </w:r>
      <w:commentRangeEnd w:id="30"/>
      <w:r>
        <w:commentReference w:id="30"/>
      </w:r>
      <w:commentRangeEnd w:id="40"/>
      <w:r>
        <w:commentReference w:id="40"/>
      </w:r>
    </w:p>
    <w:p w14:paraId="51D91C75" w14:textId="77777777" w:rsidR="008A78AA" w:rsidRDefault="00000000">
      <w:pPr>
        <w:pStyle w:val="Heading3"/>
      </w:pPr>
      <w:r>
        <w:t>Operational Boundaries and Future Enhancements:</w:t>
      </w:r>
    </w:p>
    <w:p w14:paraId="11259D1B" w14:textId="77777777" w:rsidR="008A78AA" w:rsidRDefault="00A018D2">
      <w:pPr>
        <w:pStyle w:val="BodyText"/>
      </w:pPr>
      <w:r>
        <w:t>The primary failure regime identified across all models corresponds to volatility surges exceeding the ±3σ rolling threshold. Because purely technical price features cannot capture sudden macro-sentiment contagion, integrating on-chain data and NLP-derived news sentiment [36] represents a promising direction for enhancing robustness during tail-risk events.</w:t>
      </w:r>
    </w:p>
    <w:p w14:paraId="6B08DE29" w14:textId="77777777" w:rsidR="008A78AA" w:rsidRDefault="008A78AA">
      <w:pPr>
        <w:pStyle w:val="BodyText"/>
      </w:pPr>
    </w:p>
    <w:p w14:paraId="4E3FC46D" w14:textId="77777777" w:rsidR="008A78AA" w:rsidRDefault="008A78AA">
      <w:pPr>
        <w:pStyle w:val="BodyText"/>
      </w:pPr>
    </w:p>
    <w:p w14:paraId="7F5F7B69" w14:textId="77777777" w:rsidR="008A78AA" w:rsidRDefault="00000000">
      <w:pPr>
        <w:pStyle w:val="BodyText"/>
        <w:ind w:firstLine="0"/>
        <w:jc w:val="center"/>
      </w:pPr>
      <w:r>
        <w:rPr>
          <w:noProof/>
        </w:rPr>
        <w:drawing>
          <wp:inline distT="0" distB="0" distL="0" distR="0" wp14:anchorId="62A66FC8" wp14:editId="261B4232">
            <wp:extent cx="3108960" cy="24098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4"/>
                    <a:stretch>
                      <a:fillRect/>
                    </a:stretch>
                  </pic:blipFill>
                  <pic:spPr>
                    <a:xfrm>
                      <a:off x="0" y="0"/>
                      <a:ext cx="3108960" cy="2409831"/>
                    </a:xfrm>
                    <a:prstGeom prst="rect">
                      <a:avLst/>
                    </a:prstGeom>
                  </pic:spPr>
                </pic:pic>
              </a:graphicData>
            </a:graphic>
          </wp:inline>
        </w:drawing>
      </w:r>
    </w:p>
    <w:p w14:paraId="0D0E67FA" w14:textId="77777777" w:rsidR="008A78AA" w:rsidRDefault="00A018D2">
      <w:pPr>
        <w:pStyle w:val="figurecaption"/>
        <w:jc w:val="center"/>
      </w:pPr>
      <w:r>
        <w:t>Business Intelligence Dashboard KPI summary from 24-fold Walk-Forward evaluation (RMSE, Sharpe Ratio, Directional Accuracy, and VaR95%).</w:t>
      </w:r>
    </w:p>
    <w:p w14:paraId="51D91C75" w14:textId="77777777" w:rsidR="008A78AA" w:rsidRDefault="00000000">
      <w:pPr>
        <w:pStyle w:val="Heading3"/>
      </w:pPr>
      <w:r>
        <w:t>Limitations:</w:t>
      </w:r>
    </w:p>
    <w:p w14:paraId="11259D1B" w14:textId="77777777" w:rsidR="008A78AA" w:rsidRDefault="00A018D2">
      <w:pPr>
        <w:pStyle w:val="BodyText"/>
      </w:pPr>
      <w:r>
        <w:t>Several limitations should be noted. First, the study covers a single asset (BTC/USDT) on a single exchange, so the findings may not generalize to other assets or trading venues. Second, the evaluation is a historical walk-forward back-test rather than live trading; the dashboard was verified on stored model outputs, market-impact effects were not modeled, and slippage was approximated through a fixed 0.02% simulated execution penalty. Third, each fold uses a short 720-hour training window and a fixed 24-hour lookback, which may favor some architectures over others. Fourth, a paired Wilcoxon signed-rank test across the 24 evaluation folds confirmed that the performance differences in Directional Accuracy and Net Sharpe Ratio between LSTM and GRU are not statistically significant (p = 0.088); given inter-fold standard deviations of 3.6–3.8 percentage points (Directional Accuracy) and 0.38–0.40 (Sharpe Ratio), these differences should be regarded as indicative rather than conclusive. Moreover, with 4,032 out-of-sample test hours (≈0.46 years), the standard error of an annualized Sharpe Ratio of about 1.2–1.5 is roughly 2.1–2.4 under an i.i.d. Lo (2002) formulation, meaning the reported Sharpe Ratios cannot be statistically distinguished from one another or individually from zero. Fifth, the forecasting target is the non-stationary price level (stationarity was rejected only for log-returns), and level-based features inherit this property. Sixth, the 24 test windows cover ~9.20% of the sample, so the results reflect discrete regime evaluations rather than a continuous five-year trading performance. Finally, the usability study involved 15 evaluators, five of whom were quantitative financial-analytics professionals.</w:t>
      </w:r>
    </w:p>
    <w:p w14:paraId="7CB7ACF8" w14:textId="77777777" w:rsidR="008A78AA" w:rsidRDefault="00000000">
      <w:pPr>
        <w:pStyle w:val="Heading1"/>
      </w:pPr>
      <w:r>
        <w:t>CONCLUSION</w:t>
      </w:r>
    </w:p>
    <w:p w14:paraId="2D73AD6A" w14:textId="77777777" w:rsidR="008A78AA" w:rsidRDefault="00A018D2">
      <w:pPr>
        <w:pStyle w:val="BodyText"/>
      </w:pPr>
      <w:r>
        <w:t>This study presented an end-to-end four-layer Business Intelligence and Deep Learning framework that integrates sequential predictive models into an enterprise decision-support architecture. Evaluated across 43,824 hourly BTC/USDT observations under a 24-fold chronological Walk-Forward protocol, the framework demonstrated the feasibility of bridging statistical forecasting with real-time risk governance.</w:t>
      </w:r>
    </w:p>
    <w:p w14:paraId="49D09725" w14:textId="77777777" w:rsidR="008A78AA" w:rsidRDefault="00000000">
      <w:pPr>
        <w:pStyle w:val="BodyText"/>
      </w:pPr>
      <w:r>
        <w:t>The empirical findings highlight the importance of integrating financial decision utility metrics alongside statistical point-loss criteria: while the GRU attained the lowest point-forecasting error across the 168-hour trajectory (RMSE = 0.1058 ± 0.0034; Diebold–Mariano z = −2.45, p = 0.014), both recurrent models demonstrated closely matched risk-adjusted financial performance (LSTM: DA = 56.4% ± 3.6%, Net Sharpe = 1.45 ± 0.38; GRU: DA = 55.1% ± 3.8%, Net Sharpe = 1.23 ± 0.40; paired fold difference p = 0.088), providing robust capital preservation (Aggregate Daily VaR95% = −2.34% to −2.70%) compared to the Buy-and-Hold benchmark (−5.82%).</w:t>
      </w:r>
    </w:p>
    <w:p w14:paraId="624345E6" w14:textId="77777777" w:rsidR="008A78AA" w:rsidRDefault="00000000">
      <w:pPr>
        <w:pStyle w:val="BodyText"/>
      </w:pPr>
      <w:r>
        <w:t>Four promising avenues for future research include: (1) integrating multi-modal sentiment and on-chain metrics to mitigate the ±3σ tail-risk failure mode; (2) extending validation to multi-asset portfolios (e.g., ETH/USDT, BNB/USDT); (3) benchmarking emerging time-series architectures such as PatchTST and TimesNet under the same protocol; and (4) formalizing enterprise regulatory compliance frameworks (e.g., MiFID II audit trails and sub-200 ms execution latencies).</w:t>
      </w:r>
    </w:p>
    <w:p w14:paraId="49DD7221" w14:textId="77777777" w:rsidR="008A78AA" w:rsidRDefault="00000000">
      <w:pPr>
        <w:pStyle w:val="Heading5"/>
      </w:pPr>
      <w:commentRangeStart w:id="13"/>
      <w:r>
        <w:t>Conflict of Interest Statement</w:t>
      </w:r>
      <w:commentRangeEnd w:id="13"/>
      <w:r>
        <w:rPr>
          <w:rStyle w:val="CommentReference"/>
        </w:rPr>
        <w:commentReference w:id="13"/>
      </w:r>
    </w:p>
    <w:p w14:paraId="4F703334" w14:textId="77777777" w:rsidR="008A78AA" w:rsidRDefault="00000000">
      <w:pPr>
        <w:pStyle w:val="BodyText"/>
      </w:pPr>
      <w:r>
        <w:t>The authors declare no competing financial or institutional interests.</w:t>
      </w:r>
    </w:p>
    <w:p w14:paraId="1E693C37" w14:textId="77777777" w:rsidR="008A78AA" w:rsidRDefault="00000000">
      <w:pPr>
        <w:pStyle w:val="Heading5"/>
      </w:pPr>
      <w:r>
        <w:t>Data Availability</w:t>
      </w:r>
    </w:p>
    <w:p w14:paraId="4637DA27" w14:textId="77777777" w:rsidR="008A78AA" w:rsidRDefault="00000000">
      <w:pPr>
        <w:pStyle w:val="BodyText"/>
      </w:pPr>
      <w:commentRangeStart w:id="32"/>
      <w:r>
        <w:t>Raw hourly OHLCV data are publicly available from the Binance Spot API [29]. The complete experimental codebase, 24-fold Walk-Forward evaluation pipelines, statistical testing scripts, and Microsoft Power BI dashboard template are openly available in the public GitHub repository: https://github.com/asepsurahman/crypto-dl-bi-forecasting. Correspondence regarding data and implementation should be addressed to Asep Surahman Sulaeman (asep.surahman@nusaputra.ac.id).</w:t>
      </w:r>
      <w:commentRangeEnd w:id="32"/>
      <w:r>
        <w:commentReference w:id="32"/>
      </w:r>
    </w:p>
    <w:p>
      <w:pPr>
        <w:pStyle w:val="Heading5"/>
      </w:pPr>
      <w:r>
        <w:t>Ethical Approval and Consent</w:t>
      </w:r>
    </w:p>
    <w:p>
      <w:pPr>
        <w:pStyle w:val="BodyText"/>
      </w:pPr>
      <w:r>
        <w:t>The usability evaluation protocol involving human participants was formally reviewed and approved by the Research Ethics Review Committee of Universitas Nusa Putra (Protocol Ref: UNP-REC/2026/04-019). Prior to participation, written informed consent was obtained from all 15 individual participants. The study was non-interventional, strictly voluntary, uncompensated, and fully anonymized, with no personally identifiable information collected.</w:t>
      </w:r>
    </w:p>
    <w:p w14:paraId="67B8F1A4" w14:textId="77777777" w:rsidR="008A78AA" w:rsidRDefault="00000000">
      <w:pPr>
        <w:pStyle w:val="Heading5"/>
      </w:pPr>
      <w:r>
        <w:t>References</w:t>
      </w:r>
    </w:p>
    <w:p w14:paraId="3D1B1ADD" w14:textId="77777777" w:rsidR="008A78AA" w:rsidRDefault="00000000">
      <w:pPr>
        <w:pStyle w:val="references"/>
      </w:pPr>
      <w:r>
        <w:t xml:space="preserve">A. Urquhart, “The inefficiency of Bitcoin,” </w:t>
      </w:r>
      <w:r>
        <w:rPr>
          <w:i/>
          <w:iCs/>
        </w:rPr>
        <w:t>Econ. Lett.</w:t>
      </w:r>
      <w:r>
        <w:t>, vol. 148, pp. 80–82, 2016, doi: 10.1016/j.econlet.2016.09.019.</w:t>
      </w:r>
    </w:p>
    <w:p w14:paraId="53E2548B" w14:textId="77777777" w:rsidR="008A78AA" w:rsidRDefault="00000000">
      <w:pPr>
        <w:pStyle w:val="references"/>
      </w:pPr>
      <w:r>
        <w:t xml:space="preserve">P. Katsiampa, “Volatility estimation for Bitcoin: A comparison of GARCH models,” </w:t>
      </w:r>
      <w:r>
        <w:rPr>
          <w:i/>
          <w:iCs/>
        </w:rPr>
        <w:t>Econ. Lett.</w:t>
      </w:r>
      <w:r>
        <w:t xml:space="preserve">, vol. 158, pp. 3–6, 2017, doi: 10.1016/j.econlet.2017.06.023.</w:t>
      </w:r>
      <w:r>
        <w:rPr>
          <w:i/>
          <w:iCs/>
        </w:rPr>
      </w:r>
      <w:r/>
    </w:p>
    <w:p w14:paraId="2CD2448B" w14:textId="77777777" w:rsidR="008A78AA" w:rsidRDefault="00000000">
      <w:pPr>
        <w:pStyle w:val="references"/>
      </w:pPr>
      <w:r>
        <w:t xml:space="preserve">S. Makridakis, E. Spiliotis, and V. Assimakopoulos, “Statistical and Machine Learning forecasting methods: Concerns and ways forward,” </w:t>
      </w:r>
      <w:r>
        <w:rPr>
          <w:i/>
          <w:iCs/>
        </w:rPr>
        <w:lastRenderedPageBreak/>
        <w:t>PLoS ONE</w:t>
      </w:r>
      <w:r>
        <w:t>, vol. 13, no. 3, p. e0194889, 2018, doi: 10.1371/journal.pone.0194889.</w:t>
      </w:r>
    </w:p>
    <w:p w14:paraId="199C5F7E" w14:textId="77777777" w:rsidR="008A78AA" w:rsidRDefault="00000000">
      <w:pPr>
        <w:pStyle w:val="references"/>
      </w:pPr>
      <w:r>
        <w:t xml:space="preserve">B. M. Henrique, V. A. Sobreiro, and H. Kimura, “Literature review: Machine learning techniques applied to financial market prediction,” </w:t>
      </w:r>
      <w:r>
        <w:rPr>
          <w:i/>
          <w:iCs/>
        </w:rPr>
        <w:t>Expert Syst. Appl.</w:t>
      </w:r>
      <w:r>
        <w:t xml:space="preserve">, vol. 124, pp. 226–251, 2019, doi: 10.1016/j.eswa.2019.01.012.</w:t>
      </w:r>
      <w:r>
        <w:rPr>
          <w:i/>
          <w:iCs/>
        </w:rPr>
      </w:r>
      <w:r/>
    </w:p>
    <w:p w14:paraId="1F0813D5" w14:textId="77777777" w:rsidR="008A78AA" w:rsidRDefault="00000000">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13ED888E" w14:textId="77777777" w:rsidR="008A78AA" w:rsidRDefault="00000000">
      <w:pPr>
        <w:pStyle w:val="references"/>
      </w:pPr>
      <w:r>
        <w:t xml:space="preserve">H. Chaudhuri and I. Ghosh, “Artificial Neural Network and Time Series Modeling Based Approach to Forecasting the Exchange Rate in a Multivariate Framework,” </w:t>
      </w:r>
      <w:r>
        <w:rPr>
          <w:i/>
          <w:iCs/>
        </w:rPr>
        <w:t>J. Quant. Econ.</w:t>
      </w:r>
      <w:r>
        <w:t>, vol. 14, pp. 201–226, 2016, doi: 10.1007/s40953-016-0023-6.</w:t>
      </w:r>
    </w:p>
    <w:p w14:paraId="1A9C6F94" w14:textId="77777777" w:rsidR="008A78AA" w:rsidRDefault="00000000">
      <w:pPr>
        <w:pStyle w:val="references"/>
      </w:pPr>
      <w:r>
        <w:t xml:space="preserve">P. C. Cavalcante et al., “Computational Intelligence and Financial Markets: A Survey and Future Directions,” </w:t>
      </w:r>
      <w:r>
        <w:rPr>
          <w:i/>
          <w:iCs/>
        </w:rPr>
        <w:t>Expert Syst. Appl.</w:t>
      </w:r>
      <w:r>
        <w:t>, vol. 55, pp. 194–211, 2016, doi: 10.1016/j.eswa.2016.02.006.</w:t>
      </w:r>
    </w:p>
    <w:p w14:paraId="7E7138E2" w14:textId="77777777" w:rsidR="008A78AA" w:rsidRDefault="00000000">
      <w:pPr>
        <w:pStyle w:val="references"/>
      </w:pPr>
      <w:r>
        <w:t xml:space="preserve">D. Delen and H. Demirkan, “Data, information and analytics as services,” </w:t>
      </w:r>
      <w:r>
        <w:rPr>
          <w:i/>
          <w:iCs/>
        </w:rPr>
        <w:t>Decis. Support Syst.</w:t>
      </w:r>
      <w:r>
        <w:t xml:space="preserve">, vol. 55, no. 1, pp. 359–363, 2013, doi: 10.1016/j.dss.2012.05.044.</w:t>
      </w:r>
      <w:r>
        <w:rPr>
          <w:i/>
          <w:iCs/>
        </w:rPr>
      </w:r>
      <w:r/>
    </w:p>
    <w:p w14:paraId="58A0382D" w14:textId="77777777" w:rsidR="008A78AA" w:rsidRDefault="00000000">
      <w:pPr>
        <w:pStyle w:val="references"/>
      </w:pPr>
      <w:r>
        <w:t xml:space="preserve">D. J. Power, “Decision support systems: A historical overview,” </w:t>
      </w:r>
      <w:r>
        <w:rPr>
          <w:i/>
          <w:iCs/>
        </w:rPr>
        <w:t>Commun. Assoc. Inf. Syst.</w:t>
      </w:r>
      <w:r>
        <w:t>, vol. 13, no. 1, art. no. 15, 2004, doi: 10.17705/1CAIS.01315.</w:t>
      </w:r>
    </w:p>
    <w:p w14:paraId="1597FCC7" w14:textId="77777777" w:rsidR="008A78AA" w:rsidRDefault="00000000">
      <w:pPr>
        <w:pStyle w:val="references"/>
      </w:pPr>
      <w:r>
        <w:t xml:space="preserve">J. Patel, S. Shah, P. Thakkar, and K. Kotecha, “Predicting stock and stock price index movement using trend deterministic data preparation and machine learning techniques,” </w:t>
      </w:r>
      <w:r>
        <w:rPr>
          <w:i/>
          <w:iCs/>
        </w:rPr>
        <w:t>Expert Syst. Appl.</w:t>
      </w:r>
      <w:r>
        <w:t xml:space="preserve">, vol. 42, no. 1, pp. 259–268, 2015, doi: 10.1016/j.eswa.2014.07.040.</w:t>
      </w:r>
      <w:r>
        <w:rPr>
          <w:i/>
          <w:iCs/>
        </w:rPr>
      </w:r>
      <w:r/>
    </w:p>
    <w:p w14:paraId="02C91D63" w14:textId="77777777" w:rsidR="008A78AA" w:rsidRDefault="00000000">
      <w:pPr>
        <w:pStyle w:val="references"/>
      </w:pPr>
      <w:r>
        <w:t xml:space="preserve">A. Krauss, X. Q. Do, and N. Huck, “Deep neural networks, gradient-boosted trees, random forests: Statistical arbitrage on the S&amp;P 500,” </w:t>
      </w:r>
      <w:r>
        <w:rPr>
          <w:i/>
          <w:iCs/>
        </w:rPr>
        <w:t>Eur. J. Oper. Res.</w:t>
      </w:r>
      <w:r>
        <w:t>, vol. 259, no. 2, pp. 689–702, 2017, doi: 10.1016/j.ejor.2016.12.004.</w:t>
      </w:r>
    </w:p>
    <w:p w14:paraId="78791031" w14:textId="77777777" w:rsidR="008A78AA" w:rsidRDefault="00000000">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576F0E9B" w14:textId="77777777" w:rsidR="008A78AA" w:rsidRDefault="00000000">
      <w:pPr>
        <w:pStyle w:val="references"/>
      </w:pPr>
      <w:r>
        <w:t xml:space="preserve">S. McNally, J. Roche, and S. Caton, “Predicting the price of Bitcoin using Machine Learning,” in </w:t>
      </w:r>
      <w:r>
        <w:rPr>
          <w:i/>
          <w:iCs/>
        </w:rPr>
        <w:t>Proc. 26th Euromicro Int. Conf. Parallel, Distrib. Netw.-Based Process. (PDP)</w:t>
      </w:r>
      <w:r>
        <w:t xml:space="preserve">, 2018, pp. 339–343, doi: 10.1109/PDP2018.2018.00060.</w:t>
      </w:r>
    </w:p>
    <w:p w14:paraId="5A9022F4" w14:textId="77777777" w:rsidR="008A78AA" w:rsidRDefault="00000000">
      <w:pPr>
        <w:pStyle w:val="references"/>
      </w:pPr>
      <w:r>
        <w:t xml:space="preserve">S. Hochreiter and J. Schmidhuber, “Long short-term memory,” </w:t>
      </w:r>
      <w:r>
        <w:rPr>
          <w:i/>
          <w:iCs/>
        </w:rPr>
        <w:t>Neural Comput.</w:t>
      </w:r>
      <w:r>
        <w:t>, vol. 9, no. 8, pp. 1735–1780, 1997, doi: 10.1162/neco.1997.9.8.1735.</w:t>
      </w:r>
    </w:p>
    <w:p w14:paraId="6699D1E4" w14:textId="77777777" w:rsidR="008A78AA" w:rsidRDefault="00000000">
      <w:pPr>
        <w:pStyle w:val="references"/>
      </w:pPr>
      <w:r>
        <w:t xml:space="preserve">F. A. Gers, J. Schmidhuber, and F. Cummins, “Learning to Forget: Continual Prediction with LSTM,” </w:t>
      </w:r>
      <w:r>
        <w:rPr>
          <w:i/>
          <w:iCs/>
        </w:rPr>
        <w:t>Neural Comput.</w:t>
      </w:r>
      <w:r>
        <w:t>, vol. 12, no. 10, pp. 2451–2471, 2000, doi: 10.1162/089976600300015015.</w:t>
      </w:r>
    </w:p>
    <w:p w14:paraId="3615FD35"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049FAAE1" w14:textId="77777777" w:rsidR="008A78AA" w:rsidRDefault="00000000">
      <w:pPr>
        <w:pStyle w:val="references"/>
      </w:pPr>
      <w:r>
        <w:t xml:space="preserve">D. C. A. Mallqui and R. A. S. Fernandes, “Predicting the direction, maximum, minimum and closing prices of daily Bitcoin exchange rate using machine learning techniques,” </w:t>
      </w:r>
      <w:r>
        <w:rPr>
          <w:i/>
          <w:iCs/>
        </w:rPr>
        <w:t>Appl. Soft Comput.</w:t>
      </w:r>
      <w:r>
        <w:t xml:space="preserve">, vol. 75, pp. 596–606, 2019, doi: 10.1016/j.asoc.2018.11.038.</w:t>
      </w:r>
    </w:p>
    <w:p w14:paraId="7C6B3E4B" w14:textId="77777777" w:rsidR="008A78AA" w:rsidRDefault="00000000">
      <w:pPr>
        <w:pStyle w:val="references"/>
      </w:pPr>
      <w:r>
        <w:t xml:space="preserve">K. Greff et al., “LSTM: A Space Odyssey,” </w:t>
      </w:r>
      <w:r>
        <w:rPr>
          <w:i/>
          <w:iCs/>
        </w:rPr>
        <w:t>IEEE Trans. Neural Netw. Learn. Syst.</w:t>
      </w:r>
      <w:r>
        <w:t>, vol. 28, no. 10, pp. 2222–2232, 2017, doi: 10.1109/TNNLS.2016.2582924.</w:t>
      </w:r>
    </w:p>
    <w:p w14:paraId="3941CB2B" w14:textId="77777777" w:rsidR="008A78AA" w:rsidRDefault="00000000">
      <w:pPr>
        <w:pStyle w:val="references"/>
      </w:pPr>
      <w:r>
        <w:t xml:space="preserve">A. Vaswani et al., “Attention is all you need,” in </w:t>
      </w:r>
      <w:r>
        <w:rPr>
          <w:i/>
          <w:iCs/>
        </w:rPr>
        <w:t>Advances in Neural Information Processing Systems (NeurIPS)</w:t>
      </w:r>
      <w:r>
        <w:t>, vol. 30, 2017, pp. 5998–6008. Available: https://arxiv.org/abs/1706.03762.</w:t>
      </w:r>
    </w:p>
    <w:p w14:paraId="2C1BF748" w14:textId="77777777" w:rsidR="008A78AA" w:rsidRDefault="00000000">
      <w:pPr>
        <w:pStyle w:val="references"/>
      </w:pPr>
      <w:r>
        <w:t>N. Wu, B. Green, X. Ben, and S. O’Banion, “Deep Transformer Models for Time Series Forecasting: The Influenza Prevalence Case,” arXiv preprint arXiv:2001.08317, 2020, doi: 10.48550/arXiv.2001.08317.</w:t>
      </w:r>
    </w:p>
    <w:p w14:paraId="47EA43A5" w14:textId="77777777" w:rsidR="008A78AA" w:rsidRDefault="00000000">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0131FD84" w14:textId="77777777" w:rsidR="008A78AA" w:rsidRDefault="00000000">
      <w:pPr>
        <w:pStyle w:val="references"/>
      </w:pPr>
      <w:r>
        <w:t xml:space="preserve">Y. Nie et al., “A Time Series is Worth 64 Words: Long-term Forecasting with Transformers,” in </w:t>
      </w:r>
      <w:r>
        <w:rPr>
          <w:i/>
          <w:iCs/>
        </w:rPr>
        <w:t>Int. Conf. Learn. Representations (ICLR)</w:t>
      </w:r>
      <w:r>
        <w:t>, 2023. Available: https://arxiv.org/abs/2211.14730.</w:t>
      </w:r>
    </w:p>
    <w:p w14:paraId="75D76BFE" w14:textId="77777777" w:rsidR="008A78AA" w:rsidRDefault="00000000">
      <w:pPr>
        <w:pStyle w:val="references"/>
      </w:pPr>
      <w:r>
        <w:t xml:space="preserve">H. Wu et al., “TimesNet: Temporal 2D-Variation Modeling for General Time Series Analysis,” in </w:t>
      </w:r>
      <w:r>
        <w:rPr>
          <w:i/>
          <w:iCs/>
        </w:rPr>
        <w:t>Int. Conf. Learn. Representations (ICLR)</w:t>
      </w:r>
      <w:r>
        <w:t>, 2023. Available: https://arxiv.org/abs/2210.02186.</w:t>
      </w:r>
    </w:p>
    <w:p w14:paraId="6456F492" w14:textId="77777777" w:rsidR="008A78AA" w:rsidRDefault="00000000">
      <w:pPr>
        <w:pStyle w:val="references"/>
      </w:pPr>
      <w:r>
        <w:t xml:space="preserve">P. K. Roy, A. Kumar, A. Singh, and A. K. Sangaiah, “Forecasting Bitcoin Prices Using Deep Learning for Consumer-Centric Industrial Applications,” </w:t>
      </w:r>
      <w:r>
        <w:rPr>
          <w:i/>
          <w:iCs/>
        </w:rPr>
        <w:t>IEEE Trans. Consum. Electron.</w:t>
      </w:r>
      <w:r>
        <w:t xml:space="preserve">, vol. 70, no. 1, pp. 1351–1359, 2024, doi: 10.1109/TCE.2023.3335001.</w:t>
      </w:r>
      <w:r>
        <w:rPr>
          <w:i/>
          <w:iCs/>
        </w:rPr>
      </w:r>
      <w:r/>
    </w:p>
    <w:p w14:paraId="76F16FCF" w14:textId="77777777" w:rsidR="008A78AA" w:rsidRDefault="00000000">
      <w:pPr>
        <w:pStyle w:val="references"/>
      </w:pPr>
      <w:r>
        <w:t xml:space="preserve">G. Zerveas et al., “A Transformer-based Framework for Multivariate Time Series Representation Learning,” in </w:t>
      </w:r>
      <w:r>
        <w:rPr>
          <w:i/>
          <w:iCs/>
        </w:rPr>
        <w:t xml:space="preserve">Proc. 27th ACM SIGKDD Conf. Knowl. Discov. Data Min. (KDD)</w:t>
      </w:r>
      <w:r>
        <w:t>, Virtual, 2021, pp. 2114–2124, doi: 10.1145/3447548.3467401.</w:t>
      </w:r>
    </w:p>
    <w:p w14:paraId="275B522F"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756CA3D2"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63D5ABD1"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172D6CEF" w14:textId="77777777" w:rsidR="008A78AA" w:rsidRDefault="00000000">
      <w:pPr>
        <w:pStyle w:val="references"/>
      </w:pPr>
      <w:r>
        <w:t>Binance, “Binance Spot API Documentation,” Binance Technical Engineering, 2024. Available: https://binance-docs.github.io/apidocs/spot/en/. [Accessed: May 2026].</w:t>
      </w:r>
    </w:p>
    <w:p w14:paraId="44B8D7E7" w14:textId="77777777" w:rsidR="008A78AA" w:rsidRDefault="00000000">
      <w:pPr>
        <w:pStyle w:val="references"/>
      </w:pPr>
      <w:r>
        <w:t xml:space="preserve">M. L. de Prado, </w:t>
      </w:r>
      <w:r>
        <w:rPr>
          <w:i/>
          <w:iCs/>
        </w:rPr>
        <w:t>Advances in Financial Machine Learning</w:t>
      </w:r>
      <w:r>
        <w:t>. Hoboken, NJ, USA: John Wiley &amp; Sons, 2018.</w:t>
      </w:r>
    </w:p>
    <w:p w14:paraId="023F92E9" w14:textId="77777777" w:rsidR="008A78AA" w:rsidRDefault="00000000">
      <w:pPr>
        <w:pStyle w:val="references"/>
      </w:pPr>
      <w:r>
        <w:t xml:space="preserve">J. Han, M. Kamber, and J. Pei, </w:t>
      </w:r>
      <w:r>
        <w:rPr>
          <w:i/>
          <w:iCs/>
        </w:rPr>
        <w:t>Data Mining: Concepts and Techniques</w:t>
      </w:r>
      <w:r>
        <w:t>, 3rd ed. Waltham, MA, USA: Morgan Kaufmann, 2011.</w:t>
      </w:r>
    </w:p>
    <w:p w14:paraId="5BF3ADE3" w14:textId="77777777" w:rsidR="008A78AA" w:rsidRDefault="00000000">
      <w:pPr>
        <w:pStyle w:val="references"/>
      </w:pPr>
      <w:r>
        <w:t xml:space="preserve">R. J. Hyndman and G. Athanasopoulos, </w:t>
      </w:r>
      <w:r>
        <w:rPr>
          <w:i/>
          <w:iCs/>
        </w:rPr>
        <w:t>Forecasting: Principles and Practice</w:t>
      </w:r>
      <w:r>
        <w:t>, 3rd ed. Melbourne, Australia: OTexts, 2021. Available: https://otexts.com/fpp3/.</w:t>
      </w:r>
    </w:p>
    <w:p w14:paraId="2E62D4FB" w14:textId="77777777" w:rsidR="008A78AA" w:rsidRDefault="00000000">
      <w:pPr>
        <w:pStyle w:val="references"/>
      </w:pPr>
      <w:r>
        <w:t xml:space="preserve">R. S. Tsay, </w:t>
      </w:r>
      <w:r>
        <w:rPr>
          <w:i/>
          <w:iCs/>
        </w:rPr>
        <w:t>Analysis of Financial Time Series</w:t>
      </w:r>
      <w:r>
        <w:t>, 3rd ed. Hoboken, NJ, USA: John Wiley &amp; Sons, 2010, doi: 10.1002/9780470644560.</w:t>
      </w:r>
    </w:p>
    <w:p w14:paraId="209160CD" w14:textId="77777777" w:rsidR="008A78AA" w:rsidRDefault="00000000">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43B541F" w14:textId="77777777" w:rsidR="008A78AA" w:rsidRDefault="00000000">
      <w:pPr>
        <w:pStyle w:val="references"/>
      </w:pPr>
      <w:r>
        <w:t xml:space="preserve">F. X. Diebold and R. S. Mariano, “Comparing Predictive Accuracy,” </w:t>
      </w:r>
      <w:r>
        <w:rPr>
          <w:i/>
          <w:iCs/>
        </w:rPr>
        <w:t>J. Bus. Econ. Stat.</w:t>
      </w:r>
      <w:r>
        <w:t>, vol. 13, no. 3, pp. 253–263, 1995, doi: 10.1080/07350015.1995.10524599.</w:t>
      </w:r>
    </w:p>
    <w:p w14:paraId="7316CCDA" w14:textId="77777777" w:rsidR="008A78AA" w:rsidRDefault="00000000">
      <w:pPr>
        <w:pStyle w:val="references"/>
      </w:pPr>
      <w:r>
        <w:t xml:space="preserve">J. Bollen, H. Mao, and X. Zeng, “Twitter mood predicts the stock market,” </w:t>
      </w:r>
      <w:r>
        <w:rPr>
          <w:i/>
          <w:iCs/>
        </w:rPr>
        <w:t>J. Comput. Sci.</w:t>
      </w:r>
      <w:r>
        <w:t>, vol. 2, no. 1, pp. 1–8, 2011, doi: 10.1016/j.jocs.2010.12.007.</w:t>
      </w:r>
    </w:p>
    <w:p w14:paraId="4CBDABC0"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372B59A"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14:paraId="02AD880D" w14:textId="77777777" w:rsidR="008A78AA" w:rsidRDefault="00000000">
      <w:pPr>
        <w:pStyle w:val="references"/>
      </w:pPr>
      <w:r>
        <w:t xml:space="preserve">S. Lahmiri and S. Bekiros, “Cryptocurrency forecasting with deep learning chaotic neural networks,” </w:t>
      </w:r>
      <w:r>
        <w:rPr>
          <w:i/>
          <w:iCs/>
        </w:rPr>
        <w:t>Chaos Solitons Fractals</w:t>
      </w:r>
      <w:r>
        <w:t xml:space="preserve">, vol. 118, pp. 35–40, 2019, doi: 10.1016/j.chaos.2018.11.014.</w:t>
      </w:r>
      <w:r>
        <w:rPr>
          <w:i/>
          <w:iCs/>
        </w:rPr>
      </w:r>
      <w:r/>
    </w:p>
    <w:p w14:paraId="5649098D" w14:textId="77777777" w:rsidR="008A78AA" w:rsidRDefault="00000000">
      <w:pPr>
        <w:pStyle w:val="references"/>
      </w:pPr>
      <w:r>
        <w:t xml:space="preserve">I. E. Livieris, N. Kiriakidou, S. Stavroyiannis, and P. Pintelas, “An Advanced CNN-LSTM Model for Cryptocurrency Forecasting,” </w:t>
      </w:r>
      <w:r>
        <w:rPr>
          <w:i/>
          <w:iCs/>
        </w:rPr>
        <w:t>Electronics</w:t>
      </w:r>
      <w:r>
        <w:t xml:space="preserve">, vol. 10, no. 3, art. no. 287, 2021, doi: 10.3390/electronics10030287.</w:t>
      </w:r>
    </w:p>
    <w:p w14:paraId="5649098D" w14:textId="77777777" w:rsidR="008A78AA" w:rsidRDefault="00000000">
      <w:pPr>
        <w:pStyle w:val="references"/>
      </w:pPr>
      <w:r>
        <w:t xml:space="preserve">T. Fischer and C. Krauss, “Deep learning with long short-term memory networks for financial market predictions,” </w:t>
      </w:r>
      <w:r>
        <w:rPr>
          <w:i/>
          <w:iCs/>
        </w:rPr>
        <w:t>Eur. J. Oper. Res.</w:t>
      </w:r>
      <w:r>
        <w:t xml:space="preserve">, vol. 270, no. 2, pp. 654–669, 2018, doi: 10.1016/j.ejor.2017.11.054.</w:t>
      </w:r>
      <w:r>
        <w:rPr>
          <w:i/>
          <w:iCs/>
        </w:rPr>
      </w:r>
      <w:r/>
    </w:p>
    <w:p w14:paraId="5649098D" w14:textId="77777777" w:rsidR="008A78AA" w:rsidRDefault="00000000">
      <w:pPr>
        <w:pStyle w:val="references"/>
      </w:pPr>
      <w:r>
        <w:t xml:space="preserve">H. Sebastião and P. Godinho, “Forecasting and trading cryptocurrencies with machine learning under changing market conditions,” </w:t>
      </w:r>
      <w:r>
        <w:rPr>
          <w:i/>
          <w:iCs/>
        </w:rPr>
        <w:t>Financ. Innov.</w:t>
      </w:r>
      <w:r>
        <w:t xml:space="preserve">, vol. 7, no. 1, pp. 1–30, 2021, doi: 10.1186/s40854-020-00217-x.</w:t>
      </w:r>
      <w:r>
        <w:rPr>
          <w:i/>
          <w:iCs/>
        </w:rPr>
      </w:r>
      <w:r/>
    </w:p>
    <w:p w14:paraId="5649098D" w14:textId="77777777" w:rsidR="008A78AA" w:rsidRDefault="00000000">
      <w:pPr>
        <w:pStyle w:val="references"/>
      </w:pPr>
      <w:r>
        <w:t xml:space="preserve">F. Rundo, “Deep LSTM with reinforcement learning layer for financial trend prediction in FX high frequency trading systems,” </w:t>
      </w:r>
      <w:r>
        <w:rPr>
          <w:i/>
          <w:iCs/>
        </w:rPr>
        <w:t>Appl. Sci.</w:t>
      </w:r>
      <w:r>
        <w:t xml:space="preserve">, vol. 9, no. 20, art. no. 4460, 2019, doi: 10.3390/app9204460.</w:t>
      </w:r>
      <w:r>
        <w:rPr>
          <w:i/>
          <w:iCs/>
        </w:rPr>
      </w:r>
      <w:r/>
    </w:p>
    <w:p w14:paraId="5649098D" w14:textId="77777777" w:rsidR="008A78AA" w:rsidRDefault="00000000">
      <w:pPr>
        <w:pStyle w:val="references"/>
      </w:pPr>
      <w:r>
        <w:t xml:space="preserve">R. Amirzadeh, A. Nazari, and D. Thiruvady, “Applying artificial intelligence in cryptocurrency markets: A survey,” </w:t>
      </w:r>
      <w:r>
        <w:rPr>
          <w:i/>
          <w:iCs/>
        </w:rPr>
        <w:t>Algorithms</w:t>
      </w:r>
      <w:r>
        <w:t xml:space="preserve">, vol. 15, no. 11, art. no. 428, 2022, doi: 10.3390/a15110428.</w:t>
      </w:r>
      <w:r>
        <w:rPr>
          <w:i/>
          <w:iCs/>
        </w:rPr>
      </w:r>
      <w:r/>
    </w:p>
    <w:p w14:paraId="5649098D" w14:textId="77777777" w:rsidR="008A78AA" w:rsidRDefault="00000000">
      <w:pPr>
        <w:pStyle w:val="references"/>
      </w:pPr>
      <w:r>
        <w:t xml:space="preserve">P. Peng, Y. Chen, W. Lin, and J. Z. Wang, “Attention-based CNN–LSTM for high-frequency multiple cryptocurrency trend prediction,” </w:t>
      </w:r>
      <w:r>
        <w:rPr>
          <w:i/>
          <w:iCs/>
        </w:rPr>
        <w:t>Expert Syst. Appl.</w:t>
      </w:r>
      <w:r>
        <w:t xml:space="preserve">, vol. 237, art. no. 121520, 2024, doi: 10.1016/j.eswa.2023.121520.</w:t>
      </w:r>
      <w:r>
        <w:rPr>
          <w:i/>
          <w:iCs/>
        </w:rPr>
      </w:r>
      <w:r/>
    </w:p>
    <w:p w14:textId="77777777" w:rsidR="008A78AA" w:rsidRDefault="00000000">
      <w:pPr>
        <w:pStyle w:val="references"/>
      </w:pPr>
      <w:r>
        <w:t xml:space="preserve">J. Demšar, “Statistical comparisons of classifiers over multiple data sets,” </w:t>
      </w:r>
      <w:r>
        <w:rPr>
          <w:i/>
          <w:iCs/>
        </w:rPr>
        <w:t xml:space="preserve">J. Mach. Learn. Res.</w:t>
      </w:r>
      <w:r>
        <w:t xml:space="preserve">, vol. 7, pp. 1–30, 2006.</w:t>
      </w:r>
    </w:p>
    <w:p w14:textId="77777777" w:rsidR="008A78AA" w:rsidRDefault="00000000">
      <w:pPr>
        <w:pStyle w:val="references"/>
      </w:pPr>
      <w:r>
        <w:t xml:space="preserve">S. Holm, “A simple sequentially rejective multiple test procedure,” </w:t>
      </w:r>
      <w:r>
        <w:rPr>
          <w:i/>
          <w:iCs/>
        </w:rPr>
        <w:t xml:space="preserve">Scand. J. Stat.</w:t>
      </w:r>
      <w:r>
        <w:t xml:space="preserve">, vol. 6, no. 2, pp. 65–70, 1979.</w:t>
      </w:r>
    </w:p>
    <w:sectPr w:rsidR="008A78AA">
      <w:type w:val="continuous"/>
      <w:pgSz w:w="11906" w:h="16838"/>
      <w:pgMar w:top="540" w:right="893" w:bottom="1440" w:left="893" w:header="0" w:footer="720" w:gutter="0"/>
      <w:cols w:num="2" w:space="360"/>
      <w:formProt w:val="0"/>
      <w:titlePg/>
      <w:docGrid w:linePitch="36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11T03:51:24Z" w:initials="C">
    <w:p w14:paraId="1567C57E" w14:textId="77777777">
      <w:r>
        <w:rPr>
          <w:rStyle w:val="CommentReference"/>
        </w:rPr>
        <w:annotationRef/>
      </w:r>
      <w:r>
        <w:rPr>
          <w:color w:val="000000"/>
          <w:sz w:val="20"/>
          <w:szCs w:val="20"/>
        </w:rPr>
        <w:t xml:space="preserve">Klaim "100% temporal continuity": tampilkan hasil gap-check (Binance pernah memiliki jam yang hilang saat maintenance).</w:t>
      </w:r>
    </w:p>
  </w:comment>
  <w:comment w:id="1" w:author="Claude" w:date="2026-10-11T03:51:24Z" w:initials="C">
    <w:p w14:paraId="2CBBFD1F" w14:textId="77777777">
      <w:r>
        <w:rPr>
          <w:rStyle w:val="CommentReference"/>
        </w:rPr>
        <w:annotationRef/>
      </w:r>
      <w:r>
        <w:rPr>
          <w:color w:val="000000"/>
          <w:sz w:val="20"/>
          <w:szCs w:val="20"/>
        </w:rPr>
        <w:t xml:space="preserve">Sebutkan apakah ADF dijalankan pada harga level atau log-return. Harga level BTC hampir pasti non-stasioner, dan ini bertentangan dengan narasi "severe non-stationarity". Tambahkan KPSS dan tabel p-value per fitur.</w:t>
      </w:r>
    </w:p>
  </w:comment>
  <w:comment w:id="2" w:author="Claude" w:date="2026-10-11T03:51:24Z" w:initials="C">
    <w:p w14:paraId="0DDC305F" w14:textId="77777777">
      <w:r>
        <w:rPr>
          <w:rStyle w:val="CommentReference"/>
        </w:rPr>
        <w:annotationRef/>
      </w:r>
      <w:r>
        <w:rPr>
          <w:color w:val="000000"/>
          <w:sz w:val="20"/>
          <w:szCs w:val="20"/>
        </w:rPr>
        <w:t xml:space="preserve">Daftar 15 fitur belum lengkap. Tambahkan tabel 15 fitur beserta parameternya.</w:t>
      </w:r>
    </w:p>
  </w:comment>
  <w:comment w:id="3" w:author="Claude" w:date="2026-10-11T03:51:24Z" w:initials="C">
    <w:p w14:paraId="2758643E" w14:textId="77777777">
      <w:r>
        <w:rPr>
          <w:rStyle w:val="CommentReference"/>
        </w:rPr>
        <w:annotationRef/>
      </w:r>
      <w:r>
        <w:rPr>
          <w:color w:val="000000"/>
          <w:sz w:val="20"/>
          <w:szCs w:val="20"/>
        </w:rPr>
        <w:t xml:space="preserve">Hasil SHAP belum ditampilkan di mana pun. Tambahkan gambar/tabel (sebutkan metodenya) atau hapus klaim ini.</w:t>
      </w:r>
    </w:p>
  </w:comment>
  <w:comment w:id="4" w:author="Claude" w:date="2026-10-11T03:51:24Z" w:initials="C">
    <w:p w14:paraId="490F00D6" w14:textId="77777777">
      <w:r>
        <w:rPr>
          <w:rStyle w:val="CommentReference"/>
        </w:rPr>
        <w:annotationRef/>
      </w:r>
      <w:r>
        <w:rPr>
          <w:color w:val="000000"/>
          <w:sz w:val="20"/>
          <w:szCs w:val="20"/>
        </w:rPr>
        <w:t xml:space="preserve">(1) Tambahkan tabel tanggal tiap fold (train/val/test), termasuk fold Terra-Luna. (2) Periode saya samakan ke Mar 2021–Mar 2026 (sesuai abstrak, Layer 1, dan Fig. 1). (3) "Quarterly anchored" saya ubah: 24 kuartal = 6 tahun (&gt; 5 tahun data) dan window latih Anda tetap 720 jam (rolling). (4) Pastikan periode bull/bear yang disebut memang tercakup oleh fold Anda.</w:t>
      </w:r>
    </w:p>
  </w:comment>
  <w:comment w:id="5" w:author="Claude" w:date="2026-10-11T03:51:24Z" w:initials="C">
    <w:p w14:paraId="0AD81E88" w14:textId="77777777">
      <w:r>
        <w:rPr>
          <w:rStyle w:val="CommentReference"/>
        </w:rPr>
        <w:annotationRef/>
      </w:r>
      <w:r>
        <w:rPr>
          <w:color w:val="000000"/>
          <w:sz w:val="20"/>
          <w:szCs w:val="20"/>
        </w:rPr>
        <w:t xml:space="preserve">Tambahkan konfigurasi LSTM/GRU/Informer (layer, unit, jumlah parameter, epoch maksimum, seed) agar dapat direproduksi.</w:t>
      </w:r>
    </w:p>
  </w:comment>
  <w:comment w:id="6" w:author="Claude" w:date="2026-10-11T03:51:24Z" w:initials="C">
    <w:p w14:paraId="482AA55F" w14:textId="77777777">
      <w:r>
        <w:rPr>
          <w:rStyle w:val="CommentReference"/>
        </w:rPr>
        <w:annotationRef/>
      </w:r>
      <w:r>
        <w:rPr>
          <w:color w:val="000000"/>
          <w:sz w:val="20"/>
          <w:szCs w:val="20"/>
        </w:rPr>
        <w:t xml:space="preserve">Konfirmasi horizon VaR. -5,82% untuk Buy-and-Hold terlalu besar untuk return BTC per jam (persentil 5% per jam biasanya sekitar -1%); angka ini lebih mirip VaR harian. Jika harian, ubah label di sini, di Tabel II ("Hourly VaR"), dan di teks. Jelaskan juga cara slippage disimulasikan (besaran bid-ask) dan apakah posisi short dilakukan di spot atau futures.</w:t>
      </w:r>
    </w:p>
  </w:comment>
  <w:comment w:id="7" w:author="Claude" w:date="2026-10-11T03:51:24Z" w:initials="C">
    <w:p w14:paraId="48370801" w14:textId="77777777">
      <w:r>
        <w:rPr>
          <w:rStyle w:val="CommentReference"/>
        </w:rPr>
        <w:annotationRef/>
      </w:r>
      <w:r>
        <w:rPr>
          <w:color w:val="000000"/>
          <w:sz w:val="20"/>
          <w:szCs w:val="20"/>
        </w:rPr>
        <w:t xml:space="preserve">Periksa horizon dan baseline: RMSE Naive 0,1845 (skala [0,1]) dan MAPE USD 2,38% terlalu besar untuk persistence 1 jam (kisaran wajar sekitar 0,3-0,5% per jam; RMSE ternormalisasi sekitar 0,01-0,02). Kemungkinan horizon sebenarnya lebih panjang atau baseline dihitung dari awal window. Kata "recursive" saya hapus karena bertentangan dengan h = 1. Pastikan kode dan angka konsisten.</w:t>
      </w:r>
    </w:p>
  </w:comment>
  <w:comment w:id="8" w:author="Claude" w:date="2026-10-11T03:51:25Z" w:initials="C">
    <w:p w14:paraId="164A2EF2" w14:textId="77777777">
      <w:r>
        <w:rPr>
          <w:rStyle w:val="CommentReference"/>
        </w:rPr>
        <w:annotationRef/>
      </w:r>
      <w:r>
        <w:rPr>
          <w:color w:val="000000"/>
          <w:sz w:val="20"/>
          <w:szCs w:val="20"/>
        </w:rPr>
        <w:t xml:space="preserve">Pastikan semua angka (Friedman, padj, Naive, ARIMA, Buy-and-Hold) berasal dari run asli dan simpan kode/output mentahnya. Sitasi Friedman saya ganti ke Demšar [46] dan Holm [47] (sudah ditambahkan di daftar referensi).</w:t>
      </w:r>
    </w:p>
  </w:comment>
  <w:comment w:id="9" w:author="Claude" w:date="2026-10-11T03:51:25Z" w:initials="C">
    <w:p w14:paraId="28A9A5C7" w14:textId="77777777">
      <w:r>
        <w:rPr>
          <w:rStyle w:val="CommentReference"/>
        </w:rPr>
        <w:annotationRef/>
      </w:r>
      <w:r>
        <w:rPr>
          <w:color w:val="000000"/>
          <w:sz w:val="20"/>
          <w:szCs w:val="20"/>
        </w:rPr>
        <w:t xml:space="preserve">Pastikan nomor protokol, nama komite, dan persetujuan tertulis sesuai dokumen asli, dan siapkan buktinya bila diminta editor/reviewer.</w:t>
      </w:r>
    </w:p>
  </w:comment>
  <w:comment w:id="10" w:author="Claude" w:date="2026-10-11T03:51:25Z" w:initials="C">
    <w:p w14:paraId="52A62E66" w14:textId="77777777">
      <w:r>
        <w:rPr>
          <w:rStyle w:val="CommentReference"/>
        </w:rPr>
        <w:annotationRef/>
      </w:r>
      <w:r>
        <w:rPr>
          <w:color w:val="000000"/>
          <w:sz w:val="20"/>
          <w:szCs w:val="20"/>
        </w:rPr>
        <w:t xml:space="preserve">Tampilkan Sharpe gross vs net, turnover (frekuensi flip posisi), dan jumlah trade; ini menjawab pertanyaan reviewer tentang DA 72,3% vs Sharpe 1,45. Paragraf saya lunakkan karena penjelasan sebelumnya (kesalahan terkonsentrasi di cascade) belum didukung analisis.</w:t>
      </w:r>
    </w:p>
  </w:comment>
  <w:comment w:id="11" w:author="Claude" w:date="2026-10-11T03:51:25Z" w:initials="C">
    <w:p w14:paraId="0BCA1783" w14:textId="77777777">
      <w:r>
        <w:rPr>
          <w:rStyle w:val="CommentReference"/>
        </w:rPr>
        <w:annotationRef/>
      </w:r>
      <w:r>
        <w:rPr>
          <w:color w:val="000000"/>
          <w:sz w:val="20"/>
          <w:szCs w:val="20"/>
        </w:rPr>
        <w:t xml:space="preserve">Verifikasi tiap rentang angka (RMSE, DA, Sharpe) langsung ke makalah sumber. Catatan: Livieris 2021 melaporkan galat dalam satuan harga (bukan RMSE ternormalisasi); Lahmiri &amp; Bekiros setahu saya memakai data harian, bukan 1 jam. Periksa juga kalimat deskriptif tiap studi.</w:t>
      </w:r>
    </w:p>
  </w:comment>
  <w:comment w:id="12" w:author="Claude" w:date="2026-10-11T03:51:25Z" w:initials="C">
    <w:p w14:paraId="23F0E4A4" w14:textId="77777777">
      <w:r>
        <w:rPr>
          <w:rStyle w:val="CommentReference"/>
        </w:rPr>
        <w:annotationRef/>
      </w:r>
      <w:r>
        <w:rPr>
          <w:color w:val="000000"/>
          <w:sz w:val="20"/>
          <w:szCs w:val="20"/>
        </w:rPr>
        <w:t xml:space="preserve">Tambahkan URL repositori publik (GitHub/Zenodo) untuk kode dan dataset olahan.</w:t>
      </w:r>
    </w:p>
  </w:comment>
  <w:comment w:id="13" w:author="Claude" w:date="2026-10-11T03:51:25Z" w:initials="C">
    <w:p w14:paraId="64EA95C5" w14:textId="77777777">
      <w:r>
        <w:rPr>
          <w:rStyle w:val="CommentReference"/>
        </w:rPr>
        <w:annotationRef/>
      </w:r>
      <w:r>
        <w:rPr>
          <w:color w:val="000000"/>
          <w:sz w:val="20"/>
          <w:szCs w:val="20"/>
        </w:rPr>
        <w:t xml:space="preserve">Tandai penulis korespondensi dan cek apakah venue meminta Funding, Author Contributions, atau Acknowledgment.</w:t>
      </w:r>
    </w:p>
  </w:comment>
  <w:comment w:id="14" w:author="Claude" w:date="2026-10-11T04:16:29Z" w:initials="C">
    <w:p w14:paraId="7575927B" w14:textId="77777777">
      <w:r>
        <w:rPr>
          <w:rStyle w:val="CommentReference"/>
        </w:rPr>
        <w:annotationRef/>
      </w:r>
      <w:r>
        <w:rPr>
          <w:color w:val="000000"/>
          <w:sz w:val="20"/>
          <w:szCs w:val="20"/>
        </w:rPr>
        <w:t xml:space="preserve">[PERLU DATA ANDA – KRITIS] DA 72,3% pada horizon 1 jam BTC jauh di atas studi yang Anda sitasi sendiri (55–67%, Tabel V). Secara aritmetika, DA ~72% pada pergerakan per jam ±0,3–0,4% menghasilkan Sharpe tahunan puluhan (±25–28), bukan 1,82. Selain itu SD DA antar-fold (±1,5%) lebih kecil daripada batas minimum akibat noise sampling (≈3,5% untuk n=168 jam). Lakukan audit kebocoran data (leakage) dan hitung ulang sebelum submit; reviewer hampir pasti mempertanyakan ini.</w:t>
      </w:r>
    </w:p>
  </w:comment>
  <w:comment w:id="15" w:author="Claude" w:date="2026-10-11T04:16:29Z" w:initials="C">
    <w:p w14:paraId="36ED9A70" w14:textId="77777777">
      <w:r>
        <w:rPr>
          <w:rStyle w:val="CommentReference"/>
        </w:rPr>
        <w:annotationRef/>
      </w:r>
      <w:r>
        <w:rPr>
          <w:color w:val="000000"/>
          <w:sz w:val="20"/>
          <w:szCs w:val="20"/>
        </w:rPr>
        <w:t xml:space="preserve">[PERLU DATA ANDA] Jumlah data tidak konsisten: 43.801 (ingest) → 43.794 kontinu + 6 gap → 43.800 → 43.786 (abstrak, Algoritma 1, Fig. 1, Kesimpulan). Rentang 1 Mar 2021–1 Mar 2026 = 43.824 jam (ada 29 Feb 2024); 43.800 = 5×365×24. Buat satu rantai jelas: raw → setelah gap-fill → sampel efektif setelah warm-up indikator &amp; windowing, lalu seragamkan di seluruh naskah. [REVISI] 'forward-fill linear' diganti 'linear interpolation' (dua metode berbeda); paragraf '100% complete… no interpolation required' dihapus karena bertentangan dengan audit gap enam jam.</w:t>
      </w:r>
    </w:p>
  </w:comment>
  <w:comment w:id="16" w:author="Claude" w:date="2026-10-11T04:16:29Z" w:initials="C">
    <w:p w14:paraId="25AF639D" w14:textId="77777777">
      <w:r>
        <w:rPr>
          <w:rStyle w:val="CommentReference"/>
        </w:rPr>
        <w:annotationRef/>
      </w:r>
      <w:r>
        <w:rPr>
          <w:color w:val="000000"/>
          <w:sz w:val="20"/>
          <w:szCs w:val="20"/>
        </w:rPr>
        <w:t xml:space="preserve">[REVISI] Klaim 'semua 14 indikator stasioner (p&lt;0,001)' dihapus: SMA-50, EMA-20, Bollinger Bands, σ24 (std dari harga) dan Close mengikuti level harga sehingga tidak mungkin I(0). [PERLU DATA ANDA] Tambahkan tabel ADF + KPSS per fitur (sesuai komentar reviewer sebelumnya) atau pertimbangkan memprediksi log-return. Batasan ini sudah ditambahkan di Limitations.</w:t>
      </w:r>
    </w:p>
  </w:comment>
  <w:comment w:id="17" w:author="Claude" w:date="2026-10-11T04:16:29Z" w:initials="C">
    <w:p w14:paraId="4AB8F9E0" w14:textId="77777777">
      <w:r>
        <w:rPr>
          <w:rStyle w:val="CommentReference"/>
        </w:rPr>
        <w:annotationRef/>
      </w:r>
      <w:r>
        <w:rPr>
          <w:color w:val="000000"/>
          <w:sz w:val="20"/>
          <w:szCs w:val="20"/>
        </w:rPr>
        <w:t xml:space="preserve">[REVISI] Tabel I memuat Close (target) + 14 indikator = 15 input. Sebelumnya tertulis '15 indikator' dan '14 indikator turunan' sekaligus.</w:t>
      </w:r>
    </w:p>
  </w:comment>
  <w:comment w:id="18" w:author="Claude" w:date="2026-10-11T04:16:30Z" w:initials="C">
    <w:p w14:paraId="572583BB" w14:textId="77777777">
      <w:r>
        <w:rPr>
          <w:rStyle w:val="CommentReference"/>
        </w:rPr>
        <w:annotationRef/>
      </w:r>
      <w:r>
        <w:rPr>
          <w:color w:val="000000"/>
          <w:sz w:val="20"/>
          <w:szCs w:val="20"/>
        </w:rPr>
        <w:t xml:space="preserve">[REVISI] 'Verify p&lt;0.05' bertentangan dengan hasil ADF harga mentah di teks (p=0,7281). Diubah menjadi ADF pada log-return.</w:t>
      </w:r>
    </w:p>
  </w:comment>
  <w:comment w:id="19" w:author="Claude" w:date="2026-10-11T04:16:30Z" w:initials="C">
    <w:p w14:paraId="42372396" w14:textId="77777777">
      <w:r>
        <w:rPr>
          <w:rStyle w:val="CommentReference"/>
        </w:rPr>
        <w:annotationRef/>
      </w:r>
      <w:r>
        <w:rPr>
          <w:color w:val="000000"/>
          <w:sz w:val="20"/>
          <w:szCs w:val="20"/>
        </w:rPr>
        <w:t xml:space="preserve">[REVISI] Penomoran tabel: gaya caption sudah auto-number, tetapi teks juga mengetik manual 'TABLE IV:'/'TABLE V:' sehingga muncul ganda ('TABLE I: TABLE IV:'). Teks manual dihapus. Urutan otomatis: I=fitur, II=fold, III=loss, IV=KPI, V=benchmark; semua rujukan 'Table …' di teks sudah diselaraskan. Tabel I dan II juga dipindah ke seksi satu kolom (lebar penuh) karena sebelumnya terpotong di layout dua kolom.</w:t>
      </w:r>
    </w:p>
  </w:comment>
  <w:comment w:id="20" w:author="Claude" w:date="2026-10-11T04:16:30Z" w:initials="C">
    <w:p w14:paraId="6AD26093" w14:textId="77777777">
      <w:r>
        <w:rPr>
          <w:rStyle w:val="CommentReference"/>
        </w:rPr>
        <w:annotationRef/>
      </w:r>
      <w:r>
        <w:rPr>
          <w:color w:val="000000"/>
          <w:sz w:val="20"/>
          <w:szCs w:val="20"/>
        </w:rPr>
        <w:t xml:space="preserve">[REVISI] Interpretasi diperlunak. σ24 pada Tabel I dihitung dari HARGA (bukan return) sehingga bisa menjadi proxy level harga, bukan murni 'volatilitas'. [PERLU DATA ANDA] Sebutkan metode SHAP (Tree/Deep/Kernel), data yang dipakai, dan satuan; Close tertulis 'Target' sekaligus menjadi input (0,312). Tampilkan SHAP plot atau ringkasan per-model.</w:t>
      </w:r>
    </w:p>
  </w:comment>
  <w:comment w:id="21" w:author="Claude" w:date="2026-10-11T04:16:30Z" w:initials="C">
    <w:p w14:paraId="3B6781A7" w14:textId="77777777">
      <w:r>
        <w:rPr>
          <w:rStyle w:val="CommentReference"/>
        </w:rPr>
        <w:annotationRef/>
      </w:r>
      <w:r>
        <w:rPr>
          <w:color w:val="000000"/>
          <w:sz w:val="20"/>
          <w:szCs w:val="20"/>
        </w:rPr>
        <w:t xml:space="preserve">[PERLU DATA ANDA] (a) 24 fold uji = 4.032 jam ≈ 9,2% data; tegaskan agar tidak terkesan back-test 5 tahun penuh (sudah ditambahkan di Limitations). (b) 'recursive 1-hour-ahead' vs 'multi-step 168 jam' vs sinyal trading per jam yang memakai y_{t-1} aktual: tegaskan satu skema. (c) Early stopping patience=10 dengan total 10 epoch tidak berfungsi. (d) Jelaskan cara memilih hyperparameter LSTM/GRU/Informer dan pastikan grid search XGBoost tidak memakai data test (risiko leakage). (e) Min-max per-fold membuat RMSE ternormalisasi tidak sebanding antar-fold; laporkan juga RMSE dalam USD.</w:t>
      </w:r>
    </w:p>
  </w:comment>
  <w:comment w:id="22" w:author="Claude" w:date="2026-10-11T04:16:30Z" w:initials="C">
    <w:p w14:paraId="443526EB" w14:textId="77777777">
      <w:r>
        <w:rPr>
          <w:rStyle w:val="CommentReference"/>
        </w:rPr>
        <w:annotationRef/>
      </w:r>
      <w:r>
        <w:rPr>
          <w:color w:val="000000"/>
          <w:sz w:val="20"/>
          <w:szCs w:val="20"/>
        </w:rPr>
        <w:t xml:space="preserve">[PERLU DATA ANDA] (a) Posisi short (s=-1) tidak dapat dibuka di Binance Spot: sebutkan futures/margin (biaya &amp; funding berbeda) atau ubah menjadi long/cash {1,0}. (b) Pembalikan long→short = 2 transaksi, tetapi Δw=0,5|Δs| hanya membebankan 1×0,12%. (c) Cek angka: turnover 14,2%/jam × 0,12% ≈ 0,017%/jam; untuk σ jam ≈0,5% itu menurunkan Sharpe ≈3, bukan 0,37 (1,82→1,45). (d) VaR harian per fold hanya 7 pengamatan harian; jelaskan sampelnya (pooled atau rolling 24 jam).</w:t>
      </w:r>
    </w:p>
  </w:comment>
  <w:comment w:id="23" w:author="Claude" w:date="2026-10-11T04:16:30Z" w:initials="C">
    <w:p w14:paraId="6E32E6F2" w14:textId="77777777">
      <w:r>
        <w:rPr>
          <w:rStyle w:val="CommentReference"/>
        </w:rPr>
        <w:annotationRef/>
      </w:r>
      <w:r>
        <w:rPr>
          <w:color w:val="000000"/>
          <w:sz w:val="20"/>
          <w:szCs w:val="20"/>
        </w:rPr>
        <w:t xml:space="preserve">[REVISI] Sitasi Friedman [3] (Makridakis) diganti [46] (Demšar); Holm [47] sebelumnya ada di daftar pustaka tetapi tidak pernah disitir. [PERLU DATA ANDA] (1) Naive/ARIMA 1-jam (RMSE 0,0281) jauh lebih rendah daripada semua model ML (0,1058–0,1524); klaim 'GRU signifikan mengalahkan Naive' hanya valid terhadap Naive 168-jam. Pisahkan dua tugas ini dan tambahkan baris ARIMA 168-jam (0,1682) ke Tabel III. (2) Naive dan ARIMA(1,1,0) identik sampai 4 digit: periksa. (3) p-value adjusted (1,19e-7; 1,79e-7; 2,38e-7; 2,98e-7; 4,17e-7) adalah kelipatan 2/2^24, pola khas uji tanda/Wilcoxon exact untuk 24 fold, bukan statistik DM; pastikan uji yang dijalankan sama dengan yang ditulis. (Nilai Friedman χ² dan p-nya sudah saya cek: konsisten.)</w:t>
      </w:r>
    </w:p>
  </w:comment>
  <w:comment w:id="24" w:author="Claude" w:date="2026-10-11T04:16:30Z" w:initials="C">
    <w:p w14:paraId="39DDABA2" w14:textId="77777777">
      <w:r>
        <w:rPr>
          <w:rStyle w:val="CommentReference"/>
        </w:rPr>
        <w:annotationRef/>
      </w:r>
      <w:r>
        <w:rPr>
          <w:color w:val="000000"/>
          <w:sz w:val="20"/>
          <w:szCs w:val="20"/>
        </w:rPr>
        <w:t xml:space="preserve">[REVISI] Fold 6 berakhir 1 Mei 2022, sedangkan keruntuhan Terra-Luna terjadi sekitar 7–13 Mei 2022, jadi TIDAK ada di dalam 24 fold uji. Klaim diganti ke fold yang memang ada. [PERLU DATA ANDA] Tambahkan RMSE per-fold/per-regime sebagai bukti degradasi, atau tambahkan fold yang mencakup Mei 2022 (sesuai komentar reviewer sebelumnya).</w:t>
      </w:r>
    </w:p>
  </w:comment>
  <w:comment w:id="25" w:author="Claude" w:date="2026-10-11T04:16:30Z" w:initials="C">
    <w:p w14:paraId="3DEF392E" w14:textId="77777777">
      <w:r>
        <w:rPr>
          <w:rStyle w:val="CommentReference"/>
        </w:rPr>
        <w:annotationRef/>
      </w:r>
      <w:r>
        <w:rPr>
          <w:color w:val="000000"/>
          <w:sz w:val="20"/>
          <w:szCs w:val="20"/>
        </w:rPr>
        <w:t xml:space="preserve">[REVISI] 'is explained by' diperlunak menjadi 'may be partly attributed to' dan 'successfully curtails' diubah menjadi pernyataan deskriptif hasil back-test, karena penjelasan friksi/skewness belum bisa menjembatani DA 72% dengan Sharpe 1,45 (lihat komentar di Abstrak dan Layer 4).</w:t>
      </w:r>
    </w:p>
  </w:comment>
  <w:comment w:id="26" w:author="Claude" w:date="2026-10-11T04:16:30Z" w:initials="C">
    <w:p w14:paraId="5EFE941F" w14:textId="77777777">
      <w:r>
        <w:rPr>
          <w:rStyle w:val="CommentReference"/>
        </w:rPr>
        <w:annotationRef/>
      </w:r>
      <w:r>
        <w:rPr>
          <w:color w:val="000000"/>
          <w:sz w:val="20"/>
          <w:szCs w:val="20"/>
        </w:rPr>
        <w:t xml:space="preserve">[PERLU DATA ANDA] ±SD DA antar-fold (1,5–2,8%) lebih kecil dari batas noise binomial per fold (≈3,5–3,9% untuk n=168), dan ±SD Sharpe 0,10 tidak masuk akal untuk 1 minggu data (SE ≈ 10 untuk Sharpe tahunan). Pastikan ±SD benar-benar SD antar-fold (bukan SE/antar-seed) dan jelaskan di caption.</w:t>
      </w:r>
    </w:p>
  </w:comment>
  <w:comment w:id="27" w:author="Claude" w:date="2026-10-11T04:16:30Z" w:initials="C">
    <w:p w14:paraId="2766955E" w14:textId="77777777">
      <w:r>
        <w:rPr>
          <w:rStyle w:val="CommentReference"/>
        </w:rPr>
        <w:annotationRef/>
      </w:r>
      <w:r>
        <w:rPr>
          <w:color w:val="000000"/>
          <w:sz w:val="20"/>
          <w:szCs w:val="20"/>
        </w:rPr>
        <w:t xml:space="preserve">[PERLU DATA ANDA] Verifikasi tiap angka terhadap makalah aslinya (mis. McNally 52,8–58,3%, Mallqui 63,8–66,2%, Sebastião &amp; Godinho Sharpe 1,10–1,35 dengan biaya 0,5%). Peng et al. (2024) adalah studi prediksi tren; pastikan RMSE memang dilaporkan di sana. Perbandingan lintas aset, frekuensi, dan normalisasi tetap harus disebut 'indikatif'.</w:t>
      </w:r>
    </w:p>
  </w:comment>
  <w:comment w:id="28" w:author="Claude" w:date="2026-10-11T04:16:30Z" w:initials="C">
    <w:p w14:paraId="60D48BF5" w14:textId="77777777">
      <w:r>
        <w:rPr>
          <w:rStyle w:val="CommentReference"/>
        </w:rPr>
        <w:annotationRef/>
      </w:r>
      <w:r>
        <w:rPr>
          <w:color w:val="000000"/>
          <w:sz w:val="20"/>
          <w:szCs w:val="20"/>
        </w:rPr>
        <w:t xml:space="preserve">[REVISI] 'cryptocurrency studies [24],[25]' → 'forecasting studies' dan 'exclusive' → 'predominant': Zerveas et al. [25] bukan studi kripto. [PERLU DATA ANDA] Cek kecocokan klaim dengan sumber: [24] (Roy et al.) bukan studi Informer, dan klaim Zerveas 'attention rentan overfitting pada interval pendek-bising' harus benar-benar ada di makalahnya.</w:t>
      </w:r>
    </w:p>
  </w:comment>
  <w:comment w:id="29" w:author="Claude" w:date="2026-10-11T04:16:30Z" w:initials="C">
    <w:p w14:paraId="5E4F7155" w14:textId="77777777">
      <w:r>
        <w:rPr>
          <w:rStyle w:val="CommentReference"/>
        </w:rPr>
        <w:annotationRef/>
      </w:r>
      <w:r>
        <w:rPr>
          <w:color w:val="000000"/>
          <w:sz w:val="20"/>
          <w:szCs w:val="20"/>
        </w:rPr>
        <w:t xml:space="preserve">[REVISI] 'consistently / systematically / uniformly' diperlunak. Anda sendiri mensitasi [41],[42] yang melaporkan Sharpe dan biaya transaksi, dan Tabel V memuat Sharpe Sebastião &amp; Godinho; klaim absolut akan dipatahkan reviewer.</w:t>
      </w:r>
    </w:p>
  </w:comment>
  <w:comment w:id="30" w:author="Claude" w:date="2026-10-11T04:16:31Z" w:initials="C">
    <w:p w14:paraId="0595E0AA" w14:textId="77777777">
      <w:r>
        <w:rPr>
          <w:rStyle w:val="CommentReference"/>
        </w:rPr>
        <w:annotationRef/>
      </w:r>
      <w:r>
        <w:rPr>
          <w:color w:val="000000"/>
          <w:sz w:val="20"/>
          <w:szCs w:val="20"/>
        </w:rPr>
        <w:t xml:space="preserve">[REVISI] 'advances beyond prior literature' dan 'superior' diperlunak karena perbandingan beda aset, frekuensi, dan protokol.</w:t>
      </w:r>
    </w:p>
  </w:comment>
  <w:comment w:id="31" w:author="Claude" w:date="2026-10-11T04:16:31Z" w:initials="C">
    <w:p w14:paraId="5939CA2F" w14:textId="77777777">
      <w:r>
        <w:rPr>
          <w:rStyle w:val="CommentReference"/>
        </w:rPr>
        <w:annotationRef/>
      </w:r>
      <w:r>
        <w:rPr>
          <w:color w:val="000000"/>
          <w:sz w:val="20"/>
          <w:szCs w:val="20"/>
        </w:rPr>
        <w:t xml:space="preserve">[REVISI] Kalimat consent/anonimitas yang duplikat dihapus (sudah ada di 'Ethical Approval and Consent'). [PERLU DATA ANDA] SD SUS 3,2 (n=15) sangat kecil (umumnya 10–15); sertakan skor mentah per evaluator di repositori.</w:t>
      </w:r>
    </w:p>
  </w:comment>
  <w:comment w:id="32" w:author="Claude" w:date="2026-10-11T04:16:31Z" w:initials="C">
    <w:p w14:paraId="455DD062" w14:textId="77777777">
      <w:r>
        <w:rPr>
          <w:rStyle w:val="CommentReference"/>
        </w:rPr>
        <w:annotationRef/>
      </w:r>
      <w:r>
        <w:rPr>
          <w:color w:val="000000"/>
          <w:sz w:val="20"/>
          <w:szCs w:val="20"/>
        </w:rPr>
        <w:t xml:space="preserve">[PERLU DATA ANDA] Pastikan repositori GitHub benar-benar publik, memuat seed &amp; versi library, dan angka di dalamnya sama dengan naskah sebelum submit.</w:t>
      </w:r>
    </w:p>
  </w:comment>
  <w:comment w:id="33" w:author="Claude" w:date="2026-10-11T04:26:03Z" w:initials="C">
    <w:p w14:paraId="5668BAB4" w14:textId="77777777">
      <w:r>
        <w:rPr>
          <w:rStyle w:val="CommentReference"/>
        </w:rPr>
        <w:annotationRef/>
      </w:r>
      <w:r>
        <w:rPr>
          <w:color w:val="000000"/>
          <w:sz w:val="20"/>
          <w:szCs w:val="20"/>
        </w:rPr>
        <w:t xml:space="preserve">[PERLU DATA ANDA] Perbaikan Anda (DA 56,4%, long/cash, biaya 1 transaksi per pergantian, SD ≈ batas binomial) sudah jauh lebih masuk akal. Tetapi selisih LSTM vs GRU (DA 56,4 vs 55,1; Net Sharpe 1,45 vs 1,32) jauh di bawah ±SD antar-fold (3,6–3,8 pp; 0,38–0,40), jadi 'critical empirical divergence' belum didukung uji statistik. Tambahkan uji berpasangan (Wilcoxon/bootstrap pada 24 fold) atau perlunak klaim di Abstrak dan Kesimpulan.</w:t>
      </w:r>
    </w:p>
  </w:comment>
  <w:comment w:id="34" w:author="Claude" w:date="2026-10-11T04:26:03Z" w:initials="C">
    <w:p w14:paraId="69502EAD" w14:textId="77777777">
      <w:r>
        <w:rPr>
          <w:rStyle w:val="CommentReference"/>
        </w:rPr>
        <w:annotationRef/>
      </w:r>
      <w:r>
        <w:rPr>
          <w:color w:val="000000"/>
          <w:sz w:val="20"/>
          <w:szCs w:val="20"/>
        </w:rPr>
        <w:t xml:space="preserve">[REVISI] Rantai 43.824 jam sekarang benar (1.826 hari × 24). Saya rapikan: 43.818 data native + 6 gap = 43.824. Sisa inkonsistensi yang sudah diseragamkan: Algoritma 1 (43,786 → 43,824) dan 'forward-fill linear' (dua metode berbeda) → 'linear interpolation'. [PERLU DATA ANDA] Jika sampel efektif setelah warm-up indikator &amp; windowing lebih kecil, sebutkan angkanya.</w:t>
      </w:r>
    </w:p>
  </w:comment>
  <w:comment w:id="35" w:author="Claude" w:date="2026-10-11T04:26:03Z" w:initials="C">
    <w:p w14:paraId="166D61D2" w14:textId="77777777">
      <w:r>
        <w:rPr>
          <w:rStyle w:val="CommentReference"/>
        </w:rPr>
        <w:annotationRef/>
      </w:r>
      <w:r>
        <w:rPr>
          <w:color w:val="000000"/>
          <w:sz w:val="20"/>
          <w:szCs w:val="20"/>
        </w:rPr>
        <w:t xml:space="preserve">[PERLU DATA ANDA] Fold 6 baru (7–14 Mei 2022) sudah mencakup Terra-Luna. Konsekuensinya: jarak antar-fold kini tidak seragam (Fold 5→6 = 90 hari, 6→7 = 65 hari, lainnya 77–78 hari), jadi istilah 'quarterly-anchored' sebaiknya diganti 'regime-targeted' atau jelaskan. [REVISI] Rujukan tabel diperbaiki ke penomoran otomatis (fold = Table II). Paragraf 'Terra-Luna di luar fold' yang saya tulis sebelumnya sudah saya ubah agar tidak bertentangan dengan Fold 6.</w:t>
      </w:r>
    </w:p>
  </w:comment>
  <w:comment w:id="36" w:author="Claude" w:date="2026-10-11T04:26:03Z" w:initials="C">
    <w:p w14:paraId="6333685D" w14:textId="77777777">
      <w:r>
        <w:rPr>
          <w:rStyle w:val="CommentReference"/>
        </w:rPr>
        <w:annotationRef/>
      </w:r>
      <w:r>
        <w:rPr>
          <w:color w:val="000000"/>
          <w:sz w:val="20"/>
          <w:szCs w:val="20"/>
        </w:rPr>
        <w:t xml:space="preserve">[REVISI] Kebijakan long/cash, Δw=|Δs| (satu transaksi), dan dua jenis VaR sudah menyelesaikan poin short-spot, biaya pembalikan, dan sampel VaR. [PERLU DATA ANDA] Cek konsistensi biaya vs Sharpe antar-model: penurunan Gross→Net setara biaya tahunan (turnover×8760×0,12%) / volatilitas tahunan strategi. Dari Tabel IV, volatilitas tersirat: LSTM ≈57%, GRU ≈74%, Informer ≈94%, XGBoost ≈124%. Seharusnya mirip antar-model (strategi long/cash BTC ±40–60%). Net Sharpe XGBoost/Informer/GRU kemungkinan terlalu tinggi (dengan σ≈57%: ≈0,63; ≈0,93; ≈1,23).</w:t>
      </w:r>
    </w:p>
  </w:comment>
  <w:comment w:id="37" w:author="Claude" w:date="2026-10-11T04:26:03Z" w:initials="C">
    <w:p w14:paraId="7B6F4EEB" w14:textId="77777777">
      <w:r>
        <w:rPr>
          <w:rStyle w:val="CommentReference"/>
        </w:rPr>
        <w:annotationRef/>
      </w:r>
      <w:r>
        <w:rPr>
          <w:color w:val="000000"/>
          <w:sz w:val="20"/>
          <w:szCs w:val="20"/>
        </w:rPr>
        <w:t xml:space="preserve">[REVISI] z dan p DM Anda konsisten (z=−5,87 → p=4,4e-9 dst.). Saya kembalikan sitasi Friedman ke [46] (Demšar, bukan Makridakis [3]) dan menambahkan koreksi Holm [47] (p adj. terbesar = 0,0143) agar kedua referensi itu tersitir. [PERLU DATA ANDA] DM pada residu berautokorelasi sebaiknya memakai varians HAC; sebutkan. Naive/ARIMA 1-jam (RMSE 0,0281) masih jauh lebih baik daripada semua model dan identik satu sama lain sampai 4 digit; jelaskan mengapa model ML dievaluasi pada lintasan 168 jam sementara sinyal trading per jam.</w:t>
      </w:r>
    </w:p>
  </w:comment>
  <w:comment w:id="38" w:author="Claude" w:date="2026-10-11T04:26:03Z" w:initials="C">
    <w:p w14:paraId="37002E62" w14:textId="77777777">
      <w:r>
        <w:rPr>
          <w:rStyle w:val="CommentReference"/>
        </w:rPr>
        <w:annotationRef/>
      </w:r>
      <w:r>
        <w:rPr>
          <w:color w:val="000000"/>
          <w:sz w:val="20"/>
          <w:szCs w:val="20"/>
        </w:rPr>
        <w:t xml:space="preserve">[REVISI] Tabel diubah ke satu kolom lebar penuh (7 kolom tidak muat). [PERLU DATA ANDA] Dengan hanya 4.032 jam uji (≈0,46 tahun), SE Sharpe tahunan ≈ √((1+0,5·SR²)/0,46) ≈ 2,1–2,4, sehingga ±0,38–0,65 terlalu sempit untuk SE Sharpe, dan semua Sharpe tidak signifikan berbeda dari nol. Jelaskan apakah ±SD ini antar-fold (SD per fold dari 168 jam akan jauh lebih besar) dan pertimbangkan CI bootstrap.</w:t>
      </w:r>
    </w:p>
  </w:comment>
  <w:comment w:id="39" w:author="Claude" w:date="2026-10-11T04:26:03Z" w:initials="C">
    <w:p w14:paraId="1B0DEEA0" w14:textId="77777777">
      <w:r>
        <w:rPr>
          <w:rStyle w:val="CommentReference"/>
        </w:rPr>
        <w:annotationRef/>
      </w:r>
      <w:r>
        <w:rPr>
          <w:color w:val="000000"/>
          <w:sz w:val="20"/>
          <w:szCs w:val="20"/>
        </w:rPr>
        <w:t xml:space="preserve">[REVISI] 'mathematically consistent' diubah menjadi 'plausible magnitude' (belum ada derivasi yang membuktikan), dan 'effectively circumvents catastrophic drawdown' diperlunak. Rujukan tabel dikoreksi ke Table IV.</w:t>
      </w:r>
    </w:p>
  </w:comment>
  <w:comment w:id="40" w:author="Claude" w:date="2026-10-11T04:26:03Z" w:initials="C">
    <w:p w14:paraId="77BD4FAC" w14:textId="77777777">
      <w:r>
        <w:rPr>
          <w:rStyle w:val="CommentReference"/>
        </w:rPr>
        <w:annotationRef/>
      </w:r>
      <w:r>
        <w:rPr>
          <w:color w:val="000000"/>
          <w:sz w:val="20"/>
          <w:szCs w:val="20"/>
        </w:rPr>
        <w:t xml:space="preserve">[REVISI] Setelah DA turun ke 56,4%, kalimat 'exceed those reported in the cited studies' menjadi keliru (DA Anda di rentang bawah: 55–67%). Diubah: DA di bagian bawah rentang, Net Sharpe sebanding/sedikit di atas [42]. Teks sebelumnya masih memuat 72,3% dan ±0,10.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67C57E" w15:done="0"/>
  <w15:commentEx w15:paraId="2CBBFD1F" w15:done="0"/>
  <w15:commentEx w15:paraId="0DDC305F" w15:done="0"/>
  <w15:commentEx w15:paraId="2758643E" w15:done="0"/>
  <w15:commentEx w15:paraId="490F00D6" w15:done="0"/>
  <w15:commentEx w15:paraId="0AD81E88" w15:done="0"/>
  <w15:commentEx w15:paraId="482AA55F" w15:done="0"/>
  <w15:commentEx w15:paraId="48370801" w15:done="0"/>
  <w15:commentEx w15:paraId="164A2EF2" w15:done="0"/>
  <w15:commentEx w15:paraId="28A9A5C7" w15:done="0"/>
  <w15:commentEx w15:paraId="52A62E66" w15:done="0"/>
  <w15:commentEx w15:paraId="0BCA1783" w15:done="0"/>
  <w15:commentEx w15:paraId="23F0E4A4" w15:done="0"/>
  <w15:commentEx w15:paraId="64EA95C5" w15:done="0"/>
  <w15:commentEx w15:paraId="7575927B" w15:done="0"/>
  <w15:commentEx w15:paraId="36ED9A70" w15:done="0"/>
  <w15:commentEx w15:paraId="25AF639D" w15:done="0"/>
  <w15:commentEx w15:paraId="4AB8F9E0" w15:done="0"/>
  <w15:commentEx w15:paraId="572583BB" w15:done="0"/>
  <w15:commentEx w15:paraId="42372396" w15:done="0"/>
  <w15:commentEx w15:paraId="6AD26093" w15:done="0"/>
  <w15:commentEx w15:paraId="3B6781A7" w15:done="0"/>
  <w15:commentEx w15:paraId="443526EB" w15:done="0"/>
  <w15:commentEx w15:paraId="6E32E6F2" w15:done="0"/>
  <w15:commentEx w15:paraId="39DDABA2" w15:done="0"/>
  <w15:commentEx w15:paraId="3DEF392E" w15:done="0"/>
  <w15:commentEx w15:paraId="5EFE941F" w15:done="0"/>
  <w15:commentEx w15:paraId="2766955E" w15:done="0"/>
  <w15:commentEx w15:paraId="60D48BF5" w15:done="0"/>
  <w15:commentEx w15:paraId="5E4F7155" w15:done="0"/>
  <w15:commentEx w15:paraId="0595E0AA" w15:done="0"/>
  <w15:commentEx w15:paraId="5939CA2F" w15:done="0"/>
  <w15:commentEx w15:paraId="455DD062" w15:done="0"/>
  <w15:commentEx w15:paraId="5668BAB4" w15:done="0"/>
  <w15:commentEx w15:paraId="69502EAD" w15:done="0"/>
  <w15:commentEx w15:paraId="166D61D2" w15:done="0"/>
  <w15:commentEx w15:paraId="6333685D" w15:done="0"/>
  <w15:commentEx w15:paraId="7B6F4EEB" w15:done="0"/>
  <w15:commentEx w15:paraId="37002E62" w15:done="0"/>
  <w15:commentEx w15:paraId="1B0DEEA0" w15:done="0"/>
  <w15:commentEx w15:paraId="77BD4F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5FD83FD" w16cex:dateUtc="2026-10-11T03:51:24Z"/>
  <w16cex:commentExtensible w16cex:durableId="1AD04EFB" w16cex:dateUtc="2026-10-11T03:51:24Z"/>
  <w16cex:commentExtensible w16cex:durableId="4AF4156F" w16cex:dateUtc="2026-10-11T03:51:24Z"/>
  <w16cex:commentExtensible w16cex:durableId="7F3EE2A3" w16cex:dateUtc="2026-10-11T03:51:24Z"/>
  <w16cex:commentExtensible w16cex:durableId="5A2F3A7C" w16cex:dateUtc="2026-10-11T03:51:24Z"/>
  <w16cex:commentExtensible w16cex:durableId="7A3F68A7" w16cex:dateUtc="2026-10-11T03:51:24Z"/>
  <w16cex:commentExtensible w16cex:durableId="28967FF6" w16cex:dateUtc="2026-10-11T03:51:24Z"/>
  <w16cex:commentExtensible w16cex:durableId="11A38B1A" w16cex:dateUtc="2026-10-11T03:51:24Z"/>
  <w16cex:commentExtensible w16cex:durableId="6335428B" w16cex:dateUtc="2026-10-11T03:51:25Z"/>
  <w16cex:commentExtensible w16cex:durableId="081C04E2" w16cex:dateUtc="2026-10-11T03:51:25Z"/>
  <w16cex:commentExtensible w16cex:durableId="62A871D6" w16cex:dateUtc="2026-10-11T03:51:25Z"/>
  <w16cex:commentExtensible w16cex:durableId="6A47EF44" w16cex:dateUtc="2026-10-11T03:51:25Z"/>
  <w16cex:commentExtensible w16cex:durableId="0CC16C88" w16cex:dateUtc="2026-10-11T03:51:25Z"/>
  <w16cex:commentExtensible w16cex:durableId="2A349AFE" w16cex:dateUtc="2026-10-11T03:51:25Z"/>
  <w16cex:commentExtensible w16cex:durableId="5324B8B8" w16cex:dateUtc="2026-10-11T04:16:29Z"/>
  <w16cex:commentExtensible w16cex:durableId="23D8564E" w16cex:dateUtc="2026-10-11T04:16:29Z"/>
  <w16cex:commentExtensible w16cex:durableId="2535D686" w16cex:dateUtc="2026-10-11T04:16:29Z"/>
  <w16cex:commentExtensible w16cex:durableId="4E9D3808" w16cex:dateUtc="2026-10-11T04:16:29Z"/>
  <w16cex:commentExtensible w16cex:durableId="7AE42066" w16cex:dateUtc="2026-10-11T04:16:30Z"/>
  <w16cex:commentExtensible w16cex:durableId="01A7C89D" w16cex:dateUtc="2026-10-11T04:16:30Z"/>
  <w16cex:commentExtensible w16cex:durableId="797D3D83" w16cex:dateUtc="2026-10-11T04:16:30Z"/>
  <w16cex:commentExtensible w16cex:durableId="52971AB1" w16cex:dateUtc="2026-10-11T04:16:30Z"/>
  <w16cex:commentExtensible w16cex:durableId="4C02C720" w16cex:dateUtc="2026-10-11T04:16:30Z"/>
  <w16cex:commentExtensible w16cex:durableId="7B2FE49B" w16cex:dateUtc="2026-10-11T04:16:30Z"/>
  <w16cex:commentExtensible w16cex:durableId="50127BB0" w16cex:dateUtc="2026-10-11T04:16:30Z"/>
  <w16cex:commentExtensible w16cex:durableId="266BF5FD" w16cex:dateUtc="2026-10-11T04:16:30Z"/>
  <w16cex:commentExtensible w16cex:durableId="09BAC12F" w16cex:dateUtc="2026-10-11T04:16:30Z"/>
  <w16cex:commentExtensible w16cex:durableId="4CF30156" w16cex:dateUtc="2026-10-11T04:16:30Z"/>
  <w16cex:commentExtensible w16cex:durableId="316C9D96" w16cex:dateUtc="2026-10-11T04:16:30Z"/>
  <w16cex:commentExtensible w16cex:durableId="60F6EFB8" w16cex:dateUtc="2026-10-11T04:16:30Z"/>
  <w16cex:commentExtensible w16cex:durableId="19E4FA4D" w16cex:dateUtc="2026-10-11T04:16:31Z"/>
  <w16cex:commentExtensible w16cex:durableId="6615931D" w16cex:dateUtc="2026-10-11T04:16:31Z"/>
  <w16cex:commentExtensible w16cex:durableId="327B12E5" w16cex:dateUtc="2026-10-11T04:16:31Z"/>
  <w16cex:commentExtensible w16cex:durableId="66FA5ED8" w16cex:dateUtc="2026-10-11T04:26:03Z"/>
  <w16cex:commentExtensible w16cex:durableId="77F0AC51" w16cex:dateUtc="2026-10-11T04:26:03Z"/>
  <w16cex:commentExtensible w16cex:durableId="0EC2687A" w16cex:dateUtc="2026-10-11T04:26:03Z"/>
  <w16cex:commentExtensible w16cex:durableId="1D9B9F00" w16cex:dateUtc="2026-10-11T04:26:03Z"/>
  <w16cex:commentExtensible w16cex:durableId="30DE4638" w16cex:dateUtc="2026-10-11T04:26:03Z"/>
  <w16cex:commentExtensible w16cex:durableId="0F0F71F2" w16cex:dateUtc="2026-10-11T04:26:03Z"/>
  <w16cex:commentExtensible w16cex:durableId="6130C2DE" w16cex:dateUtc="2026-10-11T04:26:03Z"/>
  <w16cex:commentExtensible w16cex:durableId="124C73E0" w16cex:dateUtc="2026-10-11T04:26:0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67C57E" w16cid:durableId="35FD83FD"/>
  <w16cid:commentId w16cid:paraId="2CBBFD1F" w16cid:durableId="1AD04EFB"/>
  <w16cid:commentId w16cid:paraId="0DDC305F" w16cid:durableId="4AF4156F"/>
  <w16cid:commentId w16cid:paraId="2758643E" w16cid:durableId="7F3EE2A3"/>
  <w16cid:commentId w16cid:paraId="490F00D6" w16cid:durableId="5A2F3A7C"/>
  <w16cid:commentId w16cid:paraId="0AD81E88" w16cid:durableId="7A3F68A7"/>
  <w16cid:commentId w16cid:paraId="482AA55F" w16cid:durableId="28967FF6"/>
  <w16cid:commentId w16cid:paraId="48370801" w16cid:durableId="11A38B1A"/>
  <w16cid:commentId w16cid:paraId="164A2EF2" w16cid:durableId="6335428B"/>
  <w16cid:commentId w16cid:paraId="28A9A5C7" w16cid:durableId="081C04E2"/>
  <w16cid:commentId w16cid:paraId="52A62E66" w16cid:durableId="62A871D6"/>
  <w16cid:commentId w16cid:paraId="0BCA1783" w16cid:durableId="6A47EF44"/>
  <w16cid:commentId w16cid:paraId="23F0E4A4" w16cid:durableId="0CC16C88"/>
  <w16cid:commentId w16cid:paraId="64EA95C5" w16cid:durableId="2A349AFE"/>
  <w16cid:commentId w16cid:paraId="7575927B" w16cid:durableId="5324B8B8"/>
  <w16cid:commentId w16cid:paraId="36ED9A70" w16cid:durableId="23D8564E"/>
  <w16cid:commentId w16cid:paraId="25AF639D" w16cid:durableId="2535D686"/>
  <w16cid:commentId w16cid:paraId="4AB8F9E0" w16cid:durableId="4E9D3808"/>
  <w16cid:commentId w16cid:paraId="572583BB" w16cid:durableId="7AE42066"/>
  <w16cid:commentId w16cid:paraId="42372396" w16cid:durableId="01A7C89D"/>
  <w16cid:commentId w16cid:paraId="6AD26093" w16cid:durableId="797D3D83"/>
  <w16cid:commentId w16cid:paraId="3B6781A7" w16cid:durableId="52971AB1"/>
  <w16cid:commentId w16cid:paraId="443526EB" w16cid:durableId="4C02C720"/>
  <w16cid:commentId w16cid:paraId="6E32E6F2" w16cid:durableId="7B2FE49B"/>
  <w16cid:commentId w16cid:paraId="39DDABA2" w16cid:durableId="50127BB0"/>
  <w16cid:commentId w16cid:paraId="3DEF392E" w16cid:durableId="266BF5FD"/>
  <w16cid:commentId w16cid:paraId="5EFE941F" w16cid:durableId="09BAC12F"/>
  <w16cid:commentId w16cid:paraId="2766955E" w16cid:durableId="4CF30156"/>
  <w16cid:commentId w16cid:paraId="60D48BF5" w16cid:durableId="316C9D96"/>
  <w16cid:commentId w16cid:paraId="5E4F7155" w16cid:durableId="60F6EFB8"/>
  <w16cid:commentId w16cid:paraId="0595E0AA" w16cid:durableId="19E4FA4D"/>
  <w16cid:commentId w16cid:paraId="5939CA2F" w16cid:durableId="6615931D"/>
  <w16cid:commentId w16cid:paraId="455DD062" w16cid:durableId="327B12E5"/>
  <w16cid:commentId w16cid:paraId="5668BAB4" w16cid:durableId="66FA5ED8"/>
  <w16cid:commentId w16cid:paraId="69502EAD" w16cid:durableId="77F0AC51"/>
  <w16cid:commentId w16cid:paraId="166D61D2" w16cid:durableId="0EC2687A"/>
  <w16cid:commentId w16cid:paraId="6333685D" w16cid:durableId="1D9B9F00"/>
  <w16cid:commentId w16cid:paraId="7B6F4EEB" w16cid:durableId="30DE4638"/>
  <w16cid:commentId w16cid:paraId="37002E62" w16cid:durableId="0F0F71F2"/>
  <w16cid:commentId w16cid:paraId="1B0DEEA0" w16cid:durableId="6130C2DE"/>
  <w16cid:commentId w16cid:paraId="77BD4FAC" w16cid:durableId="124C73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42DB" w14:textId="77777777" w:rsidR="00242BB1" w:rsidRDefault="00242BB1">
      <w:r>
        <w:separator/>
      </w:r>
    </w:p>
  </w:endnote>
  <w:endnote w:type="continuationSeparator" w:id="0">
    <w:p w14:paraId="61238C21" w14:textId="77777777" w:rsidR="00242BB1" w:rsidRDefault="0024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247"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DD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2D97" w14:textId="77777777" w:rsidR="008A78AA" w:rsidRDefault="00000000">
    <w:pPr>
      <w:pStyle w:val="Footer"/>
      <w:jc w:val="left"/>
      <w:rPr>
        <w:sz w:val="16"/>
        <w:szCs w:val="16"/>
      </w:rPr>
    </w:pPr>
    <w:r>
      <w:rPr>
        <w:sz w:val="16"/>
        <w:szCs w:val="16"/>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C85" w14:textId="77777777" w:rsidR="00242BB1" w:rsidRDefault="00242BB1">
      <w:r>
        <w:separator/>
      </w:r>
    </w:p>
  </w:footnote>
  <w:footnote w:type="continuationSeparator" w:id="0">
    <w:p w14:paraId="25BFDE38" w14:textId="77777777" w:rsidR="00242BB1" w:rsidRDefault="00242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42BB1"/>
    <w:rsid w:val="00291B0D"/>
    <w:rsid w:val="00354174"/>
    <w:rsid w:val="004E5AD0"/>
    <w:rsid w:val="005002B2"/>
    <w:rsid w:val="005932C6"/>
    <w:rsid w:val="005D349C"/>
    <w:rsid w:val="005D73DE"/>
    <w:rsid w:val="00607496"/>
    <w:rsid w:val="00662A52"/>
    <w:rsid w:val="00705BF3"/>
    <w:rsid w:val="00712C53"/>
    <w:rsid w:val="00782552"/>
    <w:rsid w:val="007F0DB4"/>
    <w:rsid w:val="008A78AA"/>
    <w:rsid w:val="009E69FB"/>
    <w:rsid w:val="00A018D2"/>
    <w:rsid w:val="00A85596"/>
    <w:rsid w:val="00A95FEA"/>
    <w:rsid w:val="00B357D1"/>
    <w:rsid w:val="00B5341F"/>
    <w:rsid w:val="00B81C38"/>
    <w:rsid w:val="00C4090F"/>
    <w:rsid w:val="00CF5423"/>
    <w:rsid w:val="00D16FC1"/>
    <w:rsid w:val="00D90C4A"/>
    <w:rsid w:val="00DC11F3"/>
    <w:rsid w:val="00DC5022"/>
    <w:rsid w:val="00E420D4"/>
    <w:rsid w:val="00E87D1E"/>
    <w:rsid w:val="00F14571"/>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D15E"/>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17" Type="http://schemas.openxmlformats.org/officeDocument/2006/relationships/comments" Target="comments.xml"/><Relationship Id="rId18" Type="http://schemas.microsoft.com/office/2011/relationships/commentsExtended" Target="commentsExtended.xml"/><Relationship Id="rId19" Type="http://schemas.microsoft.com/office/2016/09/relationships/commentsIds" Target="commentsIds.xml"/><Relationship Id="rId20"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4869</Words>
  <Characters>27757</Characters>
  <Application>Microsoft Office Word</Application>
  <DocSecurity>0</DocSecurity>
  <Lines>231</Lines>
  <Paragraphs>65</Paragraphs>
  <ScaleCrop>false</ScaleCrop>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cp:revision>
  <dcterms:created xsi:type="dcterms:W3CDTF">2026-09-16T12:47:00Z</dcterms:created>
  <dcterms:modified xsi:type="dcterms:W3CDTF">2026-09-19T01:49:00Z</dcterms:modified>
  <dc:language>en-US</dc:language>
</cp:coreProperties>
</file>