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Diebold-Mariano p = 0.014). Within the BI decision engine, however, the LSTM achieved the highest Directional Accuracy (72.3% ± 1.5%) and annualized Sharpe Ratio (1.45 ± 0.10, VaR95% = −2.34%,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 xml:space="preserve">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observed that attention is prone to overfitting on short, noisy intervals, a phenomenon investigated in this study.</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 xml:space="preserve">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hourly,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with 100% temporal continuity. All derived feature series passed the Augmented Dickey-Fuller test, rejecting the unit-root null at the 5% level (p &lt; 0.05).</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 xml:space="preserve">The 15 technical features include trend indicators (EMA12, EMA26), momentum oscillators (RSI, Stochastic %K/%D), volatility bands (Bollinger Bands, Average True Range), and moving average convergence. SHapley Additive exPlanations (SHAP) analysis [46] across all models confirmed that volatility and momentum measures contributed the dominant predictive attribution:</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 xml:space="preserve">Model evaluation followed a strictly chronological 24-fold Walk-Forward Validation scheme: each fold used a 720-hour (30-day) training window and forecast the subsequent 168-hour (7-day) out-of-sample window.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 xml:space="preserve">For the neural networks (LSTM, GRU, Informer), the lookback was fixed at T = 24 hours, with the Adam optimizer (initial learning rate 0.001; 0.0001 for Informer), dropout 0.20, batch size 64, and early stopping (patience of 10 epochs) on validation loss.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 xml:space="preserve">Table I reports mean RMSE, MAE, and MAPE across all 24 Walk-Forward test folds. XGBoost showed the widest error dispersion (RMSE = 0.1524 ± 0.0068), reflecting the limits of static trees in multi-step sequence forecasting. The Informer recorded an RMSE of 0.1321 ± 0.0081; its self-attention was sensitive to high-frequency micro-volatility noise, corroborating Zerveas et al. [25].</w:t>
      </w:r>
    </w:p>
    <w:p w14:paraId="18273588" w14:textId="2B0A3DE1" w:rsidR="008A78AA" w:rsidRDefault="00D16FC1" w:rsidP="00662A52">
      <w:pPr>
        <w:pStyle w:val="BodyText"/>
      </w:pPr>
      <w:r>
        <w:t xml:space="preserve">Among all models, the GRU achieved the highest point-forecasting stability, with the lowest error (RMSE = 0.1058 ± 0.0034, MAE = 0.0948 ± 0.0028). A Kruskal-Wallis test rejected equal performance across architectures (H = 18.4, p &lt; 0.001), and pairwise Diebold-Mariano (DM) tests [47] confirmed that the GRU significantly outperformed XGBoost, LSTM, and the Informer (p = 0.014), making it the superior architecture under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 xml:space="preserve">All four architectures degraded markedly during systemic liquidity shocks, most notably the Terra-Luna collapse in May 2022, when price variance exceeded three rolling standard deviations (±3σ) and point-forecast errors surged. The residual error distributions are right-skewed with fat tails at these regime transitions, showing that price-derived features alone cannot anticipate exogenous shocks such as stablecoin collapses and exchange-insolvency cascades [48].</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in the 'Excellent' tier [50], suggesting that evaluators could interpret the multi-model outputs after a brief walkthrough.</w:t>
      </w:r>
    </w:p>
    <w:p w14:paraId="4A85612B" w14:textId="77777777" w:rsidR="008A78AA" w:rsidRDefault="00D90C4A" w:rsidP="00D90C4A">
      <w:pPr>
        <w:pStyle w:val="BodyText"/>
      </w:pPr>
      <w:r>
        <w:t>4) Practical Implications: While GRU attained the best point RMSE, the LSTM achieved the highest Directional Accuracy (72.3% ± 1.5%) and annualized Sharpe Ratio (1.45 ± 0.10, VaR95% = −2.34%), as summarized in Table II and Fig. 3,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58.4% ± 2.8%</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64.1% ± 2.5%</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72.3% ± 1.5%</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69.8% ± 2.1%</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0.95 ± 0.15</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1.12 ± 0.20</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1.45 ± 0.10</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1.32 ± 0.12</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-4.10% ± 0.5%</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-3.15% ± 0.6%</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-2.34% ± 0.2%</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-2.70% ± 0.4%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69.8%</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1.32 ± 0.12</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72.3%</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1.45 ± 0.10</w:t>
            </w:r>
          </w:p>
        </w:tc>
      </w:tr>
    </w:tbl>
    <w:p w14:paraId="15FE24DE" w14:textId="77777777" w:rsidR="008A78AA" w:rsidRDefault="00120A85">
      <w:pPr>
        <w:pStyle w:val="BodyText"/>
      </w:pPr>
      <w:r>
        <w:t xml:space="preserve">Table III places our results next to figures reported in the cited studies (a dash marks a metric not reported); the comparison is indicative only, since asset universe, sampling interval, target, validation design, and cost treatment differ. The directional accuracy obtained here (69.8%–72.3%) exceeds the 66%–67.2% of Chen et al. [13] and the 52.9%–54.1% of Jaquart et al. [31], but is below the 82.44% of Omole and Enke [32]. The Sharpe Ratios here (1.32–1.45,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Diebold-Mariano p = 0.014), whereas the LSTM generated the highest Directional Accuracy (72.3% ± 1.5%) and annualized Sharpe Ratio (1.45 ± 0.10, VaR95% = −2.34%,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