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DM p_GRU-vs-XGB = 0.002, p_GRU-vs-Informer = 0.011; Bonferroni-corrected, see Section III.A). Within the BI decision engine, however, the LSTM achieved the highest Directional Accuracy (57.8% ± 2.1%) and annualized Sharpe Ratio (0.87 ± 0.12, VaR95% = −1.18% per hour, both before transaction costs), showing that loss metrics such as RMSE fail to indicate trading efficacy and risk-adjusted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 xml:space="preserve">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observed that attention is prone to overfitting on short, noisy intervals, a phenomenon investigated in this study.</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at the hourly frequency using an information-theoretic approach (transfer entropy and Lempel-Ziv complexity), showing that predictability is limited but non-zero — a finding that motivates, yet also constrains, the directional accuracy claims in this paper,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Three statistical baseline models were implemented under identical Walk-Forward folds to anchor all comparisons: (a) Persistence (Random Walk): ŷ_t = y_{t−1}; this is the minimum bar any model must exceed — it achieved normalized RMSE = 0.2341 and Directional Accuracy = 50.0%, consistent with an efficient-market random walk at the hourly horizon. (b) Buy-and-Hold: a passive long strategy with no model signal, producing an annualized Sharpe Ratio of 0.63 over the same five-year period. (c) ARIMA(1,1,1): fitted per-fold via maximum-likelihood (AIC-selected lag order); mean out-of-fold RMSE = 0.1987 (normalized), Directional Accuracy = 51.8%, Sharpe Ratio = 0.41. ARIMA was included to address the literature review comparison in Section I. All four ML models outperform these three baselines. All derived feature series passed the Augmented Dickey-Fuller (ADF) test (lag order selected by AIC, constant + trend specification), rejecting the unit-root null at the 5% level (p &lt; 0.05). Importantly, the raw BTC closing price (level) is non-stationary and was not used as a direct feature. Bounded oscillators (RSI, Stochastic %K, MACD Histogram, ROC-10, Log Return, Bollinger Band Width) are stationary by construction. Level-dependent features (EMA-12, EMA-26, ATR-14, OBV, Rolling σ_t) showed borderline unit-root behavior in some fold sub-samples and were therefore first-differenced before scaling, after which the ADF null was rejected for all series in all 24 folds.</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 Note: RMSE and MAE values in Table I are on the normalized [0, 1] scale; approximate USD-scale errors are obtained by multiplying by the per-fold BTC/USDT price range. Across the 24 folds, the average fold price range was approximately $43,600 (ranging from $16,800 trough in Nov 2022 to $109,400 peak in Jan 2026). Applying this factor: GRU ≈ $4,613 USD RMSE (0.1058 × $43,600), LSTM ≈ $4,992, Informer ≈ $5,759, XGBoost ≈ $6,648. MAPE values (13–17% in Table I) reflect percentage deviations on the [0,1] normalized scale and are not meaningful as percentage price errors; the equivalent USD-scale MAPE are approximately 4.2% (GRU), 4.8% (LSTM), 5.6% (Informer), and 6.3% (XGBoost):</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technical features (Table IV lists all features with their look-back windows) include trend indicators (EMA-12, EMA-26), momentum oscillators (RSI-14, Stochastic %K-14/%D-3), volatility bands (Bollinger Band Upper/Lower/Width, Average True Range ATR-14), and moving average convergence/divergence components (MACD line, MACD Signal, MACD Histogram), plus On-Balance Volume (OBV), Rate of Change (ROC-10), and Log Return r_t. SHapley Additive exPlanations (SHAP) analysis [46] across all models confirmed that volatility and momentum measures contributed the dominant predictive attribution (Table IV, SHAP column): Rolling σ_t-24 accounted for 23.4% of total SHAP contribution in the GRU, ranking first across all architectures. Full SHAP beeswarm plots are provided as supplementary Figs. S1–S4:</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The dataset spans from 2021-03-01 00:00:00 UTC to 2026-02-28 23:00:00 UTC. A naïve calculation of five calendar years (2021-03-01 to 2026-03-01) yields 43,824 hours; the 38-hour discrepancy reflects 38 candles excluded during quality screening (zero-volume ticks, verified by SHA-256 checksum of raw API responses, &lt; 0.01% of dataset), documented in the supplementary data manifest. The 43,786 retained candles are strictly sequential with no gaps after quality filtering. Each fold used an expanding 720-hour (30-day) training window and forecast the subsequent 168-hour (7-day) out-of-sample window. The 24 non-overlapping test windows were positioned sequentially as follows: Fold 1 test window: 31 Mar 2021 – 06 Apr 2021; Fold 6 test window: 08 May 2022 – 14 May 2022 (covers the Terra-Luna collapse, 9–12 May 2022); Fold 10 test window: 06 Nov 2022 – 12 Nov 2022 (covers the FTX insolvency, 8–11 Nov 2022); Fold 24 test window: 22 Feb 2026 – 28 Feb 2026. Together, the 24 × 168 = 4,032 out-of-sample hours (~168 calendar days) represent 9.2% of the total dataset; the remaining 39,754 hours constitute the expanding training pool. This explicit fold placement allows reviewers to verify that major macro-shock episodes are captured within designated test folds rather than in training windows.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For the neural networks, the lookback was fixed at T = 24 hours. Final selected architectures (lowest out-of-fold validation RMSE) are:</w:t>
        <w:br/>
        <w:t>LSTM: 2 stacked LSTM layers (128 units each) → Dropout(0.2) → Dense(1). Input: (24 × 15). Total trainable parameters: 209,281.</w:t>
        <w:br/>
        <w:t>GRU: 2 stacked GRU layers (128 units each) → Dropout(0.2) → Dense(1). Input: (24 × 15). Total trainable parameters: 157,825. (Fewer parameters than LSTM due to two-gate vs. three-gate architecture, contributing to lower variance and better RMSE on short horizons.)</w:t>
        <w:br/>
        <w:t>Informer Transformer: d_model = 64, n_heads = 4, e_layers = 2 (encoder), d_layers = 1 (decoder), d_ff = 256, ProbSparse attention factor = 5, Dropout = 0.2, Linear input projection (15→64). Total parameters: 223,617.</w:t>
        <w:br/>
        <w:t>All neural models: Adam optimizer (lr = 0.001, β₁ = 0.9, β₂ = 0.999; lr = 0.0001 for Informer), batch size = 64, early stopping (patience = 10 epochs, monitor = val_loss). Mean per-fold training time: LSTM 4.2 min, GRU 3.1 min, Informer 11.7 min (NVIDIA RTX 3060, 12 GB VRAM).</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 xml:space="preserve">Layer 4 translates hourly point predictions ŷt into financial signals: st = sign(ŷt − yt−1) ∈ {+1, −1}, where +1 denotes a long position and −1 a protective/short allocation. The hourly strategy return is Rt</w:t>
      </w:r>
      <w:r>
        <w:rPr>
          <w:vertAlign w:val="superscript"/>
        </w:rPr>
        <w:t xml:space="preserve">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 xml:space="preserve">Table I reports mean RMSE, MAE, and MAPE across all 24 Walk-Forward test folds. XGBoost showed the widest error dispersion (RMSE = 0.1524 ± 0.0068), reflecting the limits of static trees in multi-step sequence forecasting. The Informer recorded an RMSE of 0.1321 ± 0.0081; its self-attention was sensitive to high-frequency micro-volatility noise, corroborating Zerveas et al. [25].</w:t>
      </w:r>
    </w:p>
    <w:p w14:paraId="18273588" w14:textId="2B0A3DE1" w:rsidR="008A78AA" w:rsidRDefault="00D16FC1" w:rsidP="00662A52">
      <w:pPr>
        <w:pStyle w:val="BodyText"/>
      </w:pPr>
      <w:r>
        <w:t>Among all models, the GRU achieved the highest point-forecasting stability, with the lowest error (RMSE = 0.1058 ± 0.0034, MAE = 0.0948 ± 0.0028). A Kruskal-Wallis test rejected equal performance across architectures (H = 18.4, p &lt; 0.001), and pairwise Diebold-Mariano (DM) tests [47] (two-sided, Harvey et al. small-sample correction) produced the following results: GRU vs. XGBoost: DM = 4.21, p = 0.002; GRU vs. Informer: DM = 2.87, p = 0.011; GRU vs. LSTM: DM = 2.14, p = 0.048. With Bonferroni correction for three simultaneous comparisons (α_adj = 0.05/3 = 0.0167), the GRU vs. XGBoost (p = 0.002) and GRU vs. Informer (p = 0.011) comparisons remain significant, while GRU vs. LSTM (p = 0.048 &gt; α_adj) is not significant after correction. The GRU therefore significantly outperforms XGBoost and Informer; its advantage over LSTM is directionally consistent but does not survive multiple-testing correction under point-loss criteria.</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t>MAPE (%)</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t>16.50%</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t>14.82%</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t>13.96%</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t>13.13%</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All four architectures degraded markedly during systemic liquidity shocks, most notably the Terra-Luna collapse in May 2022, when price variance exceeded three rolling standard deviations (±3σ) and point-forecast errors surged. The residual error distributions (Fig. 3) are right-skewed (GRU skewness ≈ +1.4, LSTM skewness ≈ +1.7) with fat tails concentrated at these ±3σ regime transitions. This right-skew indicates that the models systematically underestimate large upward price moves during volatility cascades. The GRU residual distribution is displayed in the embedded supplementary figure (Fig. 3a); the corresponding LSTM distribution (Fig. 3b) shows heavier tails, consistent with the LSTM's larger RMSE. This pattern confirms that price-derived features alone cannot anticipate exogenous shocks such as stablecoin collapses and exchange-insolvency cascades [48].</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range: 80–92), in the 'Excellent' tier (adjective scale ≥ 85.5) [50], suggesting that evaluators could interpret the multi-model outputs after a brief walkthrough. The low SD reflects the homogeneous evaluator cohort (postgraduate informatics students and financial analytics professionals with similar BI tool exposure); full item-by-item raw scores for all 15 participants are available from the corresponding author upon request.</w:t>
      </w:r>
    </w:p>
    <w:p w14:paraId="4A85612B" w14:textId="77777777" w:rsidR="008A78AA" w:rsidRDefault="00D90C4A" w:rsidP="00D90C4A">
      <w:pPr>
        <w:pStyle w:val="BodyText"/>
      </w:pPr>
      <w:r>
        <w:t>4) Practical Implications: While GRU attained the best point RMSE, the LSTM achieved the highest Directional Accuracy (57.8% ± 2.1%) and annualized Sharpe Ratio (0.87 ± 0.12, VaR95% = −1.18% per hour), as summarized in Table II and Fig. 3, showing that directional alignment matters more than nominal point deviation for risk-adjusted trading utility.</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51.4% ± 3.1%</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53.6% ± 2.8%</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57.8% ± 2.1%</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55.3% ± 2.4%</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0.31 ± 0.21</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0.54 ± 0.18</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0.87 ± 0.12</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0.72 ± 0.14</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-2.15% ± 0.41%</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-1.74% ± 0.31%</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-1.18% ± 0.15%</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-1.32% ± 0.22%</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55.3%</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0.72 ± 0.14</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57.8%</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0.87 ± 0.12</w:t>
            </w:r>
          </w:p>
        </w:tc>
      </w:tr>
    </w:tbl>
    <w:p w14:paraId="15FE24DE" w14:textId="77777777" w:rsidR="008A78AA" w:rsidRDefault="00120A85">
      <w:pPr>
        <w:pStyle w:val="BodyText"/>
      </w:pPr>
      <w:r>
        <w:t>Table III places our results next to figures reported in the cited studies (a dash marks a metric not reported); the comparison is indicative only, since asset universe, sampling interval, target, validation design, and cost treatment differ. The directional accuracy obtained here (55.3%–57.8%) exceeds the 66%–67.2% of Chen et al. [13] and the 52.9%–54.1% of Jaquart et al. [31], but is below the 82.44% of Omole and Enke [32]. The Sharpe Ratios here (1.32–1.45,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 xml:space="preserve">The primary failure regime is volatility surges beyond ±3σ; because price features cannot capture macro-sentiment contagion, on-chain data and NLP-derived news sentiment are a key direction for tail-risk robustness.</w:t>
      </w:r>
    </w:p>
    <w:p>
      <w:pPr>
        <w:pStyle w:val="BodyText"/>
      </w:pPr>
      <w:r>
        <w:t xml:space="preserve">A further boundary concerns transaction costs. The Layer 4 strategy return Rt</w:t>
      </w:r>
      <w:r>
        <w:rPr>
          <w:vertAlign w:val="superscript"/>
        </w:rPr>
        <w:t xml:space="preserve">strategy</w:t>
      </w:r>
      <w:r>
        <w:t xml:space="preserve"> = st · rt contains no cost term, so the Sharpe Ratios and VaR values in Table II are gross of fees and slippage. Because the hourly sign rule can reverse position at every step, turnover can be high, and recent studies show that gross profitability on hourly Bitcoin data can vanish at fee levels comparable to the 0.10% taker fee [36], [37]; the ranking in Table II is therefore a ranking of gross directional utility. The first planned extension is a net-of-cost formulation, Rt</w:t>
      </w:r>
      <w:r>
        <w:rPr>
          <w:vertAlign w:val="superscript"/>
        </w:rPr>
        <w:t xml:space="preserve">net</w:t>
      </w:r>
      <w:r>
        <w:t xml:space="preserve"> = st · rt − c · |st − st−1|, with c the per-side cost, combined with a cost-aware execution filter [37]. Sharpe Ratio differences across models were not formally tested here and should be assessed, e.g., by bootstrap [37].</w:t>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Fig. 4. Business Intelligence Dashboard KPI summary from 24-fold Walk-Forward evaluation (RMSE, Sharpe Ratio, Directional Accuracy, and VaR95%). Two reference lines appear in the Directional Accuracy and Sharpe Ratio panels: (i) 'Baseline DA = 52%' marks the persistence (random-walk) baseline (see Section II.B): any model below this line does not improve on a naïve no-signal strategy. (ii) 'Min. Acceptable SR = 0.50' marks the five-year buy-and-hold BTC/USDT Sharpe Ratio (0.63 annualized, before costs, see Section II.B): a trading strategy must exceed this threshold to justify the additional complexity of active signal generation. Both reference lines were selected to provide practitioners with actionable go/no-go criteria.</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DM p_GRU-vs-XGB = 0.002, p_GRU-vs-Informer = 0.011; Bonferroni-corrected, see Section III.A), whereas the LSTM generated the highest Directional Accuracy (57.8% ± 2.1%) and annualized Sharpe Ratio (0.87 ± 0.12, VaR95% = −2.34%, before transaction costs). Usability evaluation with 15 evaluators indicated high perceived usability (SUS = 86.4).</w:t>
      </w:r>
    </w:p>
    <w:p>
      <w:pPr>
        <w:pStyle w:val="BodyText"/>
      </w:pPr>
      <w:r>
        <w:t xml:space="preserve">Future work includes: (1) net-of-cost evaluation with cost-aware execution filters and significance testing of Sharpe Ratio differences [36], [37]; (2) multi-modal sentiment and on-chain metrics [32] to mitigate the ±3σ tail-risk failure mode;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