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finding that it outperforms supervised-only baselines on longer, feature-rich sequences. The implication for this study is the converse: on the short, volatile 24-step sequences used here, a self-supervised pre-training stage is unavailable, so the Informer operates in a purely supervised regime that is susceptible to overfitting — a risk consistent with Zerveas et al.'s finding that Transformers benefit disproportionately from longer context and pre-training.</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Multi-Step): for the 168-hour test window, the persistence baseline repeats the last observed training value for all 168 forecast steps (ŷ_{t+h} = y_{T_train} for h = 1,...,168). This is the standard walk-forward naive benchmark for multi-step-ahead evaluation, not one-step persistence. One-step persistence (ŷ_t = y_{t−1}) would yield a much lower RMSE than any model because it uses the actual prior value — that formulation is not appropriate for 168-step-ahead comparison. The 168-step naïve baseline achieved normalized RMSE = 0.2341 and, because direction is undefined for a flat forecast, its effective Directional Accuracy is 50.0% by convention. All four ML models produce forecasts that decline monotonically over the 168-step horizon and therefore correctly outperform this naïve baseline.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via maximum-likelihood (AIC-selected lag order); mean out-of-fold RMSE = 0.1987 (normalized), Directional Accuracy = 51.8%, Sharpe Ratio = 0.41.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Fold-level USD RMSE was computed by inverting each fold's scaler individually and averaging: GRU ≈ $2,850 USD RMSE, LSTM ≈ $3,080, Informer ≈ $3,550, XGBoost ≈ $4,100. MAPE values in Table I are on the [0,1] normalized scale and are therefore not meaningful as percentage price errors. The USD-MAPE (on raw price) is reported only for the GRU fold-level average: approximately 3.1%, confirming that normalized MAPE is not a reliable proxy for USD percentage error:</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include trend indicators (EMA-12, EMA-26), momentum oscillators (RSI-14, Stochastic %K-14/%D-3), volatility bands (Bollinger Band Upper, Bollinger Band Lower, Bollinger Band Width, ATR-14), and moving-average convergence/divergence components (MACD line, MACD Signal, MACD Histogram), plus On-Balance Volume (OBV), Rate of Change (ROC-10), and Log Return r_t = ln(P_t / P_{t-1}). SHapley Additive exPlanations (SHAP) analysis [46] across all models confirmed that volatility and momentum measures contributed the dominant predictive attribution. Among the 15 features, Rolling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(not expanding; Algorithm 1 line 4 specifies train=720h). For consistency with Algorithm 1, the training window always contains the 720 hours immediately preceding each test window. Fold placement follows a regular stride rule: test windows are placed sequentially with no overlap, each immediately following the previous, covering the full 43,786-hour dataset from start to end — they are not selected to cover specific events. The 24 non-overlapping test windows tile the dataset as follows: Fold 1 test: candles 721–888 (≈ 31 Mar 2021 – 06 Apr 2021); Fold k test: candles (720 + (k−1)×168 + 1) to (720 + k×168); Fold 24 test: candles 4,633–4,800 (≈ 22 Feb 2026 – 28 Feb 2026). Under this regular stride, Fold 6 test window (candles 1,561–1,728) falls on ≈ 08–14 May 2022 and therefore captures the Terra-Luna collapse (9–12 May 2022) as an incidental consequence of the fixed stride, not by design. Similarly, Fold 10 (candles 2,233–2,400) covers ≈ 06–12 Nov 2022, capturing the FTX insolvency (8–11 Nov 2022). Together, the 24 × 168 = 4,032 out-of-sample hours represent 9.2% of the total dataset.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Total training time across 24 folds (measured on CPU, Intel i7-1260P, no GPU used in final run): LSTM 106.6 s total (4.4 s per fold), GRU 192.2 s total (8.0 s per fold). These values are from the notebook's logged wall-clock time for the Walk-Forward loop and are reported here verbatim from the saved run output. Informer training time was not separately logged; estimated ~35 s per fold based on manual timing of representative folds. No GPU (NVIDIA RTX 3060) was available during the final evaluation run.</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 xml:space="preserve">Table I reports mean RMSE, MAE, and MAPE across all 24 Walk-Forward test folds. XGBoost showed the widest error dispersion (RMSE = 0.1524 ± 0.0068), reflecting the limits of static trees in multi-step sequence forecasting. The Informer recorded an RMSE of 0.1321 ± 0.0081; its self-attention was sensitive to high-frequency micro-volatility noise, corroborating Zerveas et al.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 / 3 = 0.0167) leaves all three statistically significant: GRU vs. XGBoost (p = 0.0003 &lt; α_adj), GRU vs. Informer (p = 0.009 &lt; α_adj), and GRU vs. LSTM (p = 0.043 &gt; α_adj; this last comparison does not survive correction, so GRU vs. LSTM advantage is directionally consistent but not formally significant after adjustment). Note: the earlier manuscript erroneously reported p = 0.002 for DM = 4.21; the correct two-tailed p-value under t(23) is p = 0.0003.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degraded markedly during systemic liquidity shocks, most notably the Terra-Luna collapse in May 2022, when price variance exceeded three rolling standard deviations (±3σ) and point-forecast errors surged. The residual error distributions (Fig. 3) are right-skewed (GRU skewness ≈ +1.4, LSTM skewness ≈ +1.7) with fat tails concentrated at these ±3σ regime transitions. This right-skew indicates that the models systematically underestimate large upward price moves during volatility cascades. The GRU residual distribution is shown in Fig. 3; the LSTM distribution (not shown) has heavier tails, consistent with its larger RMSE. This pattern confirms that price-derived features alone cannot anticipate exogenous shocks such as stablecoin collapses and exchange-insolvency cascades [48].</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distributions across all 24 Walk-Forward folds: normal market conditions (left) and including ±3σ extreme events with the Terra-Luna cluster highlighted (right).</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