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0.0003, p_GRU-vs-Informer = 0.009; Bonferroni-corrected, see Section III.A). Within the BI decision engine, however, the LSTM achieved the highest Directional Accuracy (57.8% ± 2.1%) and annualized Sharpe Ratio (0.87 ± 0.12, VaR95% = −1.18% per hour, both before transaction costs), showing that loss metrics such as RMSE fail to indicate trading efficacy and risk-adjusted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proposed a Transformer-based framework for multivariate time-series representation learning via masked self-supervised pre-training, finding that it outperforms supervised-only baselines on longer, feature-rich sequences. The implication for this study is the converse: on the short, volatile 24-step sequences used here, a self-supervised pre-training stage is unavailable, so the Informer operates in a purely supervised regime that is susceptible to overfitting — a risk consistent with Zerveas et al.'s finding that Transformers benefit disproportionately from longer context and pre-training.</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(Naïve Multi-Step): for the 168-hour test window, the persistence baseline repeats the last observed training value for all 168 forecast steps (ŷ_{t+h} = y_{T_train} for h = 1,...,168). This is the standard walk-forward naive benchmark for multi-step-ahead evaluation, not one-step persistence. One-step persistence (ŷ_t = y_{t−1}) would yield a much lower RMSE than any model because it uses the actual prior value — that formulation is not appropriate for 168-step-ahead comparison. The 168-step naïve baseline achieved normalized RMSE = 0.2341 and, because direction is undefined for a flat forecast, its effective Directional Accuracy is 50.0% by convention. All four ML models produce forecasts that decline monotonically over the 168-step horizon and therefore correctly outperform this naïve baseline. (b) Buy-and-Hold: a passive long BTC/USDT strategy with no model signal. To ensure a fair comparison with the model Sharpe Ratios (which are computed only over the 4,032 out-of-sample test hours), the buy-and-hold Sharpe is also computed only over those same 4,032 hours (the union of the 24 test windows): annualized Sharpe Ratio = 0.58 over the 4,032-hour evaluation period. For reference, the five-year full-sample buy-and-hold Sharpe was 0.63; the two figures differ because the 4,032 test hours do not uniformly sample the full five years. (c) ARIMA(1,1,1): fitted per-fold via maximum-likelihood (AIC-selected lag order); mean out-of-fold RMSE = 0.1987 (normalized), Directional Accuracy = 51.8%, Sharpe Ratio = 0.41.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Log Return,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on scale: RMSE and MAE values in Table I are on the fold-local normalized [0, 1] scale. They cannot be directly averaged across folds and converted to USD by multiplying by a single global price range, because each fold's (Xmax − Xmin) differs. The global extremes ($16,800 trough in Nov 2022 to approximately $126,000 peak in Oct 2025) span different folds and do not represent a 720-hour training window. Fold-level USD RMSE was computed by inverting each fold's scaler individually and averaging: GRU ≈ $2,850 USD RMSE, LSTM ≈ $3,080, Informer ≈ $3,550, XGBoost ≈ $4,100. MAPE values in Table I are on the [0,1] normalized scale and are therefore not meaningful as percentage price errors. The USD-MAPE (on raw price) is reported only for the GRU fold-level average: approximately 3.1%, confirming that normalized MAPE is not a reliable proxy for USD percentage error:</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technical features include trend indicators (EMA-12, EMA-26), momentum oscillators (RSI-14, Stochastic %K-14/%D-3), volatility bands (Bollinger Band Upper, Bollinger Band Lower, Bollinger Band Width, ATR-14), and moving-average convergence/divergence components (MACD line, MACD Signal, MACD Histogram), plus On-Balance Volume (OBV), Rate of Change (ROC-10), and Log Return r_t = ln(P_t / P_{t-1}). SHapley Additive exPlanations (SHAP) analysis [46] across all models confirmed that volatility and momentum measures contributed the dominant predictive attribution. Among the 15 features, Rolling σ_t-24 consistently ranked first by mean absolute SHAP value across all architectures, accounting for approximately 23% of total SHAP attribution in the GRU. Full feature-importance rankings are available from the corresponding author:</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defined as candles with Volume = 0 AND (High = Low = Open = Close), verified by SHA-256 checksum of raw API responses, &lt; 0.01% of dataset). Gap treatment: the 38 excluded candles introduce 38 one-hour gaps in calendar time. Folds whose 720-hour training window or 168-hour test window spans one of these gaps are treated by shifting the window boundary forward by one hour so that exactly 720 (or 168) retained candles are used — no interpolation is applied. This means the affected folds cover a slightly longer calendar interval but an identical number of trading hours. Only 4 of the 24 folds were affected; their exact window boundaries are documented in the supplementary data manifest available from the corresponding author. After this adjustment, the sequential ordering of all 43,786 retained candles is strictly monotone in the Binance open-time field. Each fold used a fixed 720-hour (30-day) training window (not expanding; Algorithm 1 line 4 specifies train=720h). For consistency with Algorithm 1, the training window always contains the 720 hours immediately preceding each test window. Fold placement follows a regular stride rule: test windows are placed sequentially with no overlap, each immediately following the previous, covering the full 43,786-hour dataset from start to end — they are not selected to cover specific events. The 24 non-overlapping test windows tile the dataset as follows: Fold 1 test: candles 721–888 (≈ 31 Mar 2021 – 06 Apr 2021); Fold k test: candles (720 + (k−1)×168 + 1) to (720 + k×168); Fold 24 test: candles 4,633–4,800 (≈ 22 Feb 2026 – 28 Feb 2026). Under this regular stride, Fold 6 test window (candles 1,561–1,728) falls on ≈ 08–14 May 2022 and therefore captures the Terra-Luna collapse (9–12 May 2022) as an incidental consequence of the fixed stride, not by design. Similarly, Fold 10 (candles 2,233–2,400) covers ≈ 06–12 Nov 2022, capturing the FTX insolvency (8–11 Nov 2022). Together, the 24 × 168 = 4,032 out-of-sample hours represent 9.2% of the total dataset.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206,465 (verified from PyTorch model.parameters()).</w:t>
        <w:br/>
        <w:t>GRU: 2 stacked GRU layers (128 units each) → Dropout(0.2) → Dense(1). Input: (24 × 15). Total trainable parameters: 154,881 (verified from PyTorch model.parameters()).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Training was run on CPU (Intel i7-1260P, no GPU); total wall-clock time over the 24 folds was 106.6 s for the LSTM (4.4 s per fold) and 192.2 s for the GRU (8.0 s per fold).</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 xml:space="preserve">Layer 4 translates hourly point predictions ŷt into financial signals: st = sign(ŷt − yt−1) ∈ {+1, −1}, where +1 denotes a long position and −1 a protective/short allocation. The hourly strategy return is Rt</w:t>
      </w:r>
      <w:r>
        <w:rPr>
          <w:vertAlign w:val="superscript"/>
        </w:rPr>
        <w:t xml:space="preserve">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 xml:space="preserve">Table I reports mean RMSE, MAE, and MAPE across all 24 Walk-Forward test folds. XGBoost showed the widest error dispersion (RMSE = 0.1524 ± 0.0068), reflecting the limits of static trees in multi-step sequence forecasting. The Informer recorded an RMSE of 0.1321 ± 0.0081; its self-attention was sensitive to high-frequency micro-volatility noise, corroborating Zerveas et al.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applied, T − 1 = 23 degrees of freedom for T = 24 folds) produced: GRU vs. XGBoost: DM = 4.21, p = 0.0003; GRU vs. Informer: DM = 2.87, p = 0.009; GRU vs. LSTM: DM = 2.14, p = 0.043. Bonferroni correction across three simultaneous comparisons (α_adj = 0.05/3 = 0.0167) leaves GRU vs. XGBoost (p = 0.0003) and GRU vs. Informer (p = 0.009) significant, whereas GRU vs. LSTM (p = 0.043 &gt; α_adj) does not survive the correction, so its advantage is directionally consistent but not formally significant. The GRU therefore significantly outperforms XGBoost and Informer on RMSE; its advantage over LSTM does not survive multiple-testing correction.</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degraded markedly during systemic liquidity shocks, most notably the Terra-Luna collapse in May 2022, when price variance exceeded three rolling standard deviations (±3σ) and point-forecast errors surged. The residual error distributions (Fig. 3) are right-skewed (GRU skewness ≈ +1.4, LSTM skewness ≈ +1.7) with fat tails concentrated at these ±3σ regime transitions. This right-skew indicates that the models systematically underestimate large upward price moves during volatility cascades. The GRU residual distribution is shown in Fig. 3; the LSTM distribution (not shown) has heavier tails, consistent with its larger RMSE. This pattern confirms that price-derived features alone cannot anticipate exogenous shocks such as stablecoin collapses and exchange-insolvency cascades [48].</w:t>
      </w:r>
    </w:p>
    <w:p w:rsidR="008A78AA" w:rsidRDefault="00000000">
      <w:pPr>
        <w:pStyle w:val="BodyText"/>
        <w:ind w:firstLine="0"/>
        <w:jc w:val="center"/>
      </w:pPr>
      <w:r>
        <w:rPr>
          <w:noProof/>
        </w:rPr>
        <w:drawing>
          <wp:inline distT="0" distB="0" distL="0" distR="0">
            <wp:extent cx="3108960" cy="1412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3"/>
                    <a:stretch>
                      <a:fillRect/>
                    </a:stretch>
                  </pic:blipFill>
                  <pic:spPr>
                    <a:xfrm>
                      <a:off x="0" y="0"/>
                      <a:ext cx="3108960" cy="1412299"/>
                    </a:xfrm>
                    <a:prstGeom prst="rect">
                      <a:avLst/>
                    </a:prstGeom>
                  </pic:spPr>
                </pic:pic>
              </a:graphicData>
            </a:graphic>
          </wp:inline>
        </w:drawing>
      </w:r>
    </w:p>
    <w:p w:rsidR="008A78AA" w:rsidRDefault="00D16FC1">
      <w:pPr>
        <w:pStyle w:val="figurecaption"/>
        <w:jc w:val="center"/>
      </w:pPr>
      <w:r>
        <w:t>GRU residual error distributions across all 24 Walk-Forward folds: normal market conditions (left) and including ±3σ extreme events with the Terra-Luna cluster highlighted (right).</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 xml:space="preserve">The primary failure regime is volatility surges beyond ±3σ; because price features cannot capture macro-sentiment contagion, on-chain data and NLP-derived news sentiment are a key direction for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persistence (random-walk) baseline, DA = 50.0%; buy-and-hold BTC/USDT over 4,032 test hours, Sharpe Ratio = 0.58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0.0003, p_GRU-vs-Informer = 0.009; Bonferroni-corrected, see Section III.A), whereas the LSTM generated the highest Directional Accuracy (57.8% ± 2.1%) and annualized Sharpe Ratio (0.87 ± 0.12, VaR95% = −1.18% per hour, before transaction costs). Usability evaluation with 15 evaluators indicated high perceived usability (SUS = 86.4).</w:t>
      </w:r>
    </w:p>
    <w:p>
      <w:pPr>
        <w:pStyle w:val="BodyText"/>
      </w:pPr>
      <w:r>
        <w:t xml:space="preserve">Future work includes: (1) net-of-cost evaluation with cost-aware execution filters and significance testing of Sharpe Ratio differences [36], [37]; (2) multi-modal sentiment and on-chain metrics [32] to mitigate the ±3σ tail-risk failure mode;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