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 Extreme Gradient Boosting (XGBoost),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DM p_GRU-vs-XGB = 0.0003, p_GRU-vs-Informer = 0.009; Bonferroni-corrected, see Section III.A). Within the BI decision engine, however, the LSTM achieved the highest Directional Accuracy (57.8% ± 2.1%) and annualized Sharpe Ratio (0.87 ± 0.12, VaR95% = −1.18% per hour; both before transaction costs and evaluated on weekly-trend recursive signals, not hour-by-hour executable trades), showing that loss metrics such as RMSE fail to indicate gross directional utility. Usability evaluation of the Power BI prototype yielded a System Usability Scale (SUS) score of 86.4 (SD = 3.2), indicating that the 15 evaluators could operate and interpret the multi-model dashboard.</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regime shifts, and volatility cascades that frequently invalidate the assumptions of conventional econometric models [1], [2]. Classical techniques such as Autoregressive Integrated Moving Average (ARIMA) presuppose covariance stationarity and linear autocorrelation, properties routinely violated by cryptocurrency returns, which display time-varying long memory and efficiency [3], [4]. Consequently, deep neural networks and tree-based ensembles have emerged as prominent paradigms, as they map nonlinear sequential representations directly from multi-feature inputs [5], [6].</w:t>
      </w:r>
    </w:p>
    <w:p w14:paraId="467A3672" w14:textId="36BEA800" w:rsidR="008A78AA" w:rsidRDefault="00712C53">
      <w:pPr>
        <w:pStyle w:val="BodyText"/>
      </w:pPr>
      <w:r>
        <w:t xml:space="preserve">Despite advances in forecasting algorithms, existing studies overwhelmingly benchmark models using statistical error metrics such as Root Mean Squared Error (RMSE) or Mean Absolute Error (MAE) in isolated laboratory settings. For portfolio managers and risk governance committees, however, a minimal RMSE does not guarantee risk-adjusted profitability [7], [8]; directional accuracy, drawdown, and risk-adjusted return under real trading constraints remain unanswered by error metrics alone [9]. A disconnect therefore exists between predictive accuracy benchmarks and the requirements of enterprise Business Intelligence (BI) platforms [10].</w:t>
      </w:r>
    </w:p>
    <w:p w14:paraId="598784DC" w14:textId="77777777" w:rsidR="008A78AA" w:rsidRDefault="001F2CB9">
      <w:pPr>
        <w:pStyle w:val="BodyText"/>
      </w:pPr>
      <w:r>
        <w:t xml:space="preserve">To bridge this divide, this study develops an end-to-end BI-ML framework integrating multi-model forecasting, leakage-free chronological Walk-Forward Validation, a PostgreSQL Data Mart, and an interactive Microsoft Power BI dashboard operating in near real-time. Four algorithmic families are benchmarked on five years of hourly BTC/USDT spot data under identical conditions: XGBoost (tree ensemble), LSTM and GRU (gated recurrent networks), and the Informer Transformer (sparse self-attention). By mapping point predictions into trading signals, annualized Sharpe Ratios, and Value-at-Risk (VaR) thresholds, the framework bridges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 xml:space="preserve">Tree-based ensembles are the established standard for tabular features, and Extreme Gradient Boosting (XGBoost) mitigates variance through regularized boosting [11], [12]. However, decision trees do not inherently model recurrent temporal transitions, and Chen et al. [13] found that the relative merit of statistical, tree-based, and LSTM models for Bitcoin depends strongly on sampling frequency.</w:t>
      </w:r>
    </w:p>
    <w:p w14:paraId="035DAF2A" w14:textId="77777777" w:rsidR="008A78AA" w:rsidRDefault="00712C53">
      <w:pPr>
        <w:pStyle w:val="BodyText"/>
      </w:pPr>
      <w:r>
        <w:t xml:space="preserve">To capture multi-scale temporal dependencies, the Long Short-Term Memory (LSTM) network [14], extended with forget gates [15], regulates gradient flow through input, forget, and output gates and mitigates vanishing gradients. The Gated Recurrent Unit (GRU) [16] merges the forget and input gates into a single update gate, retaining comparable memory at lower computational cost. Both remain essential benchmarks in cryptocurrency forecasting [17], [18].</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Attention-based Transformers [19] have succeeded across sequential domains [20]. For long-sequence forecasting, the Informer [21] introduced ProbSparse self-attention, reducing complexity from O(L²) to O(L log L). Newer derivatives such as PatchTST [22] and TimesNet [23] continue to emerge, but the Informer remains an established attention baseline, and Transformer hybrids are increasingly benchmarked against recurrent models on Bitcoin [24]. Zerveas et al. [25] proposed a Transformer-based framework for multivariate time-series representation learning via masked self-supervised pre-training and reported improvements over supervised-only baselines. In this study, the Informer operates in a purely supervised, fixed-length 24-step input regime without any pre-training stage; this difference in setting may partly explain its higher RMSE relative to the recurrent models.</w:t>
      </w:r>
    </w:p>
    <w:p>
      <w:pPr>
        <w:pStyle w:val="Heading2"/>
      </w:pPr>
      <w:r>
        <w:t xml:space="preserve">Recent Empirical Evidence and Positioning of This Study</w:t>
      </w:r>
    </w:p>
    <w:p>
      <w:pPr>
        <w:pStyle w:val="BodyText"/>
      </w:pPr>
      <w:r>
        <w:t xml:space="preserve">Recent comparative studies have broadened the set of evaluated models. Murray et al. [26] benchmarked statistical, machine-learning, deep-learning, and ensemble predictors on five cryptocurrencies and found deep models, particularly the LSTM, most accurate in RMSE and MAE. Bouteska et al. [27] and Oyedele et al. [28] compared ensemble, boosted-tree, and deep-learning forecasters on multiple assets, the latter finding a CNN most reliable when training data were limited. Surveys identify Transformers and hybrid deep models as emerging directions [29], yet few studies explicitly relate price forecasts to trading outcomes [30].</w:t>
      </w:r>
    </w:p>
    <w:p>
      <w:pPr>
        <w:pStyle w:val="BodyText"/>
      </w:pPr>
      <w:r>
        <w:t>A second line of work evaluates forecasts through trading performance. Jaquart et al. [31] report annualized out-of-sample Sharpe ratios of about 3.2 and 3.1 after costs for daily LSTM and GRU long-short portfolios on the 100 largest cryptocurrencies, and Omole and Enke [32] backtest three strategies built on CNN-LSTM direction forecasts. Grądzki et al. [33] argue that next-bar prediction on fixed-interval bars induces excessive trading and that CUSUM-filtered sampling with triple-barrier labels stays profitable after costs, while Guo et al. [34] and Hasanli and Dursun [35] document cross-coin return predictability and XGBoost Sharpe ratios of 1.78 for Bitcoin, respectively. Evidence at hourly frequency is more cautious: Gradojevic et al. [6] find Bitcoin weakly efficient at the hourly frequency, while random-forest models built on technical indicators beat a random walk only at the daily horizon — a finding that constrains the directional accuracy claims in this paper, Sobreiro et al. [36] show that a gross 35.97% out-of-sample return on 2025 Bitcoin data is likely erased by round-trip fees, and Bysik and Ślepaczuk [37] (a 2026 preprint not yet peer reviewed), using about 70,000 hourly BTC-USDT observations and 27-fold walk-forward validation, report that naive sign-based strategies fail at ten basis points of cost and that cost-aware filters do not significantly outperform buy-and-hold in Sharpe terms after bootstrap adjustment.</w:t>
      </w:r>
    </w:p>
    <w:p>
      <w:pPr>
        <w:pStyle w:val="BodyText"/>
      </w:pPr>
      <w:r>
        <w:t xml:space="preserve">These studies imply three requirements for a credible evaluation: chronological out-of-sample validation, trading-based and risk-adjusted metrics alongside error metrics, and explicit treatment of transaction costs and significance. However, to our knowledge they stop at model comparison and backtesting and do not describe how multi-metric results reach practitioners through a governed decision-support layer assessed with domain users.</w:t>
      </w:r>
    </w:p>
    <w:p>
      <w:pPr>
        <w:pStyle w:val="BodyText"/>
      </w:pPr>
      <w:r>
        <w:t xml:space="preserve">Accordingly, this study (i) compares XGBoost, LSTM, GRU, and the Informer under one 24-fold chronological Walk-Forward protocol on five years of hourly BTC/USDT data with fold-local scaling; (ii) tests accuracy differences statistically (Kruskal-Wallis, Diebold-Mariano) and contrasts them with directional accuracy, Sharpe Ratio, and VaR; (iii) embeds the outputs in a four-layer BI-ML pipeline (PostgreSQL Data Mart, Power BI) whose usability is measured with the SUS; and (iv) states that the risk-adjusted metrics are gross of transaction costs, treating net-of-cost evaluation [36], [37] as the main boundary of its economic claims (see Discussion).</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 xml:space="preserve">While comparative evaluations are abundant [26], [27], [28], their integration into enterprise Decision Support Systems (DSS) [38], [39] remains scarce. This work bridges that gap by coupling deep learning predictions to an enterprise BI layer that computes the annualized Sharpe Ratio and Value-at-Risk (VaR) for institutional risk governance [40].</w:t>
      </w:r>
    </w:p>
    <w:p w14:paraId="6D6DE8F2" w14:textId="77777777" w:rsidR="008A78AA" w:rsidRDefault="00A85596">
      <w:pPr>
        <w:pStyle w:val="BodyText"/>
      </w:pPr>
      <w:r>
        <w:t xml:space="preserve">BTC/USDT is the reference asset because BTC is the most liquid and structurally influential cryptocurrency [1], [41], trades continuously 24/7 (a dense signal free of market-closure artifacts), and a high-volume Binance spot pair isolates algorithmic performance from the liquidity shocks of lower-cap altcoins.</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VaR computation, and streaming to a live Microsoft Power BI dashboard via DirectQuery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ingests 43,786 consecutive hourly OHLCV records of BTC/USDT from the Binance Spot API (March 2021 to March 2026) [41] (Fig. 1). Three statistical baseline models were implemented under identical Walk-Forward folds to anchor all comparisons: (a) Persistence (Naïve Flat): for each 168-hour test window, the persistence baseline sets ŷ_{t+h} = y_{T_train} for all h = 1,...,168 (i.e., the last observed normalized close price is repeated flat for the entire test window). This is the appropriate naïve benchmark when RMSE is evaluated across all 168 forecast steps together. It achieved normalized RMSE = 0.2341 and Directional Accuracy = 50.0% by convention (a flat forecast has no directional signal). All four ML models produce lower RMSE than this flat baseline. Forecasting mode: each model produces 168 predictions per test window by recursive (autoregressive) unrolling, in which each prediction is fed back as input for the next step. This is not a true hour-by-hour rolling inference using actual observed values — ŷt at horizon h carries accumulated propagation error from prior predicted steps. The trading signal s_t = sign(ŷ_t − y_{t−1}) therefore captures the model's weekly directional trend over the 168-hour window, not individual hourly position decisions. Directional Accuracy and Sharpe Ratio are computed from these weekly-trend signals and are reported as gross directional utility metrics. (b) Buy-and-Hold: a passive long BTC/USDT strategy with no model signal. To ensure a fair comparison with the model Sharpe Ratios (which are computed only over the 4,032 out-of-sample test hours), the buy-and-hold Sharpe is also computed only over those same 4,032 hours (the union of the 24 test windows): annualized Sharpe Ratio = 0.58 over the 4,032-hour evaluation period. For reference, the five-year full-sample buy-and-hold Sharpe was 0.63; the two figures differ because the 4,032 test hours do not uniformly sample the full five years. (c) ARIMA(1,1,1): fitted per-fold with a fixed order of (p=1, d=1, q=1), estimated by maximum-likelihood; mean out-of-fold RMSE = 0.1987 (normalized), Directional Accuracy = 51.8%, Sharpe Ratio = 0.41. The fixed (1,1,1) order was selected a priori as a standard low-order specification; AIC was not used to select the lag order here. ARIMA was included to address the literature review comparison in Section I. All four ML models achieve a lower normalized RMSE than the three baselines; on Directional Accuracy and Sharpe Ratio only the LSTM and GRU exceed all three (XGBoost trails ARIMA, and XGBoost and Informer fall below buy-and-hold; see Table II). All derived feature series passed the Augmented Dickey-Fuller (ADF) test (lag order selected by AIC, constant + trend specification), rejecting the unit-root null at the 5% level (p &lt; 0.05). Importantly, the raw BTC closing price (level) is non-stationary and was not used as a direct feature. Bounded oscillators (RSI, Stochastic %K, MACD Histogram, ROC-10, Bollinger Band Width) are stationary by construction. Level-dependent features (EMA-12, EMA-26, ATR-14, OBV, Rolling σ_t) showed borderline unit-root behavior in some fold sub-samples and were therefore first-differenced before scaling, after which the ADF null was rejected for all series in all 24 folds.</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[42] (Eq. 2).</w:t>
      </w:r>
    </w:p>
    <w:p w14:paraId="321BB3C7" w14:textId="77777777" w:rsidR="008A78AA" w:rsidRDefault="00000000">
      <w:pPr>
        <w:pStyle w:val="BodyText"/>
      </w:pPr>
      <w:r>
        <w:t>To guarantee zero temporal leakage, all features were normalized with strictly Fold-Local Min-Max Scaling (Eq. 1): scaling parameters (Xmin, Xmax) were computed exclusively from each training window and applied out-of-sample to the corresponding test window, precluding look-ahead bias [43], [44], [45]. Note on scale: RMSE and MAE values in Table I are on the fold-local normalized [0, 1] scale. They cannot be directly averaged across folds and converted to USD by multiplying by a single global price range, because each fold's (Xmax − Xmin) differs. The global extremes ($16,800 trough in Nov 2022 to approximately $126,000 peak in Oct 2025) span different folds and do not represent a 720-hour training window. USD-scale errors are not reported because each fold has its own scaler. Readers requiring USD-scale error estimates may compute them from the normalized RMSE in Table I and the per-fold (Xmax − Xmin) available in the supplementary data manifest. MAPE is not reported in Table I because on the fold-local normalized [0,1] scale it does not represent a meaningful percentage price error.</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engineered features comprise: (1) EMA-12, (2) EMA-26 (trend), (3) RSI-14, (4) Stochastic %K-14, (5) Stochastic %D-3 (momentum oscillators), (6) Bollinger Band Upper, (7) Bollinger Band Lower, (8) Bollinger Band Width, (9) ATR-14 (volatility bands), (10) MACD line, (11) MACD Signal, (12) MACD Histogram (convergence/divergence), (13) On-Balance Volume (OBV), (14) Rate of Change (ROC-10), and (15) Rolling 24-hour standard deviation of log returns (σ_t-24). Log Return r_t = ln(P_t / P_{t-1}) is used internally to compute σ_t-24 and as an ADF-tested stationary base series, but is not included as a separate feature to keep the count at 15. SHapley Additive exPlanations (SHAP) analysis [46] across all models confirmed that volatility and momentum measures contributed the dominant predictive attribution. Among the 15 features, σ_t-24 consistently ranked first by mean absolute SHAP value across all architectures, accounting for approximately 23% of total SHAP attribution in the GRU. Full feature-importance rankings are available from the corresponding author:</w:t>
      </w:r>
    </w:p>
    <w:p w14:paraId="15592AC8" w14:textId="77777777" w:rsidR="008A78AA" w:rsidRDefault="005002B2">
      <w:pPr>
        <w:pStyle w:val="BodyText"/>
      </w:pPr>
      <w:r>
        <w:tab/>
        <w:t>MACD = EMA12 − EMA26</w:t>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The dataset spans from 2021-03-01 00:00:00 UTC to 2026-02-28 23:00:00 UTC. A naïve calculation of five calendar years (2021-03-01 to 2026-03-01) yields 43,824 hours; the 38-hour discrepancy reflects 38 candles excluded during quality screening (zero-volume ticks, defined as candles with Volume = 0 AND (High = Low = Open = Close), verified by SHA-256 checksum of raw API responses, &lt; 0.01% of dataset). Gap treatment: the 38 excluded candles introduce 38 one-hour gaps in calendar time. Folds whose 720-hour training window or 168-hour test window spans one of these gaps are treated by shifting the window boundary forward by one hour so that exactly 720 (or 168) retained candles are used — no interpolation is applied. This means the affected folds cover a slightly longer calendar interval but an identical number of trading hours. Only 4 of the 24 folds were affected; their exact window boundaries are documented in the supplementary data manifest available from the corresponding author. After this adjustment, the sequential ordering of all 43,786 retained candles is strictly monotone in the Binance open-time field. Each fold used a fixed 720-hour (30-day) training window (consistent with Algorithm 1 line 4: train=720h). The 24 non-overlapping test windows of 168 hours each are placed with a uniform inter-fold stride of s hours, chosen so that the final test window ends at or near the last available candle: s = floor((N − 720 − 168) / (n_folds − 1)), where N = 43,786 and n_folds = 24, yielding s = 1,865 candles (≈ 77.7 days). Under this stride, the 24 fold test windows span the full five-year dataset as follows: Fold 1 test: candles 721–888 (≈ 31 Mar 2021 – 06 Apr 2021); Fold k test: candles (721 + (k−1)×1865) to (721 + (k−1)×1865 + 167); Fold 24 test: candles 43,616–43,783 (≈ 20–27 Feb 2026). The 24 × 168 = 4,032 out-of-sample hours represent 9.2% of the total dataset. Note: with this stride, Fold 6 test window falls on ≈ 23–30 Apr 2022, which precedes the Terra-Luna collapse (9–12 May 2022) by approximately 9 days; no single fold precisely captures that event. Similarly, Fold 10 falls on ≈ 28 Feb – 07 Mar 2023, which is after the FTX insolvency (8–11 Nov 2022). The model's sensitivity to volatility regime changes is discussed qualitatively in Section III.B. Hyperparameters were optimized separately for each architectural family [43].</w:t>
      </w:r>
    </w:p>
    <w:p w14:paraId="2D97017F" w14:textId="77777777" w:rsidR="008A78AA" w:rsidRDefault="00000000">
      <w:pPr>
        <w:pStyle w:val="BodyText"/>
      </w:pPr>
      <w:r>
        <w:t xml:space="preserve">For XGBoost, hyperparameters were tuned via Grid Search with TimeSeriesSplit (n = 5): n_estimators ∈ {100, 300, 500}, max_depth ∈ {3, 5, 7}, learning_rate ∈ {0.01, 0.05, 0.10}, subsample ∈ {0.70, 0.85, 1.00}, and colsample_bytree ∈ {0.70, 0.85, 1.00}. Sequential 3D arrays (N × 24 × 15) were flattened into 2D vectors (N × 360) prior to fitting. The optimal configuration (n_estimators = 300, max_depth = 5, learning_rate = 0.05, subsample = 0.85, colsample_bytree = 0.85) was regularized via L1/L2 penalties; unlike the neural networks, XGBoost uses neither Adam optimization nor dropout.</w:t>
      </w:r>
    </w:p>
    <w:p w14:paraId="15213384" w14:textId="77777777" w:rsidR="008A78AA" w:rsidRDefault="00000000">
      <w:pPr>
        <w:pStyle w:val="BodyText"/>
        <w:rPr>
          <w:lang w:val="en-US"/>
        </w:rPr>
      </w:pPr>
      <w:r>
        <w:t>For the neural networks, the lookback was fixed at T = 24 hours. Final selected architectures (lowest out-of-fold validation RMSE) are:</w:t>
        <w:br/>
        <w:t>LSTM: 2 stacked LSTM layers (128 units each) → Dropout(0.2) → Dense(1). Input: (24 × 15). Total trainable parameters: 206,465 (verified from PyTorch model.parameters()).</w:t>
        <w:br/>
        <w:t>GRU: 2 stacked GRU layers (128 units each) → Dropout(0.2) → Dense(1). Input: (24 × 15). Total trainable parameters: 154,881 (verified from PyTorch model.parameters()). (Fewer parameters than LSTM due to two-gate vs. three-gate architecture, contributing to lower variance and better RMSE on short horizons.)</w:t>
        <w:br/>
        <w:t>Informer Transformer: d_model = 64, n_heads = 4, e_layers = 2 (encoder), d_layers = 1 (decoder), d_ff = 256, ProbSparse attention factor = 5, Dropout = 0.2, Linear input projection (15→64). Total parameters: 223,617.</w:t>
        <w:br/>
        <w:t>All neural models: Adam optimizer (lr = 0.001, β₁ = 0.9, β₂ = 0.999; lr = 0.0001 for Informer), batch size = 64, early stopping (patience = 10 epochs, monitor = val_loss). Training was run on CPU (Intel i7-1260P, no GPU); total wall-clock time over the 24 folds was 106.6 s for the LSTM (4.4 s per fold) and 192.2 s for the GRU (8.0 s per fold).</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Layer 4 translates predictions ŷt into weekly trend signals for the 168-hour test window: st = sign(ŷt − yt−1) ∈ {+1, −1}, where +1 denotes a long position and −1 a protective/short allocation. The hourly strategy return is Rtstrategy = st · rt, where rt = ln(Pt / Pt−1) is the realized logarithmic return of BTC/USDT. Important caveat: because predictions ŷt are generated by recursive (autoregressive) unrolling from the start of each 168-hour test window, ŷt at step h carries cumulative propagation error from steps 1,...,h−1. The signal st = sign(ŷt − yt−1) therefore reflects the model's weekly directional view rather than a true one-step-ahead prediction using the actual yt−1. Consequently, the Directional Accuracy, Sharpe Ratio, and VaR reported here measure the gross utility of the model's weekly trend signal — not the performance of an hour-by-hour executable strategy. A genuine per-hour signal would require rolling one-step-ahead inference using actual observed prices at each step; this is planned as a future extension.</w:t>
      </w:r>
      <w:r>
        <w:rPr>
          <w:vertAlign w:val="superscript"/>
        </w:rPr>
      </w:r>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 xml:space="preserve">where √8760 = √(365 × 24) is the annualization factor for 8,760 continuous trading hours per year, rf = 2.0% per annum is the risk-free rate, and σRstrategy is the sample standard deviation of hourly strategy returns. VaR95% is the 5th percentile of the empirical strategy return distribution (historical simulation). The Binance fee schedule (0.10% taker / 0.02% maker) is noted as a reference, but the Sharpe Ratio and VaR reported here are computed on gross strategy returns, i.e., before fees and slippage (see Discussion). All metrics are written to the PostgreSQL Data Mart and streamed into Microsoft Power BI via DirectQuery.</w:t>
      </w:r>
    </w:p>
    <w:p w14:paraId="1069A31F" w14:textId="77777777" w:rsidR="008A78AA" w:rsidRDefault="00000000">
      <w:pPr>
        <w:pStyle w:val="Heading1"/>
      </w:pPr>
      <w:r>
        <w:t>RESULTS AND DISCUSSION</w:t>
      </w:r>
    </w:p>
    <w:p w14:paraId="3FA3A5B1"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Table I reports mean RMSE and MAE across all 24 Walk-Forward test folds (MAPE is omitted because on the fold-local normalized [0,1] scale it does not represent a meaningful percentage price error). XGBoost showed the widest error dispersion (RMSE = 0.1524 ± 0.0068), reflecting the limits of static trees in multi-step sequence forecasting. The Informer recorded an RMSE of 0.1321 ± 0.0081; its self-attention mechanism may be sensitive to high-frequency micro-volatility noise, consistent with observations in related Transformer literature [25].</w:t>
      </w:r>
    </w:p>
    <w:p w14:paraId="18273588" w14:textId="2B0A3DE1" w:rsidR="008A78AA" w:rsidRDefault="00D16FC1" w:rsidP="00662A52">
      <w:pPr>
        <w:pStyle w:val="BodyText"/>
      </w:pPr>
      <w:r>
        <w:t>Among all models, the GRU achieved the highest point-forecasting stability, with the lowest error (RMSE = 0.1058 ± 0.0034, MAE = 0.0948 ± 0.0028). A Kruskal-Wallis test rejected equal performance across architectures (H = 18.4, p &lt; 0.001), and pairwise Diebold-Mariano (DM) tests [47] (two-sided, Harvey et al. small-sample correction applied, T − 1 = 23 degrees of freedom for T = 24 folds) produced: GRU vs. XGBoost: DM = 4.21, p = 0.0003; GRU vs. Informer: DM = 2.87, p = 0.009; GRU vs. LSTM: DM = 2.14, p = 0.043. Bonferroni correction across three simultaneous comparisons (α_adj = 0.05/3 = 0.0167) leaves GRU vs. XGBoost (p = 0.0003) and GRU vs. Informer (p = 0.009) significant, whereas GRU vs. LSTM (p = 0.043 &gt; α_adj) does not survive the correction, so its advantage is directionally consistent but not formally significant. The GRU therefore significantly outperforms XGBoost and Informer on RMSE; its advantage over LSTM does not survive multiple-testing correction.</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239"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14:paraId="2DDD9C02" w14:textId="77777777" w:rsidR="008A78AA" w:rsidRDefault="00000000">
            <w:pPr>
              <w:pStyle w:val="tablecolhead"/>
              <w:spacing w:before="20" w:after="20" w:line="252" w:lineRule="auto"/>
            </w:pPr>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239"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241"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c>
          <w:tcPr>
            <w:tcW w:w="879" w:type="dxa"/>
            <w:tcMar>
              <w:top w:w="50" w:type="dxa"/>
              <w:left w:w="70" w:type="dxa"/>
              <w:bottom w:w="50" w:type="dxa"/>
              <w:right w:w="70" w:type="dxa"/>
            </w:tcMar>
            <w:vAlign w:val="center"/>
          </w:tcPr>
          <w:p w14:paraId="0DFD331D" w14:textId="77777777" w:rsidR="008A78AA" w:rsidRDefault="00000000">
            <w:pPr>
              <w:pStyle w:val="tablecopy"/>
              <w:spacing w:before="20" w:after="20" w:line="252" w:lineRule="auto"/>
              <w:jc w:val="center"/>
            </w:pPr>
            <w:r>
              <w:rPr>
                <w:sz w:val="15"/>
              </w:rPr>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239"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241"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c>
          <w:tcPr>
            <w:tcW w:w="879" w:type="dxa"/>
            <w:tcMar>
              <w:top w:w="50" w:type="dxa"/>
              <w:left w:w="70" w:type="dxa"/>
              <w:bottom w:w="50" w:type="dxa"/>
              <w:right w:w="70" w:type="dxa"/>
            </w:tcMar>
            <w:vAlign w:val="center"/>
          </w:tcPr>
          <w:p w14:paraId="301BD2B5" w14:textId="77777777" w:rsidR="008A78AA" w:rsidRDefault="00000000">
            <w:pPr>
              <w:pStyle w:val="tablecopy"/>
              <w:spacing w:before="20" w:after="20" w:line="252" w:lineRule="auto"/>
              <w:jc w:val="center"/>
            </w:pPr>
            <w:r>
              <w:rPr>
                <w:sz w:val="15"/>
              </w:rPr>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239"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241"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c>
          <w:tcPr>
            <w:tcW w:w="879" w:type="dxa"/>
            <w:tcMar>
              <w:top w:w="50" w:type="dxa"/>
              <w:left w:w="70" w:type="dxa"/>
              <w:bottom w:w="50" w:type="dxa"/>
              <w:right w:w="70" w:type="dxa"/>
            </w:tcMar>
            <w:vAlign w:val="center"/>
          </w:tcPr>
          <w:p w14:paraId="73E1A232" w14:textId="77777777" w:rsidR="008A78AA" w:rsidRDefault="00000000">
            <w:pPr>
              <w:pStyle w:val="tablecopy"/>
              <w:spacing w:before="20" w:after="20" w:line="252" w:lineRule="auto"/>
              <w:jc w:val="center"/>
            </w:pPr>
            <w:r>
              <w:rPr>
                <w:sz w:val="15"/>
              </w:rPr>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239"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241"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c>
          <w:tcPr>
            <w:tcW w:w="879" w:type="dxa"/>
            <w:tcBorders>
              <w:bottom w:val="single" w:sz="8" w:space="0" w:color="000000"/>
            </w:tcBorders>
            <w:tcMar>
              <w:top w:w="50" w:type="dxa"/>
              <w:left w:w="70" w:type="dxa"/>
              <w:bottom w:w="50" w:type="dxa"/>
              <w:right w:w="70" w:type="dxa"/>
            </w:tcMar>
            <w:vAlign w:val="center"/>
          </w:tcPr>
          <w:p w14:paraId="57EEFAD6" w14:textId="77777777" w:rsidR="008A78AA" w:rsidRDefault="00000000">
            <w:pPr>
              <w:pStyle w:val="tablecopy"/>
              <w:spacing w:before="20" w:after="20" w:line="252" w:lineRule="auto"/>
              <w:jc w:val="center"/>
            </w:pPr>
            <w:r>
              <w:rPr>
                <w:sz w:val="15"/>
              </w:rPr>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All four architectures exhibit non-Gaussian residual distributions. The GRU residual distribution (Fig. 3) computed across all 24 × 168 = 4,032 out-of-sample predictions is right-skewed (skewness ≈ +1.4), with heavier-than-normal tails; the LSTM (not shown) shows skewness ≈ +1.7, consistent with its larger RMSE. This right-skew indicates a systematic tendency to underestimate large positive price moves. Price-derived technical features are by construction lagging indicators and cannot capture abrupt regime changes driven by external macro events; this is a known structural limitation of the feature set [48]. No specific macro-shock event is identified in the residuals because no single fold precisely covers the most extreme historical events in the five-year sample.</w:t>
      </w:r>
    </w:p>
    <w:p w:rsidR="008A78AA" w:rsidRDefault="00000000">
      <w:pPr>
        <w:pStyle w:val="BodyText"/>
        <w:ind w:firstLine="0"/>
        <w:jc w:val="center"/>
      </w:pPr>
      <w:r>
        <w:rPr>
          <w:noProof/>
        </w:rPr>
        <w:drawing>
          <wp:inline distT="0" distB="0" distL="0" distR="0">
            <wp:extent cx="3108960" cy="141229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3"/>
                    <a:stretch>
                      <a:fillRect/>
                    </a:stretch>
                  </pic:blipFill>
                  <pic:spPr>
                    <a:xfrm>
                      <a:off x="0" y="0"/>
                      <a:ext cx="3108960" cy="1412299"/>
                    </a:xfrm>
                    <a:prstGeom prst="rect">
                      <a:avLst/>
                    </a:prstGeom>
                  </pic:spPr>
                </pic:pic>
              </a:graphicData>
            </a:graphic>
          </wp:inline>
        </w:drawing>
      </w:r>
    </w:p>
    <w:p w:rsidR="008A78AA" w:rsidRDefault="00D16FC1">
      <w:pPr>
        <w:pStyle w:val="figurecaption"/>
        <w:jc w:val="center"/>
      </w:pPr>
      <w:r>
        <w:t>GRU residual error distribution across all 24 Walk-Forward folds (4,032 hourly residuals combined): histogram with kernel density estimate (left) and Q-Q plot vs. standard normal (right). The distribution is right-skewed (skewness ≈ +1.4) with heavier-than-normal tails, indicating systematic underestimation of large positive price moves. Note: no specific macro-shock event (e.g., Terra-Luna, FTX) is identified in the residuals, as no single fold precisely covers those dates.</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 xml:space="preserve">Table II presents a markedly contrasting evaluation under decision-support and risk-adjusted criteria. The operational prototype was assessed on dimensions adapted from Power [9] and Sharda et al. [38]:</w:t>
      </w:r>
    </w:p>
    <w:p w14:paraId="40847D5B" w14:textId="77777777" w:rsidR="008A78AA" w:rsidRDefault="00000000">
      <w:pPr>
        <w:pStyle w:val="BodyText"/>
      </w:pPr>
      <w:r>
        <w:t xml:space="preserve">1) Functional Correctness: Inference outputs were streamed to live dashboard tiles with an average refresh latency of 1.2 s, and all 43,786 records were ingested into the PostgreSQL Data Mart with 100% integrity (row-count audits and SHA-256 checksums).</w:t>
      </w:r>
    </w:p>
    <w:p w14:paraId="35C9D4F7" w14:textId="77777777" w:rsidR="008A78AA" w:rsidRDefault="00000000">
      <w:pPr>
        <w:pStyle w:val="BodyText"/>
      </w:pPr>
      <w:r>
        <w:t xml:space="preserve">2) Numerical Stability: Dashboard-computed Sharpe Ratios and VaR(95%) matched Python ground-truth calculations (maximum deviation ≤ 0.003).</w:t>
      </w:r>
    </w:p>
    <w:p w14:paraId="1AFBD775" w14:textId="77777777" w:rsidR="00D90C4A" w:rsidRDefault="00000000" w:rsidP="00D90C4A">
      <w:pPr>
        <w:pStyle w:val="BodyText"/>
      </w:pPr>
      <w:r>
        <w:t>3) Usability Evaluation: After a 30-minute walkthrough, 15 domain evaluators (10 postgraduate informatics researchers and 5 financial analytics professionals) completed the System Usability Scale (SUS) [49]. The dashboard achieved an average SUS score of 86.4 (SD = 3.2, range: 80–92), in the 'Excellent' tier (adjective scale ≥ 85.5) [50], suggesting that evaluators could interpret the multi-model outputs after a brief walkthrough. The low SD reflects the homogeneous evaluator cohort (postgraduate informatics students and financial analytics professionals with similar BI tool exposure); full item-by-item raw scores for all 15 participants are available from the corresponding author upon request.</w:t>
      </w:r>
    </w:p>
    <w:p w14:paraId="4A85612B" w14:textId="77777777" w:rsidR="008A78AA" w:rsidRDefault="00D90C4A" w:rsidP="00D90C4A">
      <w:pPr>
        <w:pStyle w:val="BodyText"/>
      </w:pPr>
      <w:r>
        <w:t>4) Practical Implications: While GRU attained the best point RMSE, the LSTM achieved the highest Directional Accuracy (57.8% ± 2.1%) and annualized Sharpe Ratio (0.87 ± 0.12, VaR95% = −1.18% per hour), as summarized in Table II and Fig. 4, showing that directional alignment matters more than nominal point deviation for gross risk-adjusted utility at the weekly forecast horizon.</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51.4% ± 3.1%</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53.6% ± 2.8%</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57.8% ± 2.1%</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55.3% ± 2.4%</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0.31 ± 0.21</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0.54 ± 0.18</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0.87 ± 0.12</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0.72 ± 0.14</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-2.15% ± 0.41%</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-1.74% ± 0.31%</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-1.18% ± 0.15%</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-1.32% ± 0.22%</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 xml:space="preserve">The superior point-loss accuracy of the GRU (RMSE = 0.1058) stems from its compact gating structure, an effective inductive bias for short-lag micro-volatility without the over-parameterization of full self-attention. Conversely, LSTM memory-cell dynamics proved more robust in preserving macro trend directionality, translating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[13]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LR/LDA; RF, XGBoost, SVM, 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 5-min</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66% (daily); 67.2% (5-min)</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Omole &amp; Enke [32] (2024)</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Boruta + CNN–LSTM</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On-chain features</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82.44%</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Jaquart et al. [31]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LSTM, GRU ensembles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100 cryptos / Daily</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52.9 – 54.1%</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3.23 / 3.12 (net)</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55.3%</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0.72 ± 0.14</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57.8%</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0.87 ± 0.12</w:t>
            </w:r>
          </w:p>
        </w:tc>
      </w:tr>
    </w:tbl>
    <w:p w14:paraId="15FE24DE" w14:textId="77777777" w:rsidR="008A78AA" w:rsidRDefault="00120A85">
      <w:pPr>
        <w:pStyle w:val="BodyText"/>
      </w:pPr>
      <w:r>
        <w:t>Table III places our results next to figures reported in the cited studies (a dash marks a metric not reported); the comparison is indicative only, since asset universe, sampling interval, target, validation design, and cost treatment differ. The directional accuracy obtained here (55.3%–57.8%) exceeds the 52.9%–54.1% of Jaquart et al. [31], but is below the 66%–67.2% of Chen et al. [13] and the 82.44% of Omole and Enke [32]. The Sharpe Ratios here (0.72–0.87, gross of costs) are below the net-of-cost 3.23 and 3.12 of Jaquart et al. [31], so Table III does not support a claim of superior risk-adjusted performance. The GRU–LSTM ordering differs from Murray et al. [26], the weak XGBoost result contrasts with Bysik and Ślepaczuk [37], and the below-par Informer is consistent with Grądzki et al. [33]; we therefore do not claim general superiority of recurrent architectures. Peng et al. [51] address overtrading with triple-trend labeling and an attention-based CNN–LSTM. Enterprise DSS architectures can deploy GRU and LSTM in parallel: GRU for tight error bounds in stop-loss sizing, LSTM for directional trend-positioning signals.</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A known structural limitation of purely price-derived feature sets is their inability to anticipate abrupt regime changes driven by macro-sentiment contagion (e.g., exchange insolvencies, regulatory shocks, stablecoin de-pegging events). The residual right-skew observed in Fig. 3 is consistent with this limitation. Incorporating on-chain data (e.g., net exchange flows, active addresses) and NLP-derived news sentiment as auxiliary features is a key direction for improving tail-risk robustness.</w:t>
      </w:r>
    </w:p>
    <w:p>
      <w:pPr>
        <w:pStyle w:val="BodyText"/>
      </w:pPr>
      <w:r>
        <w:t xml:space="preserve">A further boundary concerns transaction costs. The Layer 4 strategy return Rt</w:t>
      </w:r>
      <w:r>
        <w:rPr>
          <w:vertAlign w:val="superscript"/>
        </w:rPr>
        <w:t xml:space="preserve">strategy</w:t>
      </w:r>
      <w:r>
        <w:t xml:space="preserve"> = st · rt contains no cost term, so the Sharpe Ratios and VaR values in Table II are gross of fees and slippage. Because the hourly sign rule can reverse position at every step, turnover can be high, and recent studies show that gross profitability on hourly Bitcoin data can vanish at fee levels comparable to the 0.10% taker fee [36], [37]; the ranking in Table II is therefore a ranking of gross directional utility. The first planned extension is a net-of-cost formulation, Rt</w:t>
      </w:r>
      <w:r>
        <w:rPr>
          <w:vertAlign w:val="superscript"/>
        </w:rPr>
        <w:t xml:space="preserve">net</w:t>
      </w:r>
      <w:r>
        <w:t xml:space="preserve"> = st · rt − c · |st − st−1|, with c the per-side cost, combined with a cost-aware execution filter [37]. Sharpe Ratio differences across models were not formally tested here and should be assessed, e.g., by bootstrap [37].</w:t>
      </w:r>
    </w:p>
    <w:p w14:paraId="7F5F7B69" w14:textId="77777777" w:rsidR="008A78AA" w:rsidRDefault="00000000">
      <w:pPr>
        <w:pStyle w:val="BodyText"/>
        <w:ind w:firstLine="0"/>
        <w:jc w:val="center"/>
      </w:pPr>
      <w:r>
        <w:rPr>
          <w:noProof/>
        </w:rPr>
        <w:drawing>
          <wp:inline distT="0" distB="0" distL="0" distR="0" wp14:anchorId="62A66FC8" wp14:editId="261B4232">
            <wp:extent cx="2651760" cy="20554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2651760" cy="2055444"/>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 per hour; gross of transaction costs). Dashed reference lines: persistence (random-walk) baseline, DA = 50.0%; buy-and-hold BTC/USDT over 4,032 test hours, Sharpe Ratio = 0.58 (Section II.B).</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BI and deep learning framework that integrates sequential predictive models into an enterprise decision-support architecture. Evaluated on 43,786 hourly BTC/USDT observations under a 24-fold chronological Walk-Forward protocol, it revealed a crucial divergence between statistical accuracy and decision utility: the GRU achieved the lowest point-forecasting error (RMSE = 0.1058 ± 0.0034; DM p_GRU-vs-XGB = 0.0003, p_GRU-vs-Informer = 0.009; Bonferroni-corrected, see Section III.A), whereas the LSTM generated the highest Directional Accuracy (57.8% ± 2.1%) and annualized Sharpe Ratio (0.87 ± 0.12, VaR95% = −1.18% per hour, before transaction costs). Usability evaluation with 15 evaluators indicated high perceived usability (SUS = 86.4).</w:t>
      </w:r>
    </w:p>
    <w:p>
      <w:pPr>
        <w:pStyle w:val="BodyText"/>
      </w:pPr>
      <w:r>
        <w:t>Future work includes: (1) net-of-cost evaluation with cost-aware execution filters and significance testing of Sharpe Ratio differences [36], [37]; (2) multi-modal sentiment and on-chain metrics [32] to address the tail-risk limitation of price-derived features; (3) multi-asset validation (e.g., ETH/USDT, BNB/USDT); and (4) benchmarking PatchTST and TimesNet under the same protocol.</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K. Mokni, G. El Montasser, A. N. Ajmi, and E. Bouri, “On the efficiency and its drivers in the cryptocurrency market: The case of Bitcoin and Ethereum,” </w:t>
      </w:r>
      <w:r>
        <w:rPr>
          <w:i/>
          <w:iCs/>
        </w:rPr>
        <w:t xml:space="preserve">Financ. Innov.</w:t>
      </w:r>
      <w:r>
        <w:t xml:space="preserve">, vol. 10, art. no. 39, 2024, doi: 10.1186/s40854-023-00566-3.</w:t>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S. K. Jena, A. K. Tiwari, B. Doğan, and S. Hammoudeh, “Are the top six cryptocurrencies efficient? Evidence from time-varying long memory,” </w:t>
      </w:r>
      <w:r>
        <w:rPr>
          <w:i/>
          <w:iCs/>
        </w:rPr>
        <w:t xml:space="preserve">Int. J. Finance Econ.</w:t>
      </w:r>
      <w:r>
        <w:t xml:space="preserve">, vol. 27, no. 3, pp. 3730–3740, 2022, doi: 10.1002/ijfe.2347.</w:t>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N. Gradojevic, D. Kukolj, R. Adcock, and V. Djakovic, “Forecasting Bitcoin with technical analysis: A not-so-random forest?” </w:t>
      </w:r>
      <w:r>
        <w:rPr>
          <w:i/>
          <w:iCs/>
        </w:rPr>
        <w:t xml:space="preserve">Int. J. Forecast.</w:t>
      </w:r>
      <w:r>
        <w:t xml:space="preserve">, vol. 39, no. 1, pp. 1–17, 2023, doi: 10.1016/j.ijforecast.2021.08.001.</w:t>
      </w:r>
    </w:p>
    <w:p w14:paraId="1A9C6F94" w14:textId="77777777" w:rsidR="008A78AA" w:rsidRDefault="00000000">
      <w:pPr>
        <w:pStyle w:val="references"/>
      </w:pPr>
      <w:r>
        <w:t xml:space="preserve">R. C. Cavalcante et al., “Computational Intelligence and Financial Markets: A Survey and Future Directions,” </w:t>
      </w:r>
      <w:r>
        <w:rPr>
          <w:i/>
          <w:iCs/>
        </w:rPr>
        <w:t xml:space="preserve">Expert Syst. Appl.</w:t>
      </w:r>
      <w:r>
        <w:t xml:space="preserve">, vol. 55, pp. 194–211, 2016, doi: 10.1016/j.eswa.2016.02.006.</w:t>
      </w:r>
    </w:p>
    <w:p w14:paraId="7E7138E2" w14:textId="77777777" w:rsidR="008A78AA" w:rsidRDefault="00000000">
      <w:pPr>
        <w:pStyle w:val="references"/>
      </w:pPr>
      <w:r>
        <w:t xml:space="preserve">G. Leitch and J. E. Tanner, “Economic forecast evaluation: Profits versus the conventional error measures,” </w:t>
      </w:r>
      <w:r>
        <w:rPr>
          <w:i/>
          <w:iCs/>
        </w:rPr>
        <w:t>Amer. Econ. Rev.</w:t>
      </w:r>
      <w:r>
        <w:t xml:space="preserve">, vol. 81, no. 3, pp. 580–590, 1991.</w:t>
      </w:r>
    </w:p>
    <w:p w14:paraId="58A0382D"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doi: 10.17705/1CAIS.01313.</w:t>
      </w:r>
    </w:p>
    <w:p w14:paraId="1597FCC7" w14:textId="77777777" w:rsidR="008A78AA" w:rsidRDefault="00000000">
      <w:pPr>
        <w:pStyle w:val="references"/>
      </w:pPr>
      <w:r>
        <w:t xml:space="preserve">H. Chen, R. H. L. Chiang, and V. C. Storey, “Business intelligence and analytics: From big data to big impact,” </w:t>
      </w:r>
      <w:r>
        <w:rPr>
          <w:i/>
          <w:iCs/>
        </w:rPr>
        <w:t>MIS Q.</w:t>
      </w:r>
      <w:r>
        <w:t xml:space="preserve">, vol. 36, no. 4, pp. 1165–1188, 2012, doi: 10.2307/41703503.</w:t>
      </w:r>
    </w:p>
    <w:p w14:paraId="02C91D63"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vol. 259, no. 2, pp. 689–702, 2017, doi: 10.1016/j.ejor.2016.10.031.</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Z. Chen, C. Li, and W. Sun, “Bitcoin price prediction using machine learning: An approach to sample dimension engineering,” </w:t>
      </w:r>
      <w:r>
        <w:rPr>
          <w:i/>
          <w:iCs/>
        </w:rPr>
        <w:t>J. Comput. Appl. Math.</w:t>
      </w:r>
      <w:r>
        <w:t xml:space="preserve">, vol. 365, art. no. 112395, 2020, doi: 10.1016/j.cam.2019.112395.</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P. L. Seabe, C. R. B. Moutsinga, and E. Pindza, “Forecasting cryptocurrency prices using LSTM, GRU, and bi-directional LSTM: A deep learning approach,” </w:t>
      </w:r>
      <w:r>
        <w:rPr>
          <w:i/>
          <w:iCs/>
        </w:rPr>
        <w:t xml:space="preserve">Fractal Fract.</w:t>
      </w:r>
      <w:r>
        <w:t xml:space="preserve">, vol. 7, no. 2, art. no. 203, 2023, doi: 10.3390/fractalfract7020203.</w:t>
      </w:r>
    </w:p>
    <w:p w14:paraId="7C6B3E4B" w14:textId="77777777" w:rsidR="008A78AA" w:rsidRDefault="00000000">
      <w:pPr>
        <w:pStyle w:val="references"/>
      </w:pPr>
      <w:r>
        <w:t xml:space="preserve">K. Greff, R. K. Srivastava, J. Koutník, B. R. Steunebrink, and J. Schmidhuber,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N. H. Nguyen, P. Sinthong, and J. Kalagnanam,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T. Hu, Y. Liu, H. Zhou, J. Wang, and M. Long,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R. Hasanli and M. Dursun, “A novel hybrid Transformer-based deep learning approach for multi-step Bitcoin price forecasting,” </w:t>
      </w:r>
      <w:r>
        <w:rPr>
          <w:i/>
          <w:iCs/>
        </w:rPr>
        <w:t xml:space="preserve">Eng. Technol. Appl. Sci. Res.</w:t>
      </w:r>
      <w:r>
        <w:t xml:space="preserve">, vol. 16, no. 1, pp. 32524–32533, 2026, doi: 10.48084/etasr.16684.</w:t>
      </w:r>
    </w:p>
    <w:p w14:paraId="76F16FCF" w14:textId="77777777" w:rsidR="008A78AA" w:rsidRDefault="00000000">
      <w:pPr>
        <w:pStyle w:val="references"/>
      </w:pPr>
      <w:r>
        <w:t xml:space="preserve">G. Zerveas, S. Jayaraman, D. Patel, A. Bhamidipaty, and C. Eickhoff, “A Transformer-based Framework for Multivariate Time Series Representation Learning,” in </w:t>
      </w:r>
      <w:r>
        <w:rPr>
          <w:i/>
          <w:iCs/>
        </w:rPr>
        <w:t xml:space="preserve">Proc. 27th ACM SIGKDD Conf. Knowl. Discov. Data Min. (KDD)</w:t>
      </w:r>
      <w:r>
        <w:t>, Virtual, 2021, pp. 2114–2124, doi: 10.1145/3447548.3467401.</w:t>
      </w:r>
    </w:p>
    <w:p>
      <w:pPr>
        <w:pStyle w:val="references"/>
      </w:pPr>
      <w:r>
        <w:t xml:space="preserve">K. Murray, A. Rossi, D. Carraro, and A. Visentin, “On forecasting cryptocurrency prices: A comparison of machine learning, deep learning, and ensembles,” </w:t>
      </w:r>
      <w:r>
        <w:rPr>
          <w:i/>
          <w:iCs/>
        </w:rPr>
        <w:t xml:space="preserve">Forecasting</w:t>
      </w:r>
      <w:r>
        <w:t xml:space="preserve">, vol. 5, no. 1, pp. 196–209, 2023, doi: 10.3390/forecast5010010.</w:t>
      </w:r>
    </w:p>
    <w:p>
      <w:pPr>
        <w:pStyle w:val="references"/>
      </w:pPr>
      <w:r>
        <w:t xml:space="preserve">A. Bouteska, M. Z. Abedin, P. Hajek, and K. Yuan, “Cryptocurrency price forecasting – A comparative analysis of ensemble learning and deep learning methods,” </w:t>
      </w:r>
      <w:r>
        <w:rPr>
          <w:i/>
          <w:iCs/>
        </w:rPr>
        <w:t xml:space="preserve">Int. Rev. Financ. Anal.</w:t>
      </w:r>
      <w:r>
        <w:t xml:space="preserve">, vol. 92, art. no. 103055, 2024, doi: 10.1016/j.irfa.2023.103055.</w:t>
      </w:r>
    </w:p>
    <w:p>
      <w:pPr>
        <w:pStyle w:val="references"/>
      </w:pPr>
      <w:r>
        <w:t xml:space="preserve">A. A. Oyedele, A. O. Ajayi, L. O. Oyedele, S. A. Bello, and K. O. Jimoh, “Performance evaluation of deep learning and boosted trees for cryptocurrency closing price prediction,” </w:t>
      </w:r>
      <w:r>
        <w:rPr>
          <w:i/>
          <w:iCs/>
        </w:rPr>
        <w:t xml:space="preserve">Expert Syst. Appl.</w:t>
      </w:r>
      <w:r>
        <w:t xml:space="preserve">, vol. 213, art. no. 119233, 2023, doi: 10.1016/j.eswa.2022.119233.</w:t>
      </w:r>
    </w:p>
    <w:p>
      <w:pPr>
        <w:pStyle w:val="references"/>
      </w:pPr>
      <w:r>
        <w:t xml:space="preserve">D. L. John, S. Binnewies, and B. Stantic, “Cryptocurrency price prediction algorithms: A survey and future directions,” </w:t>
      </w:r>
      <w:r>
        <w:rPr>
          <w:i/>
          <w:iCs/>
        </w:rPr>
        <w:t xml:space="preserve">Forecasting</w:t>
      </w:r>
      <w:r>
        <w:t xml:space="preserve">, vol. 6, no. 3, art. no. 34, 2024, doi: 10.3390/forecast6030034.</w:t>
      </w:r>
    </w:p>
    <w:p>
      <w:pPr>
        <w:pStyle w:val="references"/>
      </w:pPr>
      <w:r>
        <w:t xml:space="preserve">S. Otabek and J. Choi, “From prediction to profit: A comprehensive review of cryptocurrency trading strategies and price forecasting techniques,” </w:t>
      </w:r>
      <w:r>
        <w:rPr>
          <w:i/>
          <w:iCs/>
        </w:rPr>
        <w:t xml:space="preserve">IEEE Access</w:t>
      </w:r>
      <w:r>
        <w:t xml:space="preserve">, vol. 12, pp. 87039–87064, 2024, doi: 10.1109/ACCESS.2024.3417449.</w:t>
      </w:r>
    </w:p>
    <w:p>
      <w:pPr>
        <w:pStyle w:val="references"/>
      </w:pPr>
      <w:r>
        <w:t xml:space="preserve">P. Jaquart, S. Köpke, and C. Weinhardt, “Machine learning for cryptocurrency market prediction and trading,” </w:t>
      </w:r>
      <w:r>
        <w:rPr>
          <w:i/>
          <w:iCs/>
        </w:rPr>
        <w:t xml:space="preserve">J. Finance Data Sci.</w:t>
      </w:r>
      <w:r>
        <w:t xml:space="preserve">, vol. 8, pp. 331–352, 2022, doi: 10.1016/j.jfds.2022.12.001.</w:t>
      </w:r>
    </w:p>
    <w:p>
      <w:pPr>
        <w:pStyle w:val="references"/>
      </w:pPr>
      <w:r>
        <w:t xml:space="preserve">O. Omole and D. Enke, “Deep learning for Bitcoin price direction prediction: Models and trading strategies empirically compared,” </w:t>
      </w:r>
      <w:r>
        <w:rPr>
          <w:i/>
          <w:iCs/>
        </w:rPr>
        <w:t xml:space="preserve">Financ. Innov.</w:t>
      </w:r>
      <w:r>
        <w:t xml:space="preserve">, vol. 10, art. no. 117, 2024, doi: 10.1186/s40854-024-00643-1.</w:t>
      </w:r>
    </w:p>
    <w:p>
      <w:pPr>
        <w:pStyle w:val="references"/>
      </w:pPr>
      <w:r>
        <w:t xml:space="preserve">P. Grądzki, P. Wójcik, and S. Lessmann, “Algorithmic crypto trading using information-driven bars, triple barrier labeling and deep learning,” </w:t>
      </w:r>
      <w:r>
        <w:rPr>
          <w:i/>
          <w:iCs/>
        </w:rPr>
        <w:t xml:space="preserve">Financ. Innov.</w:t>
      </w:r>
      <w:r>
        <w:t xml:space="preserve">, vol. 11, art. no. 136, 2025, doi: 10.1186/s40854-025-00866-w.</w:t>
      </w:r>
    </w:p>
    <w:p w:rsidR="008A78AA" w:rsidRDefault="00000000">
      <w:pPr>
        <w:pStyle w:val="references"/>
      </w:pPr>
      <w:r>
        <w:t xml:space="preserve">L. Guo, B. Sang, J. Tu, and Y. Wang, “Cross-cryptocurrency return predictability,” </w:t>
      </w:r>
      <w:r>
        <w:rPr>
          <w:i/>
          <w:iCs/>
        </w:rPr>
        <w:t xml:space="preserve">J. Econ. Dyn. Control</w:t>
      </w:r>
      <w:r>
        <w:t xml:space="preserve">, vol. 163, art. no. 104863, 2024, doi: 10.1016/j.jedc.2024.104863.</w:t>
      </w:r>
    </w:p>
    <w:p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 xml:space="preserve">FinTech</w:t>
      </w:r>
      <w:r>
        <w:t xml:space="preserve">, vol. 4, no. 4, art. no. 77, 2025, doi: 10.3390/fintech4040077.</w:t>
      </w:r>
    </w:p>
    <w:p>
      <w:pPr>
        <w:pStyle w:val="references"/>
      </w:pPr>
      <w:r>
        <w:t xml:space="preserve">P. Sobreiro, D. Martinho, R. Martins, and R. Vardasca, “Multi-timeframe feature engineering for Bitcoin market prediction: A price-level-agnostic machine learning approach,” </w:t>
      </w:r>
      <w:r>
        <w:rPr>
          <w:i/>
          <w:iCs/>
        </w:rPr>
        <w:t xml:space="preserve">Forecasting</w:t>
      </w:r>
      <w:r>
        <w:t xml:space="preserve">, vol. 8, no. 3, art. no. 40, 2026, doi: 10.3390/forecast8030040.</w:t>
      </w:r>
    </w:p>
    <w:p>
      <w:pPr>
        <w:pStyle w:val="references"/>
      </w:pPr>
      <w:r>
        <w:t xml:space="preserve">A. Bysik and R. Ślepaczuk, “Machine learning-based Bitcoin trading under transaction costs: Evidence from walk-forward forecasting,” arXiv preprint arXiv:2606.00060, 2026.</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G. Appel, </w:t>
      </w:r>
      <w:r>
        <w:rPr>
          <w:i/>
          <w:iCs/>
        </w:rPr>
        <w:t xml:space="preserve">Technical Analysis: Power Tools for Active Investors</w:t>
      </w:r>
      <w:r>
        <w:t xml:space="preserve">. Upper Saddle River, NJ, USA: Financial Times Prentice Hall, 2005.</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A. Briola, D. Vidal-Tomás, Y. Wang, and T. Aste, “Anatomy of a stablecoin’s failure: The Terra-Luna case,” </w:t>
      </w:r>
      <w:r>
        <w:rPr>
          <w:i/>
          <w:iCs/>
        </w:rPr>
        <w:t xml:space="preserve">Finance Res. Lett.</w:t>
      </w:r>
      <w:r>
        <w:t xml:space="preserve">, vol. 51, art. no. 103358, 2023, doi: 10.1016/j.frl.2022.103358.</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pPr>
        <w:pStyle w:val="references"/>
      </w:pPr>
      <w:r>
        <w:t xml:space="preserve">P. Peng, Y. Chen, W. Lin, and J. Z. Wang, “Attention-based CNN-LSTM for high-frequency multiple cryptocurrency trend prediction,” </w:t>
      </w:r>
      <w:r>
        <w:rPr>
          <w:i/>
          <w:iCs/>
        </w:rPr>
        <w:t xml:space="preserve">Expert Syst. Appl.</w:t>
      </w:r>
      <w:r>
        <w:t xml:space="preserve">, vol. 237, art. no. 121520, 2024, doi: 10.1016/j.eswa.2023.121520.</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979-8-3315-XXXX-X/26/$31.00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