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C6D588" w14:textId="77777777" w:rsidR="008A78AA" w:rsidRDefault="00000000">
      <w:pPr>
        <w:pStyle w:val="papertitle"/>
        <w:spacing w:beforeAutospacing="1" w:afterAutospacing="1"/>
        <w:rPr>
          <w:kern w:val="2"/>
        </w:rPr>
      </w:pPr>
      <w:r>
        <w:t>A Deep Learning Architecture for Cryptocurrency Price Forecasting Utilizing Business Intelligence</w:t>
      </w:r>
    </w:p>
    <w:p w14:paraId="54FAABAE" w14:textId="77777777" w:rsidR="008A78AA" w:rsidRDefault="008A78AA">
      <w:pPr>
        <w:pStyle w:val="Author"/>
        <w:spacing w:beforeAutospacing="1" w:afterAutospacing="1" w:line="120" w:lineRule="auto"/>
        <w:rPr>
          <w:sz w:val="16"/>
          <w:szCs w:val="16"/>
        </w:rPr>
      </w:pPr>
    </w:p>
    <w:p w14:paraId="2F9913EB" w14:textId="77777777" w:rsidR="008A78AA" w:rsidRDefault="008A78AA">
      <w:pPr>
        <w:sectPr w:rsidR="008A78AA">
          <w:footerReference w:type="even" r:id="rId8"/>
          <w:footerReference w:type="default" r:id="rId9"/>
          <w:footerReference w:type="first" r:id="rId10"/>
          <w:pgSz w:w="11906" w:h="16838"/>
          <w:pgMar w:top="540" w:right="893" w:bottom="1440" w:left="893" w:header="0" w:footer="720" w:gutter="0"/>
          <w:cols w:space="720"/>
          <w:formProt w:val="0"/>
          <w:titlePg/>
          <w:docGrid w:linePitch="360" w:charSpace="8192"/>
        </w:sectPr>
      </w:pPr>
    </w:p>
    <w:p w14:paraId="1E9DF2D1" w14:textId="77777777" w:rsidR="008A78AA" w:rsidRDefault="00000000">
      <w:pPr>
        <w:pStyle w:val="Author"/>
        <w:spacing w:before="0" w:after="0"/>
        <w:rPr>
          <w:i/>
          <w:sz w:val="18"/>
          <w:szCs w:val="18"/>
        </w:rPr>
      </w:pPr>
      <w:r>
        <w:rPr>
          <w:sz w:val="18"/>
          <w:szCs w:val="18"/>
        </w:rPr>
        <w:t>1</w:t>
      </w:r>
      <w:r>
        <w:rPr>
          <w:sz w:val="18"/>
          <w:szCs w:val="18"/>
          <w:vertAlign w:val="superscript"/>
        </w:rPr>
        <w:t>st</w:t>
      </w:r>
      <w:r>
        <w:rPr>
          <w:sz w:val="18"/>
          <w:szCs w:val="18"/>
        </w:rPr>
        <w:t xml:space="preserve"> Asep Surahman Sulaeman </w:t>
        <w:br/>
      </w:r>
      <w:r>
        <w:rPr>
          <w:i/>
          <w:sz w:val="18"/>
          <w:szCs w:val="18"/>
        </w:rPr>
        <w:t>Master of Informatics, Faculty of Engineering, Computer, and Design</w:t>
      </w:r>
      <w:r>
        <w:rPr>
          <w:sz w:val="18"/>
          <w:szCs w:val="18"/>
        </w:rPr>
        <w:br/>
      </w:r>
      <w:r>
        <w:rPr>
          <w:i/>
          <w:sz w:val="18"/>
          <w:szCs w:val="18"/>
        </w:rPr>
        <w:t xml:space="preserve">Nusa Putra University </w:t>
        <w:br/>
      </w:r>
      <w:r>
        <w:rPr>
          <w:sz w:val="18"/>
          <w:szCs w:val="18"/>
        </w:rPr>
        <w:t>Sukabumi, Indonesia</w:t>
        <w:br/>
        <w:t>asep.surahman@nusaputra.ac.id</w:t>
      </w:r>
    </w:p>
    <w:p w14:paraId="2C790A9A" w14:textId="77777777" w:rsidR="008A78AA" w:rsidRDefault="00000000">
      <w:pPr>
        <w:pStyle w:val="Author"/>
        <w:spacing w:before="0" w:after="0"/>
        <w:rPr>
          <w:sz w:val="18"/>
          <w:szCs w:val="18"/>
        </w:rPr>
      </w:pPr>
      <w:r>
        <w:br w:type="column"/>
      </w:r>
      <w:r>
        <w:rPr>
          <w:sz w:val="18"/>
          <w:szCs w:val="18"/>
        </w:rPr>
        <w:t>2</w:t>
      </w:r>
      <w:r>
        <w:rPr>
          <w:sz w:val="18"/>
          <w:szCs w:val="18"/>
          <w:vertAlign w:val="superscript"/>
        </w:rPr>
        <w:t>nd</w:t>
      </w:r>
      <w:r>
        <w:rPr>
          <w:sz w:val="18"/>
          <w:szCs w:val="18"/>
        </w:rPr>
        <w:t xml:space="preserve"> Deden Witarsyah</w:t>
        <w:br/>
      </w:r>
      <w:r>
        <w:rPr>
          <w:i/>
          <w:sz w:val="18"/>
          <w:szCs w:val="18"/>
        </w:rPr>
        <w:t>Master of Informatics, Faculty of Engineering, Computer, and Design</w:t>
      </w:r>
      <w:r>
        <w:rPr>
          <w:sz w:val="18"/>
          <w:szCs w:val="18"/>
        </w:rPr>
        <w:br/>
      </w:r>
      <w:r>
        <w:rPr>
          <w:i/>
          <w:sz w:val="18"/>
          <w:szCs w:val="18"/>
        </w:rPr>
        <w:t xml:space="preserve">Nusa Putra University </w:t>
        <w:br/>
      </w:r>
      <w:r>
        <w:rPr>
          <w:sz w:val="18"/>
          <w:szCs w:val="18"/>
        </w:rPr>
        <w:t>Sukabumi, Indonesia</w:t>
        <w:br/>
        <w:t>deden.witarsyah@nusaputra.ac.id</w:t>
      </w:r>
    </w:p>
    <w:p w14:paraId="3A988525" w14:textId="77777777" w:rsidR="008A78AA" w:rsidRDefault="00000000">
      <w:pPr>
        <w:pStyle w:val="Author"/>
        <w:spacing w:before="0" w:after="0"/>
        <w:rPr>
          <w:sz w:val="18"/>
          <w:szCs w:val="18"/>
        </w:rPr>
      </w:pPr>
      <w:r>
        <w:br w:type="column"/>
      </w:r>
      <w:r>
        <w:rPr>
          <w:sz w:val="18"/>
          <w:szCs w:val="18"/>
        </w:rPr>
        <w:t>3</w:t>
      </w:r>
      <w:r>
        <w:rPr>
          <w:sz w:val="18"/>
          <w:szCs w:val="18"/>
          <w:vertAlign w:val="superscript"/>
        </w:rPr>
        <w:t>rd</w:t>
      </w:r>
      <w:r>
        <w:rPr>
          <w:sz w:val="18"/>
          <w:szCs w:val="18"/>
        </w:rPr>
        <w:t xml:space="preserve"> Aswan Supriyadi Sunge</w:t>
        <w:br/>
      </w:r>
      <w:r>
        <w:rPr>
          <w:i/>
          <w:sz w:val="18"/>
          <w:szCs w:val="18"/>
        </w:rPr>
        <w:t>Department of Informatics Engineering, Faculty of Engineering,</w:t>
      </w:r>
      <w:r>
        <w:rPr>
          <w:sz w:val="18"/>
          <w:szCs w:val="18"/>
        </w:rPr>
        <w:br/>
      </w:r>
      <w:r>
        <w:rPr>
          <w:i/>
          <w:sz w:val="18"/>
          <w:szCs w:val="18"/>
        </w:rPr>
        <w:t>Pelita Bangsa University</w:t>
        <w:br/>
      </w:r>
      <w:r>
        <w:rPr>
          <w:sz w:val="18"/>
          <w:szCs w:val="18"/>
        </w:rPr>
        <w:t>Bekasi, Indonesia</w:t>
        <w:br/>
        <w:t>aswan.sunge@pelitabangsa.ac.id</w:t>
      </w:r>
    </w:p>
    <w:p w14:paraId="0838B60F" w14:textId="77777777" w:rsidR="008A78AA" w:rsidRDefault="008A78AA">
      <w:pPr>
        <w:sectPr w:rsidR="008A78AA">
          <w:type w:val="continuous"/>
          <w:pgSz w:w="11906" w:h="16838"/>
          <w:pgMar w:top="540" w:right="893" w:bottom="1440" w:left="893" w:header="0" w:footer="720" w:gutter="0"/>
          <w:cols w:num="3" w:space="720"/>
          <w:formProt w:val="0"/>
          <w:titlePg/>
          <w:docGrid w:linePitch="360" w:charSpace="8192"/>
        </w:sectPr>
      </w:pPr>
    </w:p>
    <w:p w14:paraId="02AD1A38" w14:textId="77777777" w:rsidR="008A78AA" w:rsidRDefault="008A78AA"/>
    <w:p w14:paraId="45D395BC" w14:textId="77777777" w:rsidR="008A78AA" w:rsidRDefault="00000000">
      <w:r>
        <w:br w:type="column"/>
      </w:r>
    </w:p>
    <w:p w14:paraId="61241A66" w14:textId="77777777" w:rsidR="008A78AA" w:rsidRDefault="008A78AA">
      <w:pPr>
        <w:sectPr w:rsidR="008A78AA">
          <w:type w:val="continuous"/>
          <w:pgSz w:w="11906" w:h="16838"/>
          <w:pgMar w:top="540" w:right="893" w:bottom="1440" w:left="893" w:header="0" w:footer="720" w:gutter="0"/>
          <w:cols w:num="3" w:space="720"/>
          <w:formProt w:val="0"/>
          <w:titlePg/>
          <w:docGrid w:linePitch="360" w:charSpace="8192"/>
        </w:sectPr>
      </w:pPr>
    </w:p>
    <w:p w14:paraId="4115A860" w14:textId="7B806A82" w:rsidR="008A78AA" w:rsidRDefault="00000000">
      <w:pPr>
        <w:pStyle w:val="Abstract"/>
      </w:pPr>
      <w:r>
        <w:t>Abstract — Forecasting cryptocurrency prices in operational financial environments is challenged by severe non-stationarity, regime switching, and extreme volatility cascades. This paper develops a modular four-layer Business Intelligence and Machine Learning (BI-ML) framework that integrates sequential predictive models into an enterprise decision-support architecture, evaluating out-of-sample forecasts through financial utility metrics including the Sharpe Ratio and Value-at-Risk (VaR). Four model topologies, Extreme Gradient Boosting (XGBoost), Long Short-Term Memory (LSTM), Gated Recurrent Unit (GRU), and the Informer Transformer, were evaluated under a 24-fold chronological Walk-Forward Validation protocol using 43,786 hourly BTC/USDT candlestick observations from March 2021 to March 2026. In point-forecasting accuracy, the GRU achieved the lowest error (RMSE = 0.1058 ± 0.0034; DM p_GRU-vs-XGB = 0.0003, p_GRU-vs-Informer = 0.009; Bonferroni-corrected, see Section III.A). Within the BI decision engine, however, the LSTM achieved the highest Directional Accuracy (57.8% ± 2.1%) and annualized Sharpe Ratio (0.87 ± 0.12, VaR95% = −1.18% per hour; both before transaction costs and evaluated on weekly-trend recursive signals, not hour-by-hour executable trades), showing that loss metrics such as RMSE fail to indicate gross directional utility. Usability evaluation of the Power BI prototype yielded a System Usability Scale (SUS) score of 86.4 (SD = 3.2), indicating that the 15 evaluators could operate and interpret the multi-model dashboard.</w:t>
      </w:r>
    </w:p>
    <w:p w14:paraId="76E9453C" w14:textId="748B06AE" w:rsidR="008A78AA" w:rsidRDefault="00000000">
      <w:pPr>
        <w:pStyle w:val="Keywords"/>
      </w:pPr>
      <w:r>
        <w:t xml:space="preserve">Keywords Financial Informatics, Business Intelligence, Deep Learning, XGBoost, LSTM, GRU, Informer Transformer, Decision Support System, Risk Management.</w:t>
      </w:r>
    </w:p>
    <w:p w14:paraId="6E12113F" w14:textId="77777777" w:rsidR="008A78AA" w:rsidRDefault="008A78AA">
      <w:pPr>
        <w:pStyle w:val="Keywords"/>
      </w:pPr>
    </w:p>
    <w:p w14:paraId="462C80DE" w14:textId="77777777" w:rsidR="008A78AA" w:rsidRDefault="00000000">
      <w:pPr>
        <w:pStyle w:val="Heading1"/>
      </w:pPr>
      <w:r>
        <w:t>Introduction</w:t>
      </w:r>
    </w:p>
    <w:p w14:paraId="34589C8A" w14:textId="632C5776" w:rsidR="008A78AA" w:rsidRDefault="00000000">
      <w:pPr>
        <w:pStyle w:val="BodyText"/>
      </w:pPr>
      <w:r>
        <w:t xml:space="preserve">Cryptocurrency markets exhibit extreme non-stationarity, regime shifts, and volatility cascades that frequently invalidate the assumptions of conventional econometric models [1], [2]. Classical techniques such as Autoregressive Integrated Moving Average (ARIMA) presuppose covariance stationarity and linear autocorrelation, properties routinely violated by cryptocurrency returns, which display time-varying long memory and efficiency [3], [4]. Consequently, deep neural networks and tree-based ensembles have emerged as prominent paradigms, as they map nonlinear sequential representations directly from multi-feature inputs [5], [6].</w:t>
      </w:r>
    </w:p>
    <w:p w14:paraId="467A3672" w14:textId="36BEA800" w:rsidR="008A78AA" w:rsidRDefault="00712C53">
      <w:pPr>
        <w:pStyle w:val="BodyText"/>
      </w:pPr>
      <w:r>
        <w:t xml:space="preserve">Despite advances in forecasting algorithms, existing studies overwhelmingly benchmark models using statistical error metrics such as Root Mean Squared Error (RMSE) or Mean Absolute Error (MAE) in isolated laboratory settings. For portfolio managers and risk governance committees, however, a minimal RMSE does not guarantee risk-adjusted profitability [7], [8]; directional accuracy, drawdown, and risk-adjusted return under real trading constraints remain unanswered by error metrics alone [9]. A disconnect therefore exists between predictive accuracy benchmarks and the requirements of enterprise Business Intelligence (BI) platforms [10].</w:t>
      </w:r>
    </w:p>
    <w:p w14:paraId="598784DC" w14:textId="77777777" w:rsidR="008A78AA" w:rsidRDefault="001F2CB9">
      <w:pPr>
        <w:pStyle w:val="BodyText"/>
      </w:pPr>
      <w:r>
        <w:t xml:space="preserve">To bridge this divide, this study develops an end-to-end BI-ML framework integrating multi-model forecasting, leakage-free chronological Walk-Forward Validation, a PostgreSQL Data Mart, and an interactive Microsoft Power BI dashboard operating in near real-time. Four algorithmic families are benchmarked on five years of hourly BTC/USDT spot data under identical conditions: XGBoost (tree ensemble), LSTM and GRU (gated recurrent networks), and the Informer Transformer (sparse self-attention). By mapping point predictions into trading signals, annualized Sharpe Ratios, and Value-at-Risk (VaR) thresholds, the framework bridges statistical modeling and enterprise financial decision governance.</w:t>
      </w:r>
    </w:p>
    <w:p w14:paraId="3F00D6C5" w14:textId="77777777" w:rsidR="008A78AA" w:rsidRDefault="00000000">
      <w:pPr>
        <w:pStyle w:val="Heading2"/>
      </w:pPr>
      <w:r>
        <w:t>Baselines and Deep Sequences (RNNs)</w:t>
      </w:r>
    </w:p>
    <w:p w14:paraId="1E3C1E28" w14:textId="77777777" w:rsidR="008A78AA" w:rsidRDefault="00712C53">
      <w:pPr>
        <w:pStyle w:val="BodyText"/>
      </w:pPr>
      <w:r>
        <w:t xml:space="preserve">Tree-based ensembles are the established standard for tabular features, and Extreme Gradient Boosting (XGBoost) mitigates variance through regularized boosting [11], [12]. However, decision trees do not inherently model recurrent temporal transitions, and Chen et al. [13] found that the relative merit of statistical, tree-based, and LSTM models for Bitcoin depends strongly on sampling frequency.</w:t>
      </w:r>
    </w:p>
    <w:p w14:paraId="035DAF2A" w14:textId="77777777" w:rsidR="008A78AA" w:rsidRDefault="00712C53">
      <w:pPr>
        <w:pStyle w:val="BodyText"/>
      </w:pPr>
      <w:r>
        <w:t xml:space="preserve">To capture multi-scale temporal dependencies, the Long Short-Term Memory (LSTM) network [14], extended with forget gates [15], regulates gradient flow through input, forget, and output gates and mitigates vanishing gradients. The Gated Recurrent Unit (GRU) [16] merges the forget and input gates into a single update gate, retaining comparable memory at lower computational cost. Both remain essential benchmarks in cryptocurrency forecasting [17], [18].</w:t>
      </w:r>
    </w:p>
    <w:p w14:paraId="3C158E70" w14:textId="77777777" w:rsidR="008A78AA" w:rsidRDefault="00000000">
      <w:pPr>
        <w:pStyle w:val="Heading2"/>
      </w:pPr>
      <w:r>
        <w:lastRenderedPageBreak/>
        <w:t>Transformers in Time Series</w:t>
      </w:r>
    </w:p>
    <w:p w14:paraId="220630A9" w14:textId="6C380D3E" w:rsidR="008A78AA" w:rsidRDefault="00000000">
      <w:pPr>
        <w:pStyle w:val="BodyText"/>
      </w:pPr>
      <w:r>
        <w:t>Attention-based Transformers [19] have succeeded across sequential domains [20]. For long-sequence forecasting, the Informer [21] introduced ProbSparse self-attention, reducing complexity from O(L²) to O(L log L). Newer derivatives such as PatchTST [22] and TimesNet [23] continue to emerge, but the Informer remains an established attention baseline, and Transformer hybrids are increasingly benchmarked against recurrent models on Bitcoin [24]. Zerveas et al. [25] proposed a Transformer-based framework for multivariate time-series representation learning via masked self-supervised pre-training and reported improvements over supervised-only baselines. In this study, the Informer operates in a purely supervised, fixed-length 24-step input regime without any pre-training stage; this difference in setting may partly explain its higher RMSE relative to the recurrent models.</w:t>
      </w:r>
    </w:p>
    <w:p>
      <w:pPr>
        <w:pStyle w:val="Heading2"/>
      </w:pPr>
      <w:r>
        <w:t xml:space="preserve">Recent Empirical Evidence and Positioning of This Study</w:t>
      </w:r>
    </w:p>
    <w:p>
      <w:pPr>
        <w:pStyle w:val="BodyText"/>
      </w:pPr>
      <w:r>
        <w:t xml:space="preserve">Recent comparative studies have broadened the set of evaluated models. Murray et al. [26] benchmarked statistical, machine-learning, deep-learning, and ensemble predictors on five cryptocurrencies and found deep models, particularly the LSTM, most accurate in RMSE and MAE. Bouteska et al. [27] and Oyedele et al. [28] compared ensemble, boosted-tree, and deep-learning forecasters on multiple assets, the latter finding a CNN most reliable when training data were limited. Surveys identify Transformers and hybrid deep models as emerging directions [29], yet few studies explicitly relate price forecasts to trading outcomes [30].</w:t>
      </w:r>
    </w:p>
    <w:p>
      <w:pPr>
        <w:pStyle w:val="BodyText"/>
      </w:pPr>
      <w:r>
        <w:t>A second line of work evaluates forecasts through trading performance. Jaquart et al. [31] report annualized out-of-sample Sharpe ratios of about 3.2 and 3.1 after costs for daily LSTM and GRU long-short portfolios on the 100 largest cryptocurrencies, and Omole and Enke [32] backtest three strategies built on CNN-LSTM direction forecasts. Grądzki et al. [33] argue that next-bar prediction on fixed-interval bars induces excessive trading and that CUSUM-filtered sampling with triple-barrier labels stays profitable after costs, while Guo et al. [34] and Hasanli and Dursun [35] document cross-coin return predictability and XGBoost Sharpe ratios of 1.78 for Bitcoin, respectively. Evidence at hourly frequency is more cautious: Gradojevic et al. [6] find Bitcoin weakly efficient at the hourly frequency, while random-forest models built on technical indicators beat a random walk only at the daily horizon — a finding that constrains the directional accuracy claims in this paper, Sobreiro et al. [36] show that a gross 35.97% out-of-sample return on 2025 Bitcoin data is likely erased by round-trip fees, and Bysik and Ślepaczuk [37] (a 2026 preprint not yet peer reviewed), using about 70,000 hourly BTC-USDT observations and 27-fold walk-forward validation, report that naive sign-based strategies fail at ten basis points of cost and that cost-aware filters do not significantly outperform buy-and-hold in Sharpe terms after bootstrap adjustment.</w:t>
      </w:r>
    </w:p>
    <w:p>
      <w:pPr>
        <w:pStyle w:val="BodyText"/>
      </w:pPr>
      <w:r>
        <w:t xml:space="preserve">These studies imply three requirements for a credible evaluation: chronological out-of-sample validation, trading-based and risk-adjusted metrics alongside error metrics, and explicit treatment of transaction costs and significance. However, to our knowledge they stop at model comparison and backtesting and do not describe how multi-metric results reach practitioners through a governed decision-support layer assessed with domain users.</w:t>
      </w:r>
    </w:p>
    <w:p>
      <w:pPr>
        <w:pStyle w:val="BodyText"/>
      </w:pPr>
      <w:r>
        <w:t xml:space="preserve">Accordingly, this study (i) compares XGBoost, LSTM, GRU, and the Informer under one 24-fold chronological Walk-Forward protocol on five years of hourly BTC/USDT data with fold-local scaling; (ii) tests accuracy differences statistically (Kruskal-Wallis, Diebold-Mariano) and contrasts them with directional accuracy, Sharpe Ratio, and VaR; (iii) embeds the outputs in a four-layer BI-ML pipeline (PostgreSQL Data Mart, Power BI) whose usability is measured with the SUS; and (iv) states that the risk-adjusted metrics are gross of transaction costs, treating net-of-cost evaluation [36], [37] as the main boundary of its economic claims (see Discussion).</w:t>
      </w:r>
    </w:p>
    <w:p w14:paraId="6285924B" w14:textId="77777777" w:rsidR="008A78AA" w:rsidRDefault="00000000">
      <w:pPr>
        <w:pStyle w:val="Heading2"/>
      </w:pPr>
      <w:r>
        <w:t>The Need for BI Integration and Scope Justification</w:t>
      </w:r>
    </w:p>
    <w:p w14:paraId="394A2B5A" w14:textId="77777777" w:rsidR="008A78AA" w:rsidRDefault="00A85596">
      <w:pPr>
        <w:pStyle w:val="BodyText"/>
      </w:pPr>
      <w:r>
        <w:t xml:space="preserve">While comparative evaluations are abundant [26], [27], [28], their integration into enterprise Decision Support Systems (DSS) [38], [39] remains scarce. This work bridges that gap by coupling deep learning predictions to an enterprise BI layer that computes the annualized Sharpe Ratio and Value-at-Risk (VaR) for institutional risk governance [40].</w:t>
      </w:r>
    </w:p>
    <w:p w14:paraId="6D6DE8F2" w14:textId="77777777" w:rsidR="008A78AA" w:rsidRDefault="00A85596">
      <w:pPr>
        <w:pStyle w:val="BodyText"/>
      </w:pPr>
      <w:r>
        <w:t xml:space="preserve">BTC/USDT is the reference asset because BTC is the most liquid and structurally influential cryptocurrency [1], [41], trades continuously 24/7 (a dense signal free of market-closure artifacts), and a high-volume Binance spot pair isolates algorithmic performance from the liquidity shocks of lower-cap altcoins.</w:t>
      </w:r>
    </w:p>
    <w:p w14:paraId="2C8E702B" w14:textId="77777777" w:rsidR="008A78AA" w:rsidRDefault="00000000">
      <w:pPr>
        <w:pStyle w:val="Heading1"/>
      </w:pPr>
      <w:r>
        <w:t>METHODOLOGY AND SYSTEM ARCHITECTURE</w:t>
      </w:r>
    </w:p>
    <w:p w14:paraId="6F71FCF5" w14:textId="77777777" w:rsidR="008A78AA" w:rsidRDefault="00000000">
      <w:pPr>
        <w:ind w:firstLine="288"/>
        <w:jc w:val="both"/>
      </w:pPr>
      <w:r>
        <w:t xml:space="preserve">The proposed framework has four modular layers: (1) data ingestion and stationarity verification; (2) technical feature extraction with fold-local normalization and leakage prevention; (3) model training, hyperparameter optimization, and parallel out-of-sample inference across the four model families; and (4) translation of predictions into trading signals, Sharpe Ratio and VaR computation, and streaming to a live Microsoft Power BI dashboard via DirectQuery (Algorithm 1).</w:t>
      </w:r>
    </w:p>
    <w:p w14:paraId="03022CF5" w14:textId="77777777" w:rsidR="008A78AA" w:rsidRDefault="00000000">
      <w:pPr>
        <w:pStyle w:val="Heading2"/>
      </w:pPr>
      <w:r>
        <w:t>High-Frequency Market Data Extraction (Layer 1)</w:t>
      </w:r>
    </w:p>
    <w:p w14:paraId="0583607D" w14:textId="77777777" w:rsidR="008A78AA" w:rsidRDefault="00000000">
      <w:pPr>
        <w:pStyle w:val="BodyText"/>
      </w:pPr>
      <w:r>
        <w:t>Layer 1 ingests 43,786 consecutive hourly OHLCV records of BTC/USDT from the Binance Spot API (March 2021 to March 2026) [41] (Fig. 1). Three statistical baseline models were implemented under identical Walk-Forward folds to anchor all comparisons: (a) Persistence (Naïve Flat): for each 168-hour test window, the persistence baseline sets ŷ_{t+h} = y_{T_train} for all h = 1,...,168 (i.e., the last observed normalized close price is repeated flat for the entire test window). This is the appropriate naïve benchmark when RMSE is evaluated across all 168 forecast steps together. It achieved normalized RMSE = 0.2341 and Directional Accuracy = 50.0% by convention (a flat forecast has no directional signal). All four ML models produce lower RMSE than this flat baseline. Forecasting mode: each model produces 168 predictions per test window by recursive (autoregressive) unrolling, in which each prediction is fed back as input for the next step. This is not a true hour-by-hour rolling inference using actual observed values — ŷt at horizon h carries accumulated propagation error from prior predicted steps. The trading signal s_t = sign(ŷ_t − y_{t−1}) therefore captures the model's weekly directional trend over the 168-hour window, not individual hourly position decisions. Directional Accuracy and Sharpe Ratio are computed from these weekly-trend signals and are reported as gross directional utility metrics. (b) Buy-and-Hold: a passive long BTC/USDT strategy with no model signal. To ensure a fair comparison with the model Sharpe Ratios (which are computed only over the 4,032 out-of-sample test hours), the buy-and-hold Sharpe is also computed only over those same 4,032 hours (the union of the 24 test windows): annualized Sharpe Ratio = 0.58 over the 4,032-hour evaluation period. For reference, the five-year full-sample buy-and-hold Sharpe was 0.63; the two figures differ because the 4,032 test hours do not uniformly sample the full five years. (c) ARIMA(1,1,1): fitted per-fold with a fixed order of (p=1, d=1, q=1), estimated by maximum-likelihood; mean out-of-fold RMSE = 0.1987 (normalized), Directional Accuracy = 51.8%, Sharpe Ratio = 0.41. The fixed (1,1,1) order was selected a priori as a standard low-order specification; AIC was not used to select the lag order here. ARIMA was included to address the literature review comparison in Section I. All four ML models achieve a lower normalized RMSE than the three baselines; on Directional Accuracy and Sharpe Ratio only the LSTM and GRU exceed all three (XGBoost trails ARIMA, and XGBoost and Informer fall below buy-and-hold; see Table II). All derived feature series passed the Augmented Dickey-Fuller (ADF) test (lag order selected by AIC, constant + trend specification), rejecting the unit-root null at the 5% level (p &lt; 0.05). Importantly, the raw BTC closing price (level) is non-stationary and was not used as a direct feature. Bounded oscillators (RSI, Stochastic %K, MACD Histogram, ROC-10, Bollinger Band Width) are stationary by construction. Level-dependent features (EMA-12, EMA-26, ATR-14, OBV, Rolling σ_t) showed borderline unit-root behavior in some fold sub-samples and were therefore first-differenced before scaling, after which the ADF null was rejected for all series in all 24 folds.</w:t>
      </w:r>
    </w:p>
    <w:p w14:paraId="136CD231" w14:textId="77777777" w:rsidR="008A78AA" w:rsidRDefault="00000000">
      <w:pPr>
        <w:pStyle w:val="Heading2"/>
      </w:pPr>
      <w:r>
        <w:t>Feature Engineering and Temporal Leakage Prevention (Layer 2)</w:t>
      </w:r>
    </w:p>
    <w:p w14:paraId="50C8601A" w14:textId="77777777" w:rsidR="008A78AA" w:rsidRDefault="00000000">
      <w:pPr>
        <w:pStyle w:val="BodyText"/>
      </w:pPr>
      <w:r>
        <w:t>A set of 15 technical indicators was engineered to represent price momentum, trend, and volatility at multiple scales. Moving Average Convergence Divergence (MACD) was computed from exponential moving averages [42] (Eq. 2).</w:t>
      </w:r>
    </w:p>
    <w:p w14:paraId="321BB3C7" w14:textId="77777777" w:rsidR="008A78AA" w:rsidRDefault="00000000">
      <w:pPr>
        <w:pStyle w:val="BodyText"/>
      </w:pPr>
      <w:r>
        <w:t>To guarantee zero temporal leakage, all features were normalized with strictly Fold-Local Min-Max Scaling (Eq. 1): scaling parameters (Xmin, Xmax) were computed exclusively from each training window and applied out-of-sample to the corresponding test window, precluding look-ahead bias [43], [44], [45]. Note on scale: RMSE and MAE values in Table I are on the fold-local normalized [0, 1] scale. They cannot be directly averaged across folds and converted to USD by multiplying by a single global price range, because each fold's (Xmax − Xmin) differs. The global extremes ($16,800 trough in Nov 2022 to approximately $126,000 peak in Oct 2025) span different folds and do not represent a 720-hour training window. USD-scale errors are not reported because each fold has its own scaler. Readers requiring USD-scale error estimates may compute them from the normalized RMSE in Table I and the per-fold (Xmax − Xmin) available in the supplementary data manifest. MAPE is not reported in Table I because on the fold-local normalized [0,1] scale it does not represent a meaningful percentage price error.</w:t>
      </w:r>
    </w:p>
    <w:tbl>
      <w:tblPr>
        <w:tblW w:w="4908" w:type="dxa"/>
        <w:jc w:val="center"/>
        <w:tblLayout w:type="fixed"/>
        <w:tblLook w:val="0000" w:firstRow="0" w:lastRow="0" w:firstColumn="0" w:lastColumn="0" w:noHBand="0" w:noVBand="0"/>
      </w:tblPr>
      <w:tblGrid>
        <w:gridCol w:w="4908"/>
      </w:tblGrid>
      <w:tr w:rsidR="008A78AA" w14:paraId="3660A758" w14:textId="77777777">
        <w:trPr>
          <w:jc w:val="center"/>
        </w:trPr>
        <w:tc>
          <w:tcPr>
            <w:tcW w:w="4908" w:type="dxa"/>
            <w:tcBorders>
              <w:top w:val="single" w:sz="12" w:space="0" w:color="000000"/>
              <w:left w:val="single" w:sz="4" w:space="0" w:color="CCCCCC"/>
              <w:bottom w:val="single" w:sz="12" w:space="0" w:color="000000"/>
              <w:right w:val="single" w:sz="4" w:space="0" w:color="CCCCCC"/>
            </w:tcBorders>
            <w:shd w:val="clear" w:color="auto" w:fill="F9FBFD"/>
            <w:tcMar>
              <w:top w:w="120" w:type="dxa"/>
              <w:left w:w="180" w:type="dxa"/>
              <w:bottom w:w="120" w:type="dxa"/>
              <w:right w:w="180" w:type="dxa"/>
            </w:tcMar>
          </w:tcPr>
          <w:p w14:paraId="26D01339" w14:textId="77777777" w:rsidR="005932C6" w:rsidRDefault="00000000">
            <w:pPr>
              <w:spacing w:before="20" w:after="20" w:line="252" w:lineRule="auto"/>
            </w:pPr>
            <w:r>
              <w:rPr>
                <w:rFonts w:ascii="Consolas" w:hAnsi="Consolas"/>
                <w:b/>
                <w:sz w:val="19"/>
              </w:rPr>
              <w:t>Algorithm 1: 4-Layer BI-ML Implementation Pipeline</w:t>
            </w:r>
          </w:p>
          <w:p w14:paraId="177E4481" w14:textId="77777777" w:rsidR="005932C6" w:rsidRDefault="00000000">
            <w:pPr>
              <w:spacing w:before="20" w:after="20" w:line="252" w:lineRule="auto"/>
            </w:pPr>
            <w:r>
              <w:rPr>
                <w:rFonts w:ascii="Consolas" w:hAnsi="Consolas"/>
                <w:i/>
                <w:sz w:val="17"/>
              </w:rPr>
              <w:t>Input:  High-frequency Cryptocurrency OHLCV Spot Data (43,786 Hourly Records)</w:t>
            </w:r>
          </w:p>
          <w:p w14:paraId="6216D7B0" w14:textId="77777777" w:rsidR="005932C6" w:rsidRDefault="00000000">
            <w:pPr>
              <w:spacing w:before="20" w:after="20" w:line="252" w:lineRule="auto"/>
            </w:pPr>
            <w:r>
              <w:rPr>
                <w:rFonts w:ascii="Consolas" w:hAnsi="Consolas"/>
                <w:i/>
                <w:sz w:val="17"/>
              </w:rPr>
              <w:t>Output: Risk-Adjusted Dashboard Matrix (Sharpe Ratio, VaR95%, Directional Accuracy)</w:t>
            </w:r>
          </w:p>
          <w:p w14:paraId="215D5813" w14:textId="77777777" w:rsidR="005932C6" w:rsidRDefault="00000000">
            <w:pPr>
              <w:spacing w:before="20" w:after="20" w:line="252" w:lineRule="auto"/>
            </w:pPr>
            <w:r>
              <w:rPr>
                <w:rFonts w:ascii="Consolas" w:hAnsi="Consolas"/>
                <w:sz w:val="15"/>
              </w:rPr>
              <w:t>─────────────────────────────────────────────────────────────────────────────────</w:t>
            </w:r>
          </w:p>
          <w:p w14:paraId="1508A247" w14:textId="77777777" w:rsidR="005932C6" w:rsidRDefault="00000000">
            <w:pPr>
              <w:spacing w:before="20" w:after="20" w:line="252" w:lineRule="auto"/>
            </w:pPr>
            <w:r>
              <w:rPr>
                <w:rFonts w:ascii="Consolas" w:hAnsi="Consolas"/>
                <w:b/>
                <w:sz w:val="16"/>
              </w:rPr>
              <w:t>// Layer 1: High-Frequency Market Data Ingestion</w:t>
            </w:r>
          </w:p>
          <w:p w14:paraId="07463B50" w14:textId="77777777" w:rsidR="005932C6" w:rsidRDefault="00000000">
            <w:pPr>
              <w:spacing w:before="20" w:after="20" w:line="252" w:lineRule="auto"/>
            </w:pPr>
            <w:r>
              <w:rPr>
                <w:rFonts w:ascii="Consolas" w:hAnsi="Consolas"/>
                <w:sz w:val="16"/>
              </w:rPr>
              <w:t>1:  raw_data ← BinanceAPI.get_historical_klines(symbol='BTCUSDT', interval='1h')</w:t>
            </w:r>
          </w:p>
          <w:p w14:paraId="2C5E2469" w14:textId="77777777" w:rsidR="005932C6" w:rsidRDefault="00000000">
            <w:pPr>
              <w:spacing w:before="20" w:after="20" w:line="252" w:lineRule="auto"/>
            </w:pPr>
            <w:r>
              <w:rPr>
                <w:rFonts w:ascii="Consolas" w:hAnsi="Consolas"/>
                <w:sz w:val="16"/>
              </w:rPr>
              <w:t>2:  StationarityCheck ← AugmentedDickeyFullerTest(raw_data)  // Verify p &lt; 0.05</w:t>
            </w:r>
          </w:p>
          <w:p w14:paraId="32A79A66" w14:textId="77777777" w:rsidR="005932C6" w:rsidRDefault="005932C6">
            <w:pPr>
              <w:spacing w:before="20" w:after="20" w:line="252" w:lineRule="auto"/>
            </w:pPr>
          </w:p>
          <w:p w14:paraId="62DB151E" w14:textId="77777777" w:rsidR="005932C6" w:rsidRDefault="00000000">
            <w:pPr>
              <w:spacing w:before="20" w:after="20" w:line="252" w:lineRule="auto"/>
            </w:pPr>
            <w:r>
              <w:rPr>
                <w:rFonts w:ascii="Consolas" w:hAnsi="Consolas"/>
                <w:b/>
                <w:sz w:val="16"/>
              </w:rPr>
              <w:t>// Layer 2: Feature Engineering &amp; Temporal Leakage Prevention</w:t>
            </w:r>
          </w:p>
          <w:p w14:paraId="09C6067B" w14:textId="77777777" w:rsidR="005932C6" w:rsidRDefault="00000000">
            <w:pPr>
              <w:spacing w:before="20" w:after="20" w:line="252" w:lineRule="auto"/>
            </w:pPr>
            <w:r>
              <w:rPr>
                <w:rFonts w:ascii="Consolas" w:hAnsi="Consolas"/>
                <w:sz w:val="16"/>
              </w:rPr>
              <w:t>3:  Extracted_Features ← GenerateIndicators(raw_data)  // MACD, Volatility σ_t, RSI</w:t>
            </w:r>
          </w:p>
          <w:p w14:paraId="0CF3435A" w14:textId="77777777" w:rsidR="005932C6" w:rsidRDefault="00000000">
            <w:pPr>
              <w:spacing w:before="20" w:after="20" w:line="252" w:lineRule="auto"/>
            </w:pPr>
            <w:r>
              <w:rPr>
                <w:rFonts w:ascii="Consolas" w:hAnsi="Consolas"/>
                <w:sz w:val="16"/>
              </w:rPr>
              <w:t>4:  Folds ← ChronologicalWalkForwardSplit(Extracted_Features, train=720h, test=168h)</w:t>
            </w:r>
          </w:p>
          <w:p w14:paraId="6B6B7CAE" w14:textId="77777777" w:rsidR="005932C6" w:rsidRDefault="005932C6">
            <w:pPr>
              <w:spacing w:before="20" w:after="20" w:line="252" w:lineRule="auto"/>
            </w:pPr>
          </w:p>
          <w:p w14:paraId="159B06C4" w14:textId="77777777" w:rsidR="005932C6" w:rsidRDefault="00000000">
            <w:pPr>
              <w:spacing w:before="20" w:after="20" w:line="252" w:lineRule="auto"/>
            </w:pPr>
            <w:r>
              <w:rPr>
                <w:rFonts w:ascii="Consolas" w:hAnsi="Consolas"/>
                <w:b/>
                <w:sz w:val="16"/>
              </w:rPr>
              <w:t>// Layer 3: Model Optimization &amp; Parallel Out-of-Sample Inference</w:t>
            </w:r>
          </w:p>
          <w:p w14:paraId="775F41E0" w14:textId="77777777" w:rsidR="005932C6" w:rsidRDefault="00000000">
            <w:pPr>
              <w:spacing w:before="20" w:after="20" w:line="252" w:lineRule="auto"/>
            </w:pPr>
            <w:r>
              <w:rPr>
                <w:rFonts w:ascii="Consolas" w:hAnsi="Consolas"/>
                <w:b/>
                <w:sz w:val="16"/>
              </w:rPr>
              <w:t>5:  for each validation_fold ∈ Folds do</w:t>
            </w:r>
          </w:p>
          <w:p w14:paraId="1C6F22D1" w14:textId="77777777" w:rsidR="005932C6" w:rsidRDefault="00000000">
            <w:pPr>
              <w:spacing w:before="20" w:after="20" w:line="252" w:lineRule="auto"/>
            </w:pPr>
            <w:r>
              <w:rPr>
                <w:rFonts w:ascii="Consolas" w:hAnsi="Consolas"/>
                <w:sz w:val="16"/>
              </w:rPr>
              <w:t>6:      scale_params ← FoldLocalMinMaxFit(validation_fold.train)  // Zero look-ahead</w:t>
            </w:r>
          </w:p>
          <w:p w14:paraId="6E9769E4" w14:textId="77777777" w:rsidR="005932C6" w:rsidRDefault="00000000">
            <w:pPr>
              <w:spacing w:before="20" w:after="20" w:line="252" w:lineRule="auto"/>
            </w:pPr>
            <w:r>
              <w:rPr>
                <w:rFonts w:ascii="Consolas" w:hAnsi="Consolas"/>
                <w:sz w:val="16"/>
              </w:rPr>
              <w:t>7:      X_train_norm ← ApplyScaling(validation_fold.train, scale_params)</w:t>
            </w:r>
          </w:p>
          <w:p w14:paraId="41C631FC" w14:textId="77777777" w:rsidR="005932C6" w:rsidRDefault="00000000">
            <w:pPr>
              <w:spacing w:before="20" w:after="20" w:line="252" w:lineRule="auto"/>
            </w:pPr>
            <w:r>
              <w:rPr>
                <w:rFonts w:ascii="Consolas" w:hAnsi="Consolas"/>
                <w:sz w:val="16"/>
              </w:rPr>
              <w:t>8:      X_test_norm  ← ApplyScaling(validation_fold.test, scale_params)</w:t>
            </w:r>
          </w:p>
          <w:p w14:paraId="6B786896" w14:textId="77777777" w:rsidR="005932C6" w:rsidRDefault="00000000">
            <w:pPr>
              <w:spacing w:before="20" w:after="20" w:line="252" w:lineRule="auto"/>
            </w:pPr>
            <w:r>
              <w:rPr>
                <w:rFonts w:ascii="Consolas" w:hAnsi="Consolas"/>
                <w:sz w:val="16"/>
              </w:rPr>
              <w:t>9:      model_weights ← TrainModels(X_train_norm, [XGBoost, LSTM, GRU, Informer])</w:t>
            </w:r>
          </w:p>
          <w:p w14:paraId="05512CBF" w14:textId="77777777" w:rsidR="005932C6" w:rsidRDefault="00000000">
            <w:pPr>
              <w:spacing w:before="20" w:after="20" w:line="252" w:lineRule="auto"/>
            </w:pPr>
            <w:r>
              <w:rPr>
                <w:rFonts w:ascii="Consolas" w:hAnsi="Consolas"/>
                <w:sz w:val="16"/>
              </w:rPr>
              <w:t>10:     predict_tensor ← model_weights.predict(X_test_norm)</w:t>
            </w:r>
          </w:p>
          <w:p w14:paraId="162E3E62" w14:textId="77777777" w:rsidR="005932C6" w:rsidRDefault="00000000">
            <w:pPr>
              <w:spacing w:before="20" w:after="20" w:line="252" w:lineRule="auto"/>
            </w:pPr>
            <w:r>
              <w:rPr>
                <w:rFonts w:ascii="Consolas" w:hAnsi="Consolas"/>
                <w:b/>
                <w:sz w:val="16"/>
              </w:rPr>
              <w:t>11: end for</w:t>
            </w:r>
          </w:p>
          <w:p w14:paraId="071BE26A" w14:textId="77777777" w:rsidR="005932C6" w:rsidRDefault="005932C6">
            <w:pPr>
              <w:spacing w:before="20" w:after="20" w:line="252" w:lineRule="auto"/>
            </w:pPr>
          </w:p>
          <w:p w14:paraId="53C9A172" w14:textId="77777777" w:rsidR="005932C6" w:rsidRDefault="00000000">
            <w:pPr>
              <w:spacing w:before="20" w:after="20" w:line="252" w:lineRule="auto"/>
            </w:pPr>
            <w:r>
              <w:rPr>
                <w:rFonts w:ascii="Consolas" w:hAnsi="Consolas"/>
                <w:b/>
                <w:sz w:val="16"/>
              </w:rPr>
              <w:t xml:space="preserve">// Layer 4: Enterprise BI Decision Support &amp; </w:t>
              <w:lastRenderedPageBreak/>
              <w:t>Financial Risk Engine</w:t>
            </w:r>
          </w:p>
          <w:p w14:paraId="7943814E" w14:textId="77777777" w:rsidR="005932C6" w:rsidRDefault="00000000">
            <w:pPr>
              <w:spacing w:before="20" w:after="20" w:line="252" w:lineRule="auto"/>
            </w:pPr>
            <w:r>
              <w:rPr>
                <w:rFonts w:ascii="Consolas" w:hAnsi="Consolas"/>
                <w:sz w:val="16"/>
              </w:rPr>
              <w:t>12: trading_signals ← Sign(predict_tensor - actual_{t-1})  // s_t ∈ {+1, -1}</w:t>
            </w:r>
          </w:p>
          <w:p w14:paraId="2DC486F2" w14:textId="77777777" w:rsidR="005932C6" w:rsidRDefault="00000000">
            <w:pPr>
              <w:spacing w:before="20" w:after="20" w:line="252" w:lineRule="auto"/>
            </w:pPr>
            <w:r>
              <w:rPr>
                <w:rFonts w:ascii="Consolas" w:hAnsi="Consolas"/>
                <w:sz w:val="16"/>
              </w:rPr>
              <w:t>13: strategy_returns ← trading_signals × LogReturns(actual_prices)</w:t>
            </w:r>
          </w:p>
          <w:p w14:paraId="6779C442" w14:textId="77777777" w:rsidR="005932C6" w:rsidRDefault="00000000">
            <w:pPr>
              <w:spacing w:before="20" w:after="20" w:line="252" w:lineRule="auto"/>
            </w:pPr>
            <w:r>
              <w:rPr>
                <w:rFonts w:ascii="Consolas" w:hAnsi="Consolas"/>
                <w:sz w:val="16"/>
              </w:rPr>
              <w:t>14: PostgreSql_DataMart.BulkInsert(predict_tensor, strategy_returns, trading_signals)</w:t>
            </w:r>
          </w:p>
          <w:p w14:paraId="456B09B8" w14:textId="77777777" w:rsidR="005932C6" w:rsidRDefault="00000000">
            <w:pPr>
              <w:spacing w:before="20" w:after="20" w:line="252" w:lineRule="auto"/>
            </w:pPr>
            <w:r>
              <w:rPr>
                <w:rFonts w:ascii="Consolas" w:hAnsi="Consolas"/>
                <w:sz w:val="16"/>
              </w:rPr>
              <w:t>15: PowerBI_Dashboard.Render(Sharpe(strategy_returns), VaR95%(strategy_returns), DirAcc(trading_signals))</w:t>
            </w:r>
          </w:p>
        </w:tc>
      </w:tr>
    </w:tbl>
    <w:p w14:paraId="3500AA18" w14:textId="77777777" w:rsidR="008A78AA" w:rsidRDefault="00000000">
      <w:pPr>
        <w:pStyle w:val="BodyText"/>
      </w:pPr>
      <w:r>
        <w:lastRenderedPageBreak/>
        <w:t>The mathematical formulation for fold-local feature normalization is defined as:</w:t>
      </w:r>
    </w:p>
    <w:p w14:paraId="758A2D5D" w14:textId="77777777" w:rsidR="008A78AA" w:rsidRDefault="00000000">
      <w:pPr>
        <w:pStyle w:val="equation"/>
      </w:pPr>
      <w:r>
        <w:tab/>
        <w:t>Xnorm = (X − Xmin) / (Xmax − Xmin)</w:t>
        <w:tab/>
        <w:t>(1)</w:t>
      </w:r>
    </w:p>
    <w:p w14:paraId="50FB3009" w14:textId="77777777" w:rsidR="008A78AA" w:rsidRDefault="00000000">
      <w:pPr>
        <w:pStyle w:val="BodyText"/>
        <w:ind w:firstLine="0"/>
        <w:jc w:val="center"/>
      </w:pPr>
      <w:r>
        <w:rPr>
          <w:noProof/>
        </w:rPr>
        <w:drawing>
          <wp:inline distT="0" distB="0" distL="0" distR="0" wp14:anchorId="4B005438" wp14:editId="66ABCBB2">
            <wp:extent cx="3108960" cy="210591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BTC_Price_Volume_300dpi.png"/>
                    <pic:cNvPicPr/>
                  </pic:nvPicPr>
                  <pic:blipFill>
                    <a:blip r:embed="rId11"/>
                    <a:stretch>
                      <a:fillRect/>
                    </a:stretch>
                  </pic:blipFill>
                  <pic:spPr>
                    <a:xfrm>
                      <a:off x="0" y="0"/>
                      <a:ext cx="3108960" cy="2105916"/>
                    </a:xfrm>
                    <a:prstGeom prst="rect">
                      <a:avLst/>
                    </a:prstGeom>
                  </pic:spPr>
                </pic:pic>
              </a:graphicData>
            </a:graphic>
          </wp:inline>
        </w:drawing>
      </w:r>
    </w:p>
    <w:p w14:paraId="4F6EAECC" w14:textId="77777777" w:rsidR="008A78AA" w:rsidRDefault="00000000">
      <w:pPr>
        <w:pStyle w:val="figurecaption"/>
        <w:jc w:val="center"/>
      </w:pPr>
      <w:r>
        <w:t>Hourly closing prices and trading volume of Bitcoin between Mar 2021 and Mar 2026 (43,786 records).</w:t>
      </w:r>
    </w:p>
    <w:p w14:paraId="6434A6AB" w14:textId="77777777" w:rsidR="008A78AA" w:rsidRDefault="00000000">
      <w:pPr>
        <w:pStyle w:val="Heading2"/>
      </w:pPr>
      <w:r>
        <w:t>Technical Indicators and Explainability Analysis</w:t>
      </w:r>
    </w:p>
    <w:p w14:paraId="52EAD0CD" w14:textId="77777777" w:rsidR="008A78AA" w:rsidRDefault="007F0DB4">
      <w:pPr>
        <w:pStyle w:val="BodyText"/>
      </w:pPr>
      <w:r>
        <w:t>The 15 engineered features comprise: (1) EMA-12, (2) EMA-26 (trend), (3) RSI-14, (4) Stochastic %K-14, (5) Stochastic %D-3 (momentum oscillators), (6) Bollinger Band Upper, (7) Bollinger Band Lower, (8) Bollinger Band Width, (9) ATR-14 (volatility bands), (10) MACD line, (11) MACD Signal, (12) MACD Histogram (convergence/divergence), (13) On-Balance Volume (OBV), (14) Rate of Change (ROC-10), and (15) Rolling 24-hour standard deviation of log returns (σ_t-24). Log Return r_t = ln(P_t / P_{t-1}) is used internally to compute σ_t-24 and as an ADF-tested stationary base series, but is not included as a separate feature to keep the count at 15. SHapley Additive exPlanations (SHAP) analysis [46] across all models confirmed that volatility and momentum measures contributed the dominant predictive attribution. Among the 15 features, σ_t-24 consistently ranked first by mean absolute SHAP value across all architectures, accounting for approximately 23% of total SHAP attribution in the GRU. Full feature-importance rankings are available from the corresponding author:</w:t>
      </w:r>
    </w:p>
    <w:p w14:paraId="15592AC8" w14:textId="77777777" w:rsidR="008A78AA" w:rsidRDefault="005002B2">
      <w:pPr>
        <w:pStyle w:val="BodyText"/>
      </w:pPr>
      <w:r>
        <w:tab/>
        <w:t>MACD = EMA12 − EMA26</w:t>
        <w:tab/>
        <w:t>(2)</w:t>
      </w:r>
    </w:p>
    <w:p w14:paraId="18CAFA20" w14:textId="77777777" w:rsidR="008A78AA" w:rsidRDefault="00000000">
      <w:pPr>
        <w:pStyle w:val="BodyText"/>
      </w:pPr>
      <w:r>
        <w:t>Within each sliding window, rolling standard deviation σt quantified short-term regime volatility, serving as a primary state indicator:</w:t>
      </w:r>
    </w:p>
    <w:p w14:paraId="3DEA4B55" w14:textId="77777777" w:rsidR="008A78AA" w:rsidRDefault="00CF5423">
      <w:pPr>
        <w:pStyle w:val="equation"/>
      </w:pPr>
      <w:r>
        <w:tab/>
        <w:t>σt = √[ (1/n) × Σi=0n−1 (Pt−i − P̄)² ]</w:t>
        <w:tab/>
        <w:t>(3)</w:t>
      </w:r>
    </w:p>
    <w:p w14:paraId="6058CE13" w14:textId="77777777" w:rsidR="008A78AA" w:rsidRDefault="00000000">
      <w:pPr>
        <w:pStyle w:val="Heading2"/>
      </w:pPr>
      <w:r>
        <w:t>Chronological Walk-Forward Validation and Hyperparameter Optimization</w:t>
      </w:r>
    </w:p>
    <w:p w14:paraId="49E692B5" w14:textId="77777777" w:rsidR="008A78AA" w:rsidRDefault="00000000">
      <w:pPr>
        <w:pStyle w:val="BodyText"/>
      </w:pPr>
      <w:r>
        <w:t>Model evaluation followed a strictly chronological 24-fold Walk-Forward Validation scheme. The dataset spans from 2021-03-01 00:00:00 UTC to 2026-02-28 23:00:00 UTC. A naïve calculation of five calendar years (2021-03-01 to 2026-03-01) yields 43,824 hours; the 38-hour discrepancy reflects 38 candles excluded during quality screening (zero-volume ticks, defined as candles with Volume = 0 AND (High = Low = Open = Close), verified by SHA-256 checksum of raw API responses, &lt; 0.01% of dataset). Gap treatment: the 38 excluded candles introduce 38 one-hour gaps in calendar time. Folds whose 720-hour training window or 168-hour test window spans one of these gaps are treated by shifting the window boundary forward by one hour so that exactly 720 (or 168) retained candles are used — no interpolation is applied. This means the affected folds cover a slightly longer calendar interval but an identical number of trading hours. Only 4 of the 24 folds were affected; their exact window boundaries are documented in the supplementary data manifest available from the corresponding author. After this adjustment, the sequential ordering of all 43,786 retained candles is strictly monotone in the Binance open-time field. Each fold used a fixed 720-hour (30-day) training window (consistent with Algorithm 1 line 4: train=720h). The 24 non-overlapping test windows of 168 hours each are placed with a uniform inter-fold stride of s hours, chosen so that the final test window ends at or near the last available candle: s = floor((N − 720 − 168) / (n_folds − 1)), where N = 43,786 and n_folds = 24, yielding s = 1,865 candles (≈ 77.7 days). Under this stride, the 24 fold test windows span the full five-year dataset as follows: Fold 1 test: candles 721–888 (≈ 31 Mar 2021 – 06 Apr 2021); Fold k test: candles (721 + (k−1)×1865) to (721 + (k−1)×1865 + 167); Fold 24 test: candles 43,616–43,783 (≈ 20–27 Feb 2026). The 24 × 168 = 4,032 out-of-sample hours represent 9.2% of the total dataset. Note: with this stride, Fold 6 test window falls on ≈ 23–30 Apr 2022, which precedes the Terra-Luna collapse (9–12 May 2022) by approximately 9 days; no single fold precisely captures that event. Similarly, Fold 10 falls on ≈ 28 Feb – 07 Mar 2023, which is after the FTX insolvency (8–11 Nov 2022). The model's sensitivity to volatility regime changes is discussed qualitatively in Section III.B. Hyperparameters were optimized separately for each architectural family [43].</w:t>
      </w:r>
    </w:p>
    <w:p w14:paraId="2D97017F" w14:textId="77777777" w:rsidR="008A78AA" w:rsidRDefault="00000000">
      <w:pPr>
        <w:pStyle w:val="BodyText"/>
      </w:pPr>
      <w:r>
        <w:t xml:space="preserve">For XGBoost, hyperparameters were tuned via Grid Search with TimeSeriesSplit (n = 5): n_estimators ∈ {100, 300, 500}, max_depth ∈ {3, 5, 7}, learning_rate ∈ {0.01, 0.05, 0.10}, subsample ∈ {0.70, 0.85, 1.00}, and colsample_bytree ∈ {0.70, 0.85, 1.00}. Sequential 3D arrays (N × 24 × 15) were flattened into 2D vectors (N × 360) prior to fitting. The optimal configuration (n_estimators = 300, max_depth = 5, learning_rate = 0.05, subsample = 0.85, colsample_bytree = 0.85) was regularized via L1/L2 penalties; unlike the neural networks, XGBoost uses neither Adam optimization nor dropout.</w:t>
      </w:r>
    </w:p>
    <w:p w14:paraId="15213384" w14:textId="77777777" w:rsidR="008A78AA" w:rsidRDefault="00000000">
      <w:pPr>
        <w:pStyle w:val="BodyText"/>
        <w:rPr>
          <w:lang w:val="en-US"/>
        </w:rPr>
      </w:pPr>
      <w:r>
        <w:t>For the neural networks, the lookback was fixed at T = 24 hours. Final selected architectures (lowest out-of-fold validation RMSE) are:</w:t>
        <w:br/>
        <w:t>LSTM: 2 stacked LSTM layers (128 units each) → Dropout(0.2) → Dense(1). Input: (24 × 15). Total trainable parameters: 206,465 (verified from PyTorch model.parameters()).</w:t>
        <w:br/>
        <w:t>GRU: 2 stacked GRU layers (128 units each) → Dropout(0.2) → Dense(1). Input: (24 × 15). Total trainable parameters: 154,881 (verified from PyTorch model.parameters()). (Fewer parameters than LSTM due to two-gate vs. three-gate architecture, contributing to lower variance and better RMSE on short horizons.)</w:t>
        <w:br/>
        <w:t>Informer Transformer: d_model = 64, n_heads = 4, e_layers = 2 (encoder), d_layers = 1 (decoder), d_ff = 256, ProbSparse attention factor = 5, Dropout = 0.2, Linear input projection (15→64). Total parameters: 223,617.</w:t>
        <w:br/>
        <w:t>All neural models: Adam optimizer (lr = 0.001, β₁ = 0.9, β₂ = 0.999; lr = 0.0001 for Informer), batch size = 64, early stopping (patience = 10 epochs, monitor = val_loss). Training was run on CPU (Intel i7-1260P, no GPU); total wall-clock time over the 24 folds was 106.6 s for the LSTM (4.4 s per fold) and 192.2 s for the GRU (8.0 s per fold).</w:t>
      </w:r>
    </w:p>
    <w:p w14:paraId="35C20248" w14:textId="77777777" w:rsidR="008A78AA" w:rsidRDefault="00000000">
      <w:pPr>
        <w:pStyle w:val="Heading2"/>
        <w:jc w:val="center"/>
      </w:pPr>
      <w:r>
        <w:t>Model Topologies and Formulations (Layer 3)</w:t>
      </w:r>
    </w:p>
    <w:p w14:paraId="6EDE47E4" w14:textId="77777777" w:rsidR="008A78AA" w:rsidRDefault="00000000">
      <w:pPr>
        <w:pStyle w:val="BodyText"/>
      </w:pPr>
      <w:r>
        <w:t>In the LSTM architecture, the forget gate ft governs the retention of sequential memory states from previous time steps [14]:</w:t>
      </w:r>
    </w:p>
    <w:p w14:paraId="6078D775" w14:textId="77777777" w:rsidR="008A78AA" w:rsidRDefault="00000000">
      <w:pPr>
        <w:pStyle w:val="equation"/>
      </w:pPr>
      <w:r>
        <w:tab/>
        <w:t>ft = σ(Wf · [ht−1, xt] + bf)</w:t>
        <w:tab/>
        <w:t>(4)</w:t>
      </w:r>
    </w:p>
    <w:p w14:paraId="16EE976C" w14:textId="77777777" w:rsidR="008A78AA" w:rsidRDefault="00000000">
      <w:pPr>
        <w:pStyle w:val="BodyText"/>
      </w:pPr>
      <w:r>
        <w:t>The GRU simplifies this mechanism by integrating the forget and input gates into a single update gate zt [16]:</w:t>
      </w:r>
    </w:p>
    <w:p w14:paraId="5A33BDA2" w14:textId="77777777" w:rsidR="008A78AA" w:rsidRDefault="00000000">
      <w:pPr>
        <w:pStyle w:val="equation"/>
      </w:pPr>
      <w:r>
        <w:tab/>
        <w:t>zt = σ(Wz · [ht−1, xt] + bz)</w:t>
        <w:tab/>
        <w:t>(5)</w:t>
      </w:r>
    </w:p>
    <w:p w14:paraId="0DFEE0EC" w14:textId="77777777" w:rsidR="008A78AA" w:rsidRDefault="00000000">
      <w:pPr>
        <w:pStyle w:val="BodyText"/>
      </w:pPr>
      <w:r>
        <w:t>The Informer Transformer replaces canonical self-attention with ProbSparse Self-Attention, reducing computational complexity from O(L²) to O(L log L) [21]:</w:t>
      </w:r>
    </w:p>
    <w:p w14:paraId="060774E3" w14:textId="77777777" w:rsidR="008A78AA" w:rsidRDefault="00000000">
      <w:pPr>
        <w:pStyle w:val="equation"/>
      </w:pPr>
      <w:r>
        <w:tab/>
        <w:t>Attention(Q, K, V) = Softmax(Q̅KT / √dk) V</w:t>
        <w:tab/>
        <w:t>(6)</w:t>
      </w:r>
    </w:p>
    <w:p w14:paraId="671BCFF3" w14:textId="77777777" w:rsidR="008A78AA" w:rsidRDefault="00000000">
      <w:pPr>
        <w:pStyle w:val="BodyText"/>
      </w:pPr>
      <w:r>
        <w:t>where Q̅ represents the top-k dominant queries identified via probabilistic Kullback-Leibler measurement, enabling efficient long-horizon sequential dependency modeling.</w:t>
      </w:r>
    </w:p>
    <w:p w14:paraId="310592EA" w14:textId="77777777" w:rsidR="008A78AA" w:rsidRDefault="00000000">
      <w:pPr>
        <w:pStyle w:val="Heading2"/>
      </w:pPr>
      <w:r>
        <w:t>Enterprise BI Layer and Risk-Adjusted Decision Support (Layer 4)</w:t>
      </w:r>
    </w:p>
    <w:p w14:paraId="3DE1FB97" w14:textId="77777777" w:rsidR="008A78AA" w:rsidRDefault="00000000">
      <w:pPr>
        <w:pStyle w:val="BodyText"/>
      </w:pPr>
      <w:r>
        <w:t>Layer 4 translates predictions ŷt into weekly trend signals for the 168-hour test window: st = sign(ŷt − yt−1) ∈ {+1, −1}, where +1 denotes a long position and −1 a protective/short allocation. The hourly strategy return is Rt</w:t>
      </w:r>
      <w:r>
        <w:rPr>
          <w:vertAlign w:val="superscript"/>
        </w:rPr>
        <w:t>strategy</w:t>
      </w:r>
      <w:r>
        <w:rPr/>
        <w:t xml:space="preserve"> = st · rt, where rt = ln(Pt / Pt−1) is the realized logarithmic return of BTC/USDT. Important caveat: because predictions ŷt are generated by recursive (autoregressive) unrolling from the start of each 168-hour test window, ŷt at step h carries cumulative propagation error from steps 1,...,h−1. The signal st = sign(ŷt − yt−1) therefore reflects the model's weekly directional view rather than a true one-step-ahead prediction using the actual yt−1. Consequently, the Directional Accuracy, Sharpe Ratio, and VaR reported here measure the gross utility of the model's weekly trend signal — not the performance of an hour-by-hour executable strategy. A genuine per-hour signal would require rolling one-step-ahead inference using actual observed prices at each step; this is planned as a future extension.</w:t>
      </w:r>
      <w:r>
        <w:rPr>
          <w:vertAlign w:val="superscript"/>
        </w:rPr>
      </w:r>
      <w:r/>
    </w:p>
    <w:p w14:paraId="217DAEDE" w14:textId="77777777" w:rsidR="008A78AA" w:rsidRDefault="00000000">
      <w:pPr>
        <w:pStyle w:val="BodyText"/>
      </w:pPr>
      <w:r>
        <w:t>To evaluate risk-adjusted performance under continuous 24/7 cryptocurrency market conditions, the annualized Sharpe Ratio is computed as:</w:t>
      </w:r>
    </w:p>
    <w:p w14:paraId="6DAA3A69" w14:textId="77777777" w:rsidR="008A78AA" w:rsidRDefault="00000000">
      <w:pPr>
        <w:pStyle w:val="equation"/>
      </w:pPr>
      <w:r>
        <w:tab/>
        <w:t>SR = √8760 × (R̄strategy − rf / 8760) / σRstrategy</w:t>
        <w:tab/>
        <w:t>(7)</w:t>
      </w:r>
    </w:p>
    <w:p w14:paraId="368FBE17" w14:textId="77777777" w:rsidR="008A78AA" w:rsidRDefault="00000000">
      <w:pPr>
        <w:pStyle w:val="BodyText"/>
      </w:pPr>
      <w:r>
        <w:t xml:space="preserve">where √8760 = √(365 × 24) is the annualization factor for 8,760 continuous trading hours per year, rf = 2.0% per annum is the risk-free rate, and σRstrategy is the sample standard deviation of hourly strategy returns. VaR95% is the 5th percentile of the empirical strategy return distribution (historical simulation). The Binance fee schedule (0.10% taker / 0.02% maker) is noted as a reference, but the Sharpe Ratio and VaR reported here are computed on gross strategy returns, i.e., before fees and slippage (see Discussion). All metrics are written to the PostgreSQL Data Mart and streamed into Microsoft Power BI via DirectQuery.</w:t>
      </w:r>
    </w:p>
    <w:p w14:paraId="1069A31F" w14:textId="77777777" w:rsidR="008A78AA" w:rsidRDefault="00000000">
      <w:pPr>
        <w:pStyle w:val="Heading1"/>
      </w:pPr>
      <w:r>
        <w:t>RESULTS AND DISCUSSION</w:t>
      </w:r>
    </w:p>
    <w:p w14:paraId="3FA3A5B1" w14:textId="77777777" w:rsidR="008A78AA" w:rsidRDefault="00B81C38">
      <w:pPr>
        <w:pStyle w:val="BodyText"/>
      </w:pPr>
      <w:r>
        <w:t>Fig. 2 compares the out-of-sample forecasts of the four architectures with realized BTC/USDT prices across representative 168-hour Walk-Forward windows; the loss benchmarks are summarized in Table I.</w:t>
      </w:r>
    </w:p>
    <w:p w14:paraId="04185172" w14:textId="77777777" w:rsidR="008A78AA" w:rsidRDefault="00000000">
      <w:pPr>
        <w:pStyle w:val="BodyText"/>
        <w:ind w:firstLine="0"/>
        <w:jc w:val="center"/>
      </w:pPr>
      <w:r>
        <w:rPr>
          <w:noProof/>
        </w:rPr>
        <w:drawing>
          <wp:inline distT="0" distB="0" distL="0" distR="0" wp14:anchorId="67B26652" wp14:editId="420C3EE4">
            <wp:extent cx="3108960" cy="153877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Model_Comparison_300dpi.png"/>
                    <pic:cNvPicPr/>
                  </pic:nvPicPr>
                  <pic:blipFill>
                    <a:blip r:embed="rId12"/>
                    <a:stretch>
                      <a:fillRect/>
                    </a:stretch>
                  </pic:blipFill>
                  <pic:spPr>
                    <a:xfrm>
                      <a:off x="0" y="0"/>
                      <a:ext cx="3108960" cy="1538778"/>
                    </a:xfrm>
                    <a:prstGeom prst="rect">
                      <a:avLst/>
                    </a:prstGeom>
                  </pic:spPr>
                </pic:pic>
              </a:graphicData>
            </a:graphic>
          </wp:inline>
        </w:drawing>
      </w:r>
    </w:p>
    <w:p w14:paraId="33F9233C" w14:textId="77777777" w:rsidR="008A78AA" w:rsidRDefault="00D16FC1">
      <w:pPr>
        <w:pStyle w:val="figurecaption"/>
        <w:jc w:val="center"/>
      </w:pPr>
      <w:r>
        <w:t>168-hour out-of-sample forecast overlay: actual BTC closing prices (solid) vs. XGBoost, LSTM, GRU and Informer predictions across representative Walk-Forward test folds.</w:t>
      </w:r>
    </w:p>
    <w:p w14:paraId="77C97DB3" w14:textId="77777777" w:rsidR="008A78AA" w:rsidRDefault="00000000">
      <w:pPr>
        <w:pStyle w:val="Heading2"/>
      </w:pPr>
      <w:r>
        <w:t>Validation Across Model Topologies</w:t>
      </w:r>
    </w:p>
    <w:p w14:paraId="07E8321E" w14:textId="77777777" w:rsidR="008A78AA" w:rsidRDefault="00B81C38">
      <w:pPr>
        <w:pStyle w:val="BodyText"/>
      </w:pPr>
      <w:r>
        <w:t>Table I reports mean RMSE and MAE across all 24 Walk-Forward test folds (MAPE is omitted because on the fold-local normalized [0,1] scale it does not represent a meaningful percentage price error). XGBoost showed the widest error dispersion (RMSE = 0.1524 ± 0.0068), reflecting the limits of static trees in multi-step sequence forecasting. The Informer recorded an RMSE of 0.1321 ± 0.0081; its self-attention mechanism may be sensitive to high-frequency micro-volatility noise, consistent with observations in related Transformer literature [25].</w:t>
      </w:r>
    </w:p>
    <w:p w14:paraId="18273588" w14:textId="2B0A3DE1" w:rsidR="008A78AA" w:rsidRDefault="00D16FC1" w:rsidP="00662A52">
      <w:pPr>
        <w:pStyle w:val="BodyText"/>
      </w:pPr>
      <w:r>
        <w:t>Among all models, the GRU achieved the highest point-forecasting stability, with the lowest error (RMSE = 0.1058 ± 0.0034, MAE = 0.0948 ± 0.0028). A Kruskal-Wallis test rejected equal performance across architectures (H = 18.4, p &lt; 0.001), and pairwise Diebold-Mariano (DM) tests [47] (two-sided, Harvey et al. small-sample correction applied, T − 1 = 23 degrees of freedom for T = 24 folds) produced: GRU vs. XGBoost: DM = 4.21, p = 0.0003; GRU vs. Informer: DM = 2.87, p = 0.009; GRU vs. LSTM: DM = 2.14, p = 0.043. Bonferroni correction across three simultaneous comparisons (α_adj = 0.05/3 = 0.0167) leaves GRU vs. XGBoost (p = 0.0003) and GRU vs. Informer (p = 0.009) significant, whereas GRU vs. LSTM (p = 0.043 &gt; α_adj) does not survive the correction, so its advantage is directionally consistent but not formally significant. The GRU therefore significantly outperforms XGBoost and Informer on RMSE; its advantage over LSTM does not survive multiple-testing correction.</w:t>
      </w:r>
    </w:p>
    <w:p w14:paraId="333D64DE" w14:textId="77777777" w:rsidR="008A78AA" w:rsidRDefault="00000000">
      <w:pPr>
        <w:pStyle w:val="tablehead"/>
      </w:pPr>
      <w:r>
        <w:t>QUANTITATIVE LOSS BENCHMARKING ACROSS ALGORITHMIC WALK-FORWARD LAYERS</w:t>
      </w:r>
    </w:p>
    <w:tbl>
      <w:tblPr>
        <w:tblW w:w="4800" w:type="dxa"/>
        <w:jc w:val="center"/>
        <w:tblLayout w:type="fixed"/>
        <w:tblLook w:val="0000" w:firstRow="0" w:lastRow="0" w:firstColumn="0" w:lastColumn="0" w:noHBand="0" w:noVBand="0"/>
      </w:tblPr>
      <w:tblGrid>
        <w:gridCol w:w="1734"/>
        <w:gridCol w:w="1532"/>
        <w:gridCol w:w="1534"/>
      </w:tblGrid>
      <w:tr w:rsidR="008A78AA" w14:paraId="29B6B485" w14:textId="77777777">
        <w:trPr>
          <w:cantSplit/>
          <w:trHeight w:val="240"/>
          <w:tblHeader/>
          <w:jc w:val="center"/>
        </w:trPr>
        <w:tc>
          <w:tcPr>
            <w:tcW w:w="1734" w:type="dxa"/>
            <w:tcBorders>
              <w:top w:val="single" w:sz="8" w:space="0" w:color="000000"/>
              <w:bottom w:val="single" w:sz="4" w:space="0" w:color="000000"/>
            </w:tcBorders>
            <w:tcMar>
              <w:top w:w="50" w:type="dxa"/>
              <w:left w:w="70" w:type="dxa"/>
              <w:bottom w:w="50" w:type="dxa"/>
              <w:right w:w="70" w:type="dxa"/>
            </w:tcMar>
            <w:vAlign w:val="center"/>
          </w:tcPr>
          <w:p w14:paraId="555376E8" w14:textId="77777777" w:rsidR="008A78AA" w:rsidRDefault="00000000">
            <w:pPr>
              <w:pStyle w:val="tablecolhead"/>
              <w:spacing w:before="20" w:after="20" w:line="252" w:lineRule="auto"/>
            </w:pPr>
            <w:r>
              <w:t>Model</w:t>
            </w:r>
          </w:p>
        </w:tc>
        <w:tc>
          <w:tcPr>
            <w:tcW w:w="1532" w:type="dxa"/>
            <w:tcBorders>
              <w:top w:val="single" w:sz="8" w:space="0" w:color="000000"/>
              <w:bottom w:val="single" w:sz="4" w:space="0" w:color="000000"/>
            </w:tcBorders>
            <w:tcMar>
              <w:top w:w="50" w:type="dxa"/>
              <w:left w:w="70" w:type="dxa"/>
              <w:bottom w:w="50" w:type="dxa"/>
              <w:right w:w="70" w:type="dxa"/>
            </w:tcMar>
            <w:vAlign w:val="center"/>
          </w:tcPr>
          <w:p w14:paraId="7E058F73" w14:textId="77777777" w:rsidR="008A78AA" w:rsidRDefault="00000000">
            <w:pPr>
              <w:pStyle w:val="tablecolhead"/>
              <w:spacing w:before="20" w:after="20" w:line="252" w:lineRule="auto"/>
            </w:pPr>
            <w:r>
              <w:t>Mean RMSE (± SD)</w:t>
            </w:r>
          </w:p>
        </w:tc>
        <w:tc>
          <w:tcPr>
            <w:tcW w:w="1534" w:type="dxa"/>
            <w:tcBorders>
              <w:top w:val="single" w:sz="8" w:space="0" w:color="000000"/>
              <w:bottom w:val="single" w:sz="4" w:space="0" w:color="000000"/>
            </w:tcBorders>
            <w:tcMar>
              <w:top w:w="50" w:type="dxa"/>
              <w:left w:w="70" w:type="dxa"/>
              <w:bottom w:w="50" w:type="dxa"/>
              <w:right w:w="70" w:type="dxa"/>
            </w:tcMar>
            <w:vAlign w:val="center"/>
          </w:tcPr>
          <w:p w14:paraId="365D2192" w14:textId="77777777" w:rsidR="008A78AA" w:rsidRDefault="00000000">
            <w:pPr>
              <w:pStyle w:val="tablecolhead"/>
              <w:spacing w:before="20" w:after="20" w:line="252" w:lineRule="auto"/>
            </w:pPr>
            <w:r>
              <w:t>Absolute MAE (± SD)</w:t>
            </w:r>
          </w:p>
        </w:tc>
      </w:tr>
      <w:tr w:rsidR="008A78AA" w14:paraId="459E93C3" w14:textId="77777777">
        <w:trPr>
          <w:cantSplit/>
          <w:trHeight w:val="240"/>
          <w:jc w:val="center"/>
        </w:trPr>
        <w:tc>
          <w:tcPr>
            <w:tcW w:w="1734" w:type="dxa"/>
            <w:tcMar>
              <w:top w:w="50" w:type="dxa"/>
              <w:left w:w="70" w:type="dxa"/>
              <w:bottom w:w="50" w:type="dxa"/>
              <w:right w:w="70" w:type="dxa"/>
            </w:tcMar>
            <w:vAlign w:val="center"/>
          </w:tcPr>
          <w:p w14:paraId="61382A35" w14:textId="77777777" w:rsidR="008A78AA" w:rsidRDefault="00000000">
            <w:pPr>
              <w:pStyle w:val="tablecopy"/>
              <w:spacing w:before="20" w:after="20" w:line="252" w:lineRule="auto"/>
              <w:jc w:val="left"/>
            </w:pPr>
            <w:r>
              <w:rPr>
                <w:sz w:val="15"/>
              </w:rPr>
              <w:t>XGBoost</w:t>
            </w:r>
          </w:p>
        </w:tc>
        <w:tc>
          <w:tcPr>
            <w:tcW w:w="1532" w:type="dxa"/>
            <w:tcMar>
              <w:top w:w="50" w:type="dxa"/>
              <w:left w:w="70" w:type="dxa"/>
              <w:bottom w:w="50" w:type="dxa"/>
              <w:right w:w="70" w:type="dxa"/>
            </w:tcMar>
            <w:vAlign w:val="center"/>
          </w:tcPr>
          <w:p w14:paraId="42B80F91" w14:textId="77777777" w:rsidR="008A78AA" w:rsidRDefault="00000000">
            <w:pPr>
              <w:pStyle w:val="tablecopy"/>
              <w:spacing w:before="20" w:after="20" w:line="252" w:lineRule="auto"/>
              <w:jc w:val="center"/>
            </w:pPr>
            <w:r>
              <w:rPr>
                <w:sz w:val="15"/>
              </w:rPr>
              <w:t>0.1524 ± 0.0068</w:t>
            </w:r>
          </w:p>
        </w:tc>
        <w:tc>
          <w:tcPr>
            <w:tcW w:w="1534" w:type="dxa"/>
            <w:tcMar>
              <w:top w:w="50" w:type="dxa"/>
              <w:left w:w="70" w:type="dxa"/>
              <w:bottom w:w="50" w:type="dxa"/>
              <w:right w:w="70" w:type="dxa"/>
            </w:tcMar>
            <w:vAlign w:val="center"/>
          </w:tcPr>
          <w:p w14:paraId="2A39FF20" w14:textId="77777777" w:rsidR="008A78AA" w:rsidRDefault="00000000">
            <w:pPr>
              <w:pStyle w:val="tablecopy"/>
              <w:spacing w:before="20" w:after="20" w:line="252" w:lineRule="auto"/>
              <w:jc w:val="center"/>
            </w:pPr>
            <w:r>
              <w:rPr>
                <w:sz w:val="15"/>
              </w:rPr>
              <w:t>0.1260 ± 0.0055</w:t>
            </w:r>
          </w:p>
        </w:tc>
      </w:tr>
      <w:tr w:rsidR="008A78AA" w14:paraId="366F49BD" w14:textId="77777777">
        <w:trPr>
          <w:cantSplit/>
          <w:trHeight w:val="240"/>
          <w:jc w:val="center"/>
        </w:trPr>
        <w:tc>
          <w:tcPr>
            <w:tcW w:w="1734" w:type="dxa"/>
            <w:tcMar>
              <w:top w:w="50" w:type="dxa"/>
              <w:left w:w="70" w:type="dxa"/>
              <w:bottom w:w="50" w:type="dxa"/>
              <w:right w:w="70" w:type="dxa"/>
            </w:tcMar>
            <w:vAlign w:val="center"/>
          </w:tcPr>
          <w:p w14:paraId="6F976A77" w14:textId="77777777" w:rsidR="008A78AA" w:rsidRDefault="00000000">
            <w:pPr>
              <w:pStyle w:val="tablecopy"/>
              <w:spacing w:before="20" w:after="20" w:line="252" w:lineRule="auto"/>
              <w:jc w:val="left"/>
            </w:pPr>
            <w:r>
              <w:rPr>
                <w:sz w:val="15"/>
              </w:rPr>
              <w:t>Informer</w:t>
            </w:r>
          </w:p>
        </w:tc>
        <w:tc>
          <w:tcPr>
            <w:tcW w:w="1532" w:type="dxa"/>
            <w:tcMar>
              <w:top w:w="50" w:type="dxa"/>
              <w:left w:w="70" w:type="dxa"/>
              <w:bottom w:w="50" w:type="dxa"/>
              <w:right w:w="70" w:type="dxa"/>
            </w:tcMar>
            <w:vAlign w:val="center"/>
          </w:tcPr>
          <w:p w14:paraId="1EDC5423" w14:textId="77777777" w:rsidR="008A78AA" w:rsidRDefault="00000000">
            <w:pPr>
              <w:pStyle w:val="tablecopy"/>
              <w:spacing w:before="20" w:after="20" w:line="252" w:lineRule="auto"/>
              <w:jc w:val="center"/>
            </w:pPr>
            <w:r>
              <w:rPr>
                <w:sz w:val="15"/>
              </w:rPr>
              <w:t>0.1321 ± 0.0081</w:t>
            </w:r>
          </w:p>
        </w:tc>
        <w:tc>
          <w:tcPr>
            <w:tcW w:w="1534" w:type="dxa"/>
            <w:tcMar>
              <w:top w:w="50" w:type="dxa"/>
              <w:left w:w="70" w:type="dxa"/>
              <w:bottom w:w="50" w:type="dxa"/>
              <w:right w:w="70" w:type="dxa"/>
            </w:tcMar>
            <w:vAlign w:val="center"/>
          </w:tcPr>
          <w:p w14:paraId="059494C4" w14:textId="77777777" w:rsidR="008A78AA" w:rsidRDefault="00000000">
            <w:pPr>
              <w:pStyle w:val="tablecopy"/>
              <w:spacing w:before="20" w:after="20" w:line="252" w:lineRule="auto"/>
              <w:jc w:val="center"/>
            </w:pPr>
            <w:r>
              <w:rPr>
                <w:sz w:val="15"/>
              </w:rPr>
              <w:t>0.1119 ± 0.0072</w:t>
            </w:r>
          </w:p>
        </w:tc>
      </w:tr>
      <w:tr w:rsidR="008A78AA" w14:paraId="321856CB" w14:textId="77777777">
        <w:trPr>
          <w:cantSplit/>
          <w:trHeight w:val="240"/>
          <w:jc w:val="center"/>
        </w:trPr>
        <w:tc>
          <w:tcPr>
            <w:tcW w:w="1734" w:type="dxa"/>
            <w:tcMar>
              <w:top w:w="50" w:type="dxa"/>
              <w:left w:w="70" w:type="dxa"/>
              <w:bottom w:w="50" w:type="dxa"/>
              <w:right w:w="70" w:type="dxa"/>
            </w:tcMar>
            <w:vAlign w:val="center"/>
          </w:tcPr>
          <w:p w14:paraId="666CA549" w14:textId="77777777" w:rsidR="008A78AA" w:rsidRDefault="00000000">
            <w:pPr>
              <w:pStyle w:val="tablecopy"/>
              <w:spacing w:before="20" w:after="20" w:line="252" w:lineRule="auto"/>
              <w:jc w:val="left"/>
            </w:pPr>
            <w:r>
              <w:rPr>
                <w:sz w:val="15"/>
              </w:rPr>
              <w:t>LSTM</w:t>
            </w:r>
          </w:p>
        </w:tc>
        <w:tc>
          <w:tcPr>
            <w:tcW w:w="1532" w:type="dxa"/>
            <w:tcMar>
              <w:top w:w="50" w:type="dxa"/>
              <w:left w:w="70" w:type="dxa"/>
              <w:bottom w:w="50" w:type="dxa"/>
              <w:right w:w="70" w:type="dxa"/>
            </w:tcMar>
            <w:vAlign w:val="center"/>
          </w:tcPr>
          <w:p w14:paraId="710DC240" w14:textId="77777777" w:rsidR="008A78AA" w:rsidRDefault="00000000">
            <w:pPr>
              <w:pStyle w:val="tablecopy"/>
              <w:spacing w:before="20" w:after="20" w:line="252" w:lineRule="auto"/>
              <w:jc w:val="center"/>
            </w:pPr>
            <w:r>
              <w:rPr>
                <w:sz w:val="15"/>
              </w:rPr>
              <w:t>0.1145 ± 0.0051</w:t>
            </w:r>
          </w:p>
        </w:tc>
        <w:tc>
          <w:tcPr>
            <w:tcW w:w="1534" w:type="dxa"/>
            <w:tcMar>
              <w:top w:w="50" w:type="dxa"/>
              <w:left w:w="70" w:type="dxa"/>
              <w:bottom w:w="50" w:type="dxa"/>
              <w:right w:w="70" w:type="dxa"/>
            </w:tcMar>
            <w:vAlign w:val="center"/>
          </w:tcPr>
          <w:p w14:paraId="37E1FE32" w14:textId="77777777" w:rsidR="008A78AA" w:rsidRDefault="00000000">
            <w:pPr>
              <w:pStyle w:val="tablecopy"/>
              <w:spacing w:before="20" w:after="20" w:line="252" w:lineRule="auto"/>
              <w:jc w:val="center"/>
            </w:pPr>
            <w:r>
              <w:rPr>
                <w:sz w:val="15"/>
              </w:rPr>
              <w:t>0.1008 ± 0.0042</w:t>
            </w:r>
          </w:p>
        </w:tc>
      </w:tr>
      <w:tr w:rsidR="008A78AA" w14:paraId="0619D184" w14:textId="77777777">
        <w:trPr>
          <w:cantSplit/>
          <w:trHeight w:val="240"/>
          <w:jc w:val="center"/>
        </w:trPr>
        <w:tc>
          <w:tcPr>
            <w:tcW w:w="1734" w:type="dxa"/>
            <w:tcBorders>
              <w:bottom w:val="single" w:sz="8" w:space="0" w:color="000000"/>
            </w:tcBorders>
            <w:tcMar>
              <w:top w:w="50" w:type="dxa"/>
              <w:left w:w="70" w:type="dxa"/>
              <w:bottom w:w="50" w:type="dxa"/>
              <w:right w:w="70" w:type="dxa"/>
            </w:tcMar>
            <w:vAlign w:val="center"/>
          </w:tcPr>
          <w:p w14:paraId="6AC682AF" w14:textId="77777777" w:rsidR="008A78AA" w:rsidRDefault="00000000">
            <w:pPr>
              <w:pStyle w:val="tablecopy"/>
              <w:spacing w:before="20" w:after="20" w:line="252" w:lineRule="auto"/>
              <w:jc w:val="left"/>
            </w:pPr>
            <w:r>
              <w:rPr>
                <w:sz w:val="15"/>
              </w:rPr>
              <w:t>GRU</w:t>
            </w:r>
          </w:p>
        </w:tc>
        <w:tc>
          <w:tcPr>
            <w:tcW w:w="1532" w:type="dxa"/>
            <w:tcBorders>
              <w:bottom w:val="single" w:sz="8" w:space="0" w:color="000000"/>
            </w:tcBorders>
            <w:tcMar>
              <w:top w:w="50" w:type="dxa"/>
              <w:left w:w="70" w:type="dxa"/>
              <w:bottom w:w="50" w:type="dxa"/>
              <w:right w:w="70" w:type="dxa"/>
            </w:tcMar>
            <w:vAlign w:val="center"/>
          </w:tcPr>
          <w:p w14:paraId="5C9064B7" w14:textId="77777777" w:rsidR="008A78AA" w:rsidRDefault="00000000">
            <w:pPr>
              <w:pStyle w:val="tablecopy"/>
              <w:spacing w:before="20" w:after="20" w:line="252" w:lineRule="auto"/>
              <w:jc w:val="center"/>
            </w:pPr>
            <w:r>
              <w:rPr>
                <w:sz w:val="15"/>
              </w:rPr>
              <w:t>0.1058 ± 0.0034</w:t>
            </w:r>
          </w:p>
        </w:tc>
        <w:tc>
          <w:tcPr>
            <w:tcW w:w="1534" w:type="dxa"/>
            <w:tcBorders>
              <w:bottom w:val="single" w:sz="8" w:space="0" w:color="000000"/>
            </w:tcBorders>
            <w:tcMar>
              <w:top w:w="50" w:type="dxa"/>
              <w:left w:w="70" w:type="dxa"/>
              <w:bottom w:w="50" w:type="dxa"/>
              <w:right w:w="70" w:type="dxa"/>
            </w:tcMar>
            <w:vAlign w:val="center"/>
          </w:tcPr>
          <w:p w14:paraId="2A74A51C" w14:textId="77777777" w:rsidR="008A78AA" w:rsidRDefault="00000000">
            <w:pPr>
              <w:pStyle w:val="tablecopy"/>
              <w:spacing w:before="20" w:after="20" w:line="252" w:lineRule="auto"/>
              <w:jc w:val="center"/>
            </w:pPr>
            <w:r>
              <w:rPr>
                <w:sz w:val="15"/>
              </w:rPr>
              <w:t>0.0948 ± 0.0028</w:t>
            </w:r>
          </w:p>
        </w:tc>
      </w:tr>
    </w:tbl>
    <w:p w14:paraId="27876C67" w14:textId="77777777" w:rsidR="008A78AA" w:rsidRDefault="00000000">
      <w:pPr>
        <w:pStyle w:val="Heading2"/>
      </w:pPr>
      <w:r>
        <w:t>Error Distributions and Macro-Regime Anomalies</w:t>
      </w:r>
    </w:p>
    <w:p w14:paraId="11566EC8" w14:textId="77777777" w:rsidR="00B81C38" w:rsidRDefault="00D16FC1" w:rsidP="00B81C38">
      <w:pPr>
        <w:pStyle w:val="BodyText"/>
      </w:pPr>
      <w:r>
        <w:t>All four architectures exhibit non-Gaussian residual distributions. The GRU residual distribution (Fig. 3) computed across all 24 × 168 = 4,032 out-of-sample predictions is right-skewed (skewness ≈ +1.4), with heavier-than-normal tails; the LSTM (not shown) shows skewness ≈ +1.7, consistent with its larger RMSE. This right-skew indicates a systematic tendency to underestimate large positive price moves. Price-derived technical features are by construction lagging indicators and cannot capture abrupt regime changes driven by external macro events; this is a known structural limitation of the feature set [48]. No specific macro-shock event is identified in the residuals because no single fold precisely covers the most extreme historical events in the five-year sample.</w:t>
      </w:r>
    </w:p>
    <w:p w:rsidR="008A78AA" w:rsidRDefault="00000000">
      <w:pPr>
        <w:pStyle w:val="BodyText"/>
        <w:ind w:firstLine="0"/>
        <w:jc w:val="center"/>
      </w:pPr>
      <w:r>
        <w:rPr>
          <w:noProof/>
        </w:rPr>
        <w:drawing>
          <wp:inline distT="0" distB="0" distL="0" distR="0">
            <wp:extent cx="3108960" cy="1412299"/>
            <wp:effectExtent l="0" t="0" r="0" b="0"/>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Picture 90"/>
                    <pic:cNvPicPr/>
                  </pic:nvPicPr>
                  <pic:blipFill>
                    <a:blip r:embed="rId13"/>
                    <a:stretch>
                      <a:fillRect/>
                    </a:stretch>
                  </pic:blipFill>
                  <pic:spPr>
                    <a:xfrm>
                      <a:off x="0" y="0"/>
                      <a:ext cx="3108960" cy="1412299"/>
                    </a:xfrm>
                    <a:prstGeom prst="rect">
                      <a:avLst/>
                    </a:prstGeom>
                  </pic:spPr>
                </pic:pic>
              </a:graphicData>
            </a:graphic>
          </wp:inline>
        </w:drawing>
      </w:r>
    </w:p>
    <w:p w:rsidR="008A78AA" w:rsidRDefault="00D16FC1">
      <w:pPr>
        <w:pStyle w:val="figurecaption"/>
        <w:jc w:val="center"/>
      </w:pPr>
      <w:r>
        <w:t>GRU residual error distribution across all 24 Walk-Forward folds (4,032 hourly residuals combined): histogram with kernel density estimate (left) and Q-Q plot vs. standard normal (right). The distribution is right-skewed (skewness ≈ +1.4) with heavier-than-normal tails, indicating systematic underestimation of large positive price moves. Note: no specific macro-shock event (e.g., Terra-Luna, FTX) is identified in the residuals, as no single fold precisely covers those dates.</w:t>
      </w:r>
    </w:p>
    <w:p w14:paraId="4C5844E2" w14:textId="77777777" w:rsidR="008A78AA" w:rsidRDefault="00000000">
      <w:pPr>
        <w:pStyle w:val="Heading2"/>
      </w:pPr>
      <w:r>
        <w:t>Operational Microsoft Power BI Prototype Verification</w:t>
      </w:r>
    </w:p>
    <w:p w14:paraId="7157632C" w14:textId="77777777" w:rsidR="008A78AA" w:rsidRDefault="00A018D2">
      <w:pPr>
        <w:pStyle w:val="BodyText"/>
      </w:pPr>
      <w:r>
        <w:t xml:space="preserve">Table II presents a markedly contrasting evaluation under decision-support and risk-adjusted criteria. The operational prototype was assessed on dimensions adapted from Power [9] and Sharda et al. [38]:</w:t>
      </w:r>
    </w:p>
    <w:p w14:paraId="40847D5B" w14:textId="77777777" w:rsidR="008A78AA" w:rsidRDefault="00000000">
      <w:pPr>
        <w:pStyle w:val="BodyText"/>
      </w:pPr>
      <w:r>
        <w:t xml:space="preserve">1) Functional Correctness: Inference outputs were streamed to live dashboard tiles with an average refresh latency of 1.2 s, and all 43,786 records were ingested into the PostgreSQL Data Mart with 100% integrity (row-count audits and SHA-256 checksums).</w:t>
      </w:r>
    </w:p>
    <w:p w14:paraId="35C9D4F7" w14:textId="77777777" w:rsidR="008A78AA" w:rsidRDefault="00000000">
      <w:pPr>
        <w:pStyle w:val="BodyText"/>
      </w:pPr>
      <w:r>
        <w:t xml:space="preserve">2) Numerical Stability: Dashboard-computed Sharpe Ratios and VaR(95%) matched Python ground-truth calculations (maximum deviation ≤ 0.003).</w:t>
      </w:r>
    </w:p>
    <w:p w14:paraId="1AFBD775" w14:textId="77777777" w:rsidR="00D90C4A" w:rsidRDefault="00000000" w:rsidP="00D90C4A">
      <w:pPr>
        <w:pStyle w:val="BodyText"/>
      </w:pPr>
      <w:r>
        <w:t>3) Usability Evaluation: After a 30-minute walkthrough, 15 domain evaluators (10 postgraduate informatics researchers and 5 financial analytics professionals) completed the System Usability Scale (SUS) [49]. The dashboard achieved an average SUS score of 86.4 (SD = 3.2, range: 80–92), in the 'Excellent' tier (adjective scale ≥ 85.5) [50], suggesting that evaluators could interpret the multi-model outputs after a brief walkthrough. The low SD reflects the homogeneous evaluator cohort (postgraduate informatics students and financial analytics professionals with similar BI tool exposure); full item-by-item raw scores for all 15 participants are available from the corresponding author upon request.</w:t>
      </w:r>
    </w:p>
    <w:p w14:paraId="4A85612B" w14:textId="77777777" w:rsidR="008A78AA" w:rsidRDefault="00D90C4A" w:rsidP="00D90C4A">
      <w:pPr>
        <w:pStyle w:val="BodyText"/>
      </w:pPr>
      <w:r>
        <w:t>4) Practical Implications: While GRU attained the best point RMSE, the LSTM achieved the highest Directional Accuracy (57.8% ± 2.1%) and annualized Sharpe Ratio (0.87 ± 0.12, VaR95% = −1.18% per hour), as summarized in Table II and Fig. 4, showing that directional alignment matters more than nominal point deviation for gross risk-adjusted utility at the weekly forecast horizon.</w:t>
      </w:r>
    </w:p>
    <w:p w14:paraId="79ED9B44" w14:textId="77777777" w:rsidR="008A78AA" w:rsidRDefault="00000000">
      <w:pPr>
        <w:pStyle w:val="tablehead"/>
      </w:pPr>
      <w:r>
        <w:t>KPI DASHBOARD (SHARPE, VAR, DIRECTIONAL ACCURACY)</w:t>
      </w:r>
    </w:p>
    <w:tbl>
      <w:tblPr>
        <w:tblW w:w="4817" w:type="dxa"/>
        <w:jc w:val="center"/>
        <w:tblLayout w:type="fixed"/>
        <w:tblLook w:val="0000" w:firstRow="0" w:lastRow="0" w:firstColumn="0" w:lastColumn="0" w:noHBand="0" w:noVBand="0"/>
      </w:tblPr>
      <w:tblGrid>
        <w:gridCol w:w="1412"/>
        <w:gridCol w:w="851"/>
        <w:gridCol w:w="852"/>
        <w:gridCol w:w="850"/>
        <w:gridCol w:w="852"/>
      </w:tblGrid>
      <w:tr w:rsidR="008A78AA" w14:paraId="342C79E8" w14:textId="77777777">
        <w:trPr>
          <w:cantSplit/>
          <w:trHeight w:val="240"/>
          <w:tblHeader/>
          <w:jc w:val="center"/>
        </w:trPr>
        <w:tc>
          <w:tcPr>
            <w:tcW w:w="1412" w:type="dxa"/>
            <w:tcBorders>
              <w:top w:val="single" w:sz="8" w:space="0" w:color="000000"/>
              <w:bottom w:val="single" w:sz="4" w:space="0" w:color="000000"/>
            </w:tcBorders>
            <w:tcMar>
              <w:top w:w="50" w:type="dxa"/>
              <w:left w:w="70" w:type="dxa"/>
              <w:bottom w:w="50" w:type="dxa"/>
              <w:right w:w="70" w:type="dxa"/>
            </w:tcMar>
            <w:vAlign w:val="center"/>
          </w:tcPr>
          <w:p w14:paraId="2B6A6814" w14:textId="77777777" w:rsidR="008A78AA" w:rsidRDefault="00000000">
            <w:pPr>
              <w:pStyle w:val="tablecolhead"/>
              <w:spacing w:before="20" w:after="20" w:line="252" w:lineRule="auto"/>
            </w:pPr>
            <w:r>
              <w:t>System Output</w:t>
            </w:r>
          </w:p>
        </w:tc>
        <w:tc>
          <w:tcPr>
            <w:tcW w:w="851" w:type="dxa"/>
            <w:tcBorders>
              <w:top w:val="single" w:sz="8" w:space="0" w:color="000000"/>
              <w:bottom w:val="single" w:sz="4" w:space="0" w:color="000000"/>
            </w:tcBorders>
            <w:tcMar>
              <w:top w:w="50" w:type="dxa"/>
              <w:left w:w="70" w:type="dxa"/>
              <w:bottom w:w="50" w:type="dxa"/>
              <w:right w:w="70" w:type="dxa"/>
            </w:tcMar>
            <w:vAlign w:val="center"/>
          </w:tcPr>
          <w:p w14:paraId="2C27A228" w14:textId="77777777" w:rsidR="008A78AA" w:rsidRDefault="00000000">
            <w:pPr>
              <w:pStyle w:val="tablecolhead"/>
              <w:spacing w:before="20" w:after="20" w:line="252" w:lineRule="auto"/>
            </w:pPr>
            <w:r>
              <w:t>XGBoost</w:t>
            </w:r>
          </w:p>
        </w:tc>
        <w:tc>
          <w:tcPr>
            <w:tcW w:w="852" w:type="dxa"/>
            <w:tcBorders>
              <w:top w:val="single" w:sz="8" w:space="0" w:color="000000"/>
              <w:bottom w:val="single" w:sz="4" w:space="0" w:color="000000"/>
            </w:tcBorders>
            <w:tcMar>
              <w:top w:w="50" w:type="dxa"/>
              <w:left w:w="70" w:type="dxa"/>
              <w:bottom w:w="50" w:type="dxa"/>
              <w:right w:w="70" w:type="dxa"/>
            </w:tcMar>
            <w:vAlign w:val="center"/>
          </w:tcPr>
          <w:p w14:paraId="078498AC" w14:textId="77777777" w:rsidR="008A78AA" w:rsidRDefault="00000000">
            <w:pPr>
              <w:pStyle w:val="tablecolhead"/>
              <w:spacing w:before="20" w:after="20" w:line="252" w:lineRule="auto"/>
            </w:pPr>
            <w:r>
              <w:t>Informer</w:t>
            </w:r>
          </w:p>
        </w:tc>
        <w:tc>
          <w:tcPr>
            <w:tcW w:w="850" w:type="dxa"/>
            <w:tcBorders>
              <w:top w:val="single" w:sz="8" w:space="0" w:color="000000"/>
              <w:bottom w:val="single" w:sz="4" w:space="0" w:color="000000"/>
            </w:tcBorders>
            <w:tcMar>
              <w:top w:w="50" w:type="dxa"/>
              <w:left w:w="70" w:type="dxa"/>
              <w:bottom w:w="50" w:type="dxa"/>
              <w:right w:w="70" w:type="dxa"/>
            </w:tcMar>
            <w:vAlign w:val="center"/>
          </w:tcPr>
          <w:p w14:paraId="04E1C48C" w14:textId="77777777" w:rsidR="008A78AA" w:rsidRDefault="00000000">
            <w:pPr>
              <w:pStyle w:val="tablecolhead"/>
              <w:spacing w:before="20" w:after="20" w:line="252" w:lineRule="auto"/>
            </w:pPr>
            <w:r>
              <w:t>LSTM</w:t>
            </w:r>
          </w:p>
        </w:tc>
        <w:tc>
          <w:tcPr>
            <w:tcW w:w="852" w:type="dxa"/>
            <w:tcBorders>
              <w:top w:val="single" w:sz="8" w:space="0" w:color="000000"/>
              <w:bottom w:val="single" w:sz="4" w:space="0" w:color="000000"/>
            </w:tcBorders>
            <w:tcMar>
              <w:top w:w="50" w:type="dxa"/>
              <w:left w:w="70" w:type="dxa"/>
              <w:bottom w:w="50" w:type="dxa"/>
              <w:right w:w="70" w:type="dxa"/>
            </w:tcMar>
            <w:vAlign w:val="center"/>
          </w:tcPr>
          <w:p w14:paraId="643DDBF7" w14:textId="77777777" w:rsidR="008A78AA" w:rsidRDefault="00000000">
            <w:pPr>
              <w:pStyle w:val="tablecolhead"/>
              <w:spacing w:before="20" w:after="20" w:line="252" w:lineRule="auto"/>
            </w:pPr>
            <w:r>
              <w:t>GRU</w:t>
            </w:r>
          </w:p>
        </w:tc>
      </w:tr>
      <w:tr w:rsidR="008A78AA" w14:paraId="30A7DDFF" w14:textId="77777777">
        <w:trPr>
          <w:cantSplit/>
          <w:trHeight w:val="240"/>
          <w:jc w:val="center"/>
        </w:trPr>
        <w:tc>
          <w:tcPr>
            <w:tcW w:w="1412" w:type="dxa"/>
            <w:tcMar>
              <w:top w:w="50" w:type="dxa"/>
              <w:left w:w="70" w:type="dxa"/>
              <w:bottom w:w="50" w:type="dxa"/>
              <w:right w:w="70" w:type="dxa"/>
            </w:tcMar>
            <w:vAlign w:val="center"/>
          </w:tcPr>
          <w:p w14:paraId="294D97B1" w14:textId="77777777" w:rsidR="008A78AA" w:rsidRDefault="00000000">
            <w:pPr>
              <w:pStyle w:val="tablecopy"/>
              <w:spacing w:before="20" w:after="20" w:line="252" w:lineRule="auto"/>
              <w:jc w:val="left"/>
            </w:pPr>
            <w:r>
              <w:rPr>
                <w:sz w:val="15"/>
              </w:rPr>
              <w:t>Direction Acc.</w:t>
            </w:r>
          </w:p>
        </w:tc>
        <w:tc>
          <w:tcPr>
            <w:tcW w:w="851" w:type="dxa"/>
            <w:tcMar>
              <w:top w:w="50" w:type="dxa"/>
              <w:left w:w="70" w:type="dxa"/>
              <w:bottom w:w="50" w:type="dxa"/>
              <w:right w:w="70" w:type="dxa"/>
            </w:tcMar>
            <w:vAlign w:val="center"/>
          </w:tcPr>
          <w:p w14:paraId="20C1360C" w14:textId="77777777" w:rsidR="008A78AA" w:rsidRDefault="00000000">
            <w:pPr>
              <w:pStyle w:val="tablecopy"/>
              <w:spacing w:before="20" w:after="20" w:line="252" w:lineRule="auto"/>
              <w:jc w:val="center"/>
            </w:pPr>
            <w:r>
              <w:rPr>
                <w:sz w:val="15"/>
              </w:rPr>
              <w:t>51.4% ± 3.1%</w:t>
            </w:r>
          </w:p>
        </w:tc>
        <w:tc>
          <w:tcPr>
            <w:tcW w:w="852" w:type="dxa"/>
            <w:tcMar>
              <w:top w:w="50" w:type="dxa"/>
              <w:left w:w="70" w:type="dxa"/>
              <w:bottom w:w="50" w:type="dxa"/>
              <w:right w:w="70" w:type="dxa"/>
            </w:tcMar>
            <w:vAlign w:val="center"/>
          </w:tcPr>
          <w:p w14:paraId="2F432E8C" w14:textId="77777777" w:rsidR="008A78AA" w:rsidRDefault="00000000">
            <w:pPr>
              <w:pStyle w:val="tablecopy"/>
              <w:spacing w:before="20" w:after="20" w:line="252" w:lineRule="auto"/>
              <w:jc w:val="center"/>
            </w:pPr>
            <w:r>
              <w:rPr>
                <w:sz w:val="15"/>
              </w:rPr>
              <w:t>53.6% ± 2.8%</w:t>
            </w:r>
          </w:p>
        </w:tc>
        <w:tc>
          <w:tcPr>
            <w:tcW w:w="850" w:type="dxa"/>
            <w:tcMar>
              <w:top w:w="50" w:type="dxa"/>
              <w:left w:w="70" w:type="dxa"/>
              <w:bottom w:w="50" w:type="dxa"/>
              <w:right w:w="70" w:type="dxa"/>
            </w:tcMar>
            <w:vAlign w:val="center"/>
          </w:tcPr>
          <w:p w14:paraId="3F5D6F93" w14:textId="77777777" w:rsidR="008A78AA" w:rsidRDefault="00000000">
            <w:pPr>
              <w:pStyle w:val="tablecopy"/>
              <w:spacing w:before="20" w:after="20" w:line="252" w:lineRule="auto"/>
              <w:jc w:val="center"/>
            </w:pPr>
            <w:r>
              <w:rPr>
                <w:sz w:val="15"/>
              </w:rPr>
              <w:t>57.8% ± 2.1%</w:t>
            </w:r>
          </w:p>
        </w:tc>
        <w:tc>
          <w:tcPr>
            <w:tcW w:w="852" w:type="dxa"/>
            <w:tcMar>
              <w:top w:w="50" w:type="dxa"/>
              <w:left w:w="70" w:type="dxa"/>
              <w:bottom w:w="50" w:type="dxa"/>
              <w:right w:w="70" w:type="dxa"/>
            </w:tcMar>
            <w:vAlign w:val="center"/>
          </w:tcPr>
          <w:p w14:paraId="7E8E3583" w14:textId="77777777" w:rsidR="008A78AA" w:rsidRDefault="00000000">
            <w:pPr>
              <w:pStyle w:val="tablecopy"/>
              <w:spacing w:before="20" w:after="20" w:line="252" w:lineRule="auto"/>
              <w:jc w:val="center"/>
            </w:pPr>
            <w:r>
              <w:rPr>
                <w:sz w:val="15"/>
              </w:rPr>
              <w:t>55.3% ± 2.4%</w:t>
            </w:r>
          </w:p>
        </w:tc>
      </w:tr>
      <w:tr w:rsidR="008A78AA" w14:paraId="6F2A5717" w14:textId="77777777">
        <w:trPr>
          <w:cantSplit/>
          <w:trHeight w:val="240"/>
          <w:jc w:val="center"/>
        </w:trPr>
        <w:tc>
          <w:tcPr>
            <w:tcW w:w="1412" w:type="dxa"/>
            <w:tcMar>
              <w:top w:w="50" w:type="dxa"/>
              <w:left w:w="70" w:type="dxa"/>
              <w:bottom w:w="50" w:type="dxa"/>
              <w:right w:w="70" w:type="dxa"/>
            </w:tcMar>
            <w:vAlign w:val="center"/>
          </w:tcPr>
          <w:p w14:paraId="32FC5FC5" w14:textId="77777777" w:rsidR="008A78AA" w:rsidRDefault="00000000">
            <w:pPr>
              <w:pStyle w:val="tablecopy"/>
              <w:spacing w:before="20" w:after="20" w:line="252" w:lineRule="auto"/>
              <w:jc w:val="left"/>
            </w:pPr>
            <w:r>
              <w:rPr>
                <w:sz w:val="15"/>
              </w:rPr>
              <w:t>Sharpe Ratio</w:t>
            </w:r>
          </w:p>
        </w:tc>
        <w:tc>
          <w:tcPr>
            <w:tcW w:w="851" w:type="dxa"/>
            <w:tcMar>
              <w:top w:w="50" w:type="dxa"/>
              <w:left w:w="70" w:type="dxa"/>
              <w:bottom w:w="50" w:type="dxa"/>
              <w:right w:w="70" w:type="dxa"/>
            </w:tcMar>
            <w:vAlign w:val="center"/>
          </w:tcPr>
          <w:p w14:paraId="16F2E422" w14:textId="77777777" w:rsidR="008A78AA" w:rsidRDefault="00000000">
            <w:pPr>
              <w:pStyle w:val="tablecopy"/>
              <w:spacing w:before="20" w:after="20" w:line="252" w:lineRule="auto"/>
              <w:jc w:val="center"/>
            </w:pPr>
            <w:r>
              <w:rPr>
                <w:sz w:val="15"/>
              </w:rPr>
              <w:t>0.31 ± 0.21</w:t>
            </w:r>
          </w:p>
        </w:tc>
        <w:tc>
          <w:tcPr>
            <w:tcW w:w="852" w:type="dxa"/>
            <w:tcMar>
              <w:top w:w="50" w:type="dxa"/>
              <w:left w:w="70" w:type="dxa"/>
              <w:bottom w:w="50" w:type="dxa"/>
              <w:right w:w="70" w:type="dxa"/>
            </w:tcMar>
            <w:vAlign w:val="center"/>
          </w:tcPr>
          <w:p w14:paraId="7F269E7A" w14:textId="77777777" w:rsidR="008A78AA" w:rsidRDefault="00000000">
            <w:pPr>
              <w:pStyle w:val="tablecopy"/>
              <w:spacing w:before="20" w:after="20" w:line="252" w:lineRule="auto"/>
              <w:jc w:val="center"/>
            </w:pPr>
            <w:r>
              <w:rPr>
                <w:sz w:val="15"/>
              </w:rPr>
              <w:t>0.54 ± 0.18</w:t>
            </w:r>
          </w:p>
        </w:tc>
        <w:tc>
          <w:tcPr>
            <w:tcW w:w="850" w:type="dxa"/>
            <w:tcMar>
              <w:top w:w="50" w:type="dxa"/>
              <w:left w:w="70" w:type="dxa"/>
              <w:bottom w:w="50" w:type="dxa"/>
              <w:right w:w="70" w:type="dxa"/>
            </w:tcMar>
            <w:vAlign w:val="center"/>
          </w:tcPr>
          <w:p w14:paraId="079A9C05" w14:textId="77777777" w:rsidR="008A78AA" w:rsidRDefault="00000000">
            <w:pPr>
              <w:pStyle w:val="tablecopy"/>
              <w:spacing w:before="20" w:after="20" w:line="252" w:lineRule="auto"/>
              <w:jc w:val="center"/>
            </w:pPr>
            <w:r>
              <w:rPr>
                <w:sz w:val="15"/>
              </w:rPr>
              <w:t>0.87 ± 0.12</w:t>
            </w:r>
          </w:p>
        </w:tc>
        <w:tc>
          <w:tcPr>
            <w:tcW w:w="852" w:type="dxa"/>
            <w:tcMar>
              <w:top w:w="50" w:type="dxa"/>
              <w:left w:w="70" w:type="dxa"/>
              <w:bottom w:w="50" w:type="dxa"/>
              <w:right w:w="70" w:type="dxa"/>
            </w:tcMar>
            <w:vAlign w:val="center"/>
          </w:tcPr>
          <w:p w14:paraId="51601C4B" w14:textId="77777777" w:rsidR="008A78AA" w:rsidRDefault="00000000">
            <w:pPr>
              <w:pStyle w:val="tablecopy"/>
              <w:spacing w:before="20" w:after="20" w:line="252" w:lineRule="auto"/>
              <w:jc w:val="center"/>
            </w:pPr>
            <w:r>
              <w:rPr>
                <w:sz w:val="15"/>
              </w:rPr>
              <w:t>0.72 ± 0.14</w:t>
            </w:r>
          </w:p>
        </w:tc>
      </w:tr>
      <w:tr w:rsidR="008A78AA" w14:paraId="2528B601" w14:textId="77777777">
        <w:trPr>
          <w:cantSplit/>
          <w:trHeight w:val="240"/>
          <w:jc w:val="center"/>
        </w:trPr>
        <w:tc>
          <w:tcPr>
            <w:tcW w:w="1412" w:type="dxa"/>
            <w:tcBorders>
              <w:bottom w:val="single" w:sz="8" w:space="0" w:color="000000"/>
            </w:tcBorders>
            <w:tcMar>
              <w:top w:w="50" w:type="dxa"/>
              <w:left w:w="70" w:type="dxa"/>
              <w:bottom w:w="50" w:type="dxa"/>
              <w:right w:w="70" w:type="dxa"/>
            </w:tcMar>
            <w:vAlign w:val="center"/>
          </w:tcPr>
          <w:p w14:paraId="465BF222" w14:textId="77777777" w:rsidR="008A78AA" w:rsidRDefault="00000000">
            <w:pPr>
              <w:pStyle w:val="tablecopy"/>
              <w:spacing w:before="20" w:after="20" w:line="252" w:lineRule="auto"/>
              <w:jc w:val="left"/>
            </w:pPr>
            <w:r>
              <w:rPr>
                <w:sz w:val="15"/>
              </w:rPr>
              <w:lastRenderedPageBreak/>
              <w:t>VaR (95%) Limit</w:t>
            </w:r>
          </w:p>
        </w:tc>
        <w:tc>
          <w:tcPr>
            <w:tcW w:w="851" w:type="dxa"/>
            <w:tcBorders>
              <w:bottom w:val="single" w:sz="8" w:space="0" w:color="000000"/>
            </w:tcBorders>
            <w:tcMar>
              <w:top w:w="50" w:type="dxa"/>
              <w:left w:w="70" w:type="dxa"/>
              <w:bottom w:w="50" w:type="dxa"/>
              <w:right w:w="70" w:type="dxa"/>
            </w:tcMar>
            <w:vAlign w:val="center"/>
          </w:tcPr>
          <w:p w14:paraId="5064E807" w14:textId="77777777" w:rsidR="008A78AA" w:rsidRDefault="00000000">
            <w:pPr>
              <w:pStyle w:val="tablecopy"/>
              <w:spacing w:before="20" w:after="20" w:line="252" w:lineRule="auto"/>
              <w:jc w:val="center"/>
            </w:pPr>
            <w:r>
              <w:rPr>
                <w:sz w:val="15"/>
              </w:rPr>
              <w:t>-2.15% ± 0.41%</w:t>
            </w:r>
          </w:p>
        </w:tc>
        <w:tc>
          <w:tcPr>
            <w:tcW w:w="852" w:type="dxa"/>
            <w:tcBorders>
              <w:bottom w:val="single" w:sz="8" w:space="0" w:color="000000"/>
            </w:tcBorders>
            <w:tcMar>
              <w:top w:w="50" w:type="dxa"/>
              <w:left w:w="70" w:type="dxa"/>
              <w:bottom w:w="50" w:type="dxa"/>
              <w:right w:w="70" w:type="dxa"/>
            </w:tcMar>
            <w:vAlign w:val="center"/>
          </w:tcPr>
          <w:p w14:paraId="4A26410A" w14:textId="77777777" w:rsidR="008A78AA" w:rsidRDefault="00000000">
            <w:pPr>
              <w:pStyle w:val="tablecopy"/>
              <w:spacing w:before="20" w:after="20" w:line="252" w:lineRule="auto"/>
              <w:jc w:val="center"/>
            </w:pPr>
            <w:r>
              <w:rPr>
                <w:sz w:val="15"/>
              </w:rPr>
              <w:t>-1.74% ± 0.31%</w:t>
            </w:r>
          </w:p>
        </w:tc>
        <w:tc>
          <w:tcPr>
            <w:tcW w:w="850" w:type="dxa"/>
            <w:tcBorders>
              <w:bottom w:val="single" w:sz="8" w:space="0" w:color="000000"/>
            </w:tcBorders>
            <w:tcMar>
              <w:top w:w="50" w:type="dxa"/>
              <w:left w:w="70" w:type="dxa"/>
              <w:bottom w:w="50" w:type="dxa"/>
              <w:right w:w="70" w:type="dxa"/>
            </w:tcMar>
            <w:vAlign w:val="center"/>
          </w:tcPr>
          <w:p w14:paraId="3899F712" w14:textId="77777777" w:rsidR="008A78AA" w:rsidRDefault="00000000">
            <w:pPr>
              <w:pStyle w:val="tablecopy"/>
              <w:spacing w:before="20" w:after="20" w:line="252" w:lineRule="auto"/>
              <w:jc w:val="center"/>
            </w:pPr>
            <w:r>
              <w:rPr>
                <w:sz w:val="15"/>
              </w:rPr>
              <w:t>-1.18% ± 0.15%</w:t>
            </w:r>
          </w:p>
        </w:tc>
        <w:tc>
          <w:tcPr>
            <w:tcW w:w="852" w:type="dxa"/>
            <w:tcBorders>
              <w:bottom w:val="single" w:sz="8" w:space="0" w:color="000000"/>
            </w:tcBorders>
            <w:tcMar>
              <w:top w:w="50" w:type="dxa"/>
              <w:left w:w="70" w:type="dxa"/>
              <w:bottom w:w="50" w:type="dxa"/>
              <w:right w:w="70" w:type="dxa"/>
            </w:tcMar>
            <w:vAlign w:val="center"/>
          </w:tcPr>
          <w:p w14:paraId="05A85099" w14:textId="77777777" w:rsidR="008A78AA" w:rsidRDefault="00000000">
            <w:pPr>
              <w:pStyle w:val="tablecopy"/>
              <w:spacing w:before="20" w:after="20" w:line="252" w:lineRule="auto"/>
              <w:jc w:val="center"/>
            </w:pPr>
            <w:r>
              <w:rPr>
                <w:sz w:val="15"/>
              </w:rPr>
              <w:t>-1.32% ± 0.22%</w:t>
            </w:r>
          </w:p>
        </w:tc>
      </w:tr>
    </w:tbl>
    <w:p w14:paraId="25DB1596" w14:textId="77777777" w:rsidR="008A78AA" w:rsidRDefault="00000000">
      <w:pPr>
        <w:pStyle w:val="Heading2"/>
      </w:pPr>
      <w:r>
        <w:t>Discussion and Comparative Benchmarking</w:t>
      </w:r>
    </w:p>
    <w:p w14:paraId="60D7F16F" w14:textId="77777777" w:rsidR="008A78AA" w:rsidRDefault="00000000">
      <w:pPr>
        <w:pStyle w:val="Heading3"/>
      </w:pPr>
      <w:r>
        <w:t>Theoretical Justification for Architectural Differences:</w:t>
      </w:r>
    </w:p>
    <w:p w14:paraId="57561646" w14:textId="77777777" w:rsidR="008A78AA" w:rsidRDefault="00D90C4A">
      <w:pPr>
        <w:pStyle w:val="BodyText"/>
      </w:pPr>
      <w:r>
        <w:t xml:space="preserve">The superior point-loss accuracy of the GRU (RMSE = 0.1058) stems from its compact gating structure, an effective inductive bias for short-lag micro-volatility without the over-parameterization of full self-attention. Conversely, LSTM memory-cell dynamics proved more robust in preserving macro trend directionality, translating into superior trading utility.</w:t>
      </w:r>
    </w:p>
    <w:p w14:paraId="1CA16B4D" w14:textId="77777777" w:rsidR="008A78AA" w:rsidRDefault="00000000">
      <w:pPr>
        <w:pStyle w:val="tablehead"/>
      </w:pPr>
      <w:r>
        <w:t>COMPARATIVE BENCHMARKING AGAINST PUBLISHED LITERATURE</w:t>
      </w:r>
    </w:p>
    <w:tbl>
      <w:tblPr>
        <w:tblW w:w="4919" w:type="dxa"/>
        <w:jc w:val="center"/>
        <w:tblLayout w:type="fixed"/>
        <w:tblLook w:val="0000" w:firstRow="0" w:lastRow="0" w:firstColumn="0" w:lastColumn="0" w:noHBand="0" w:noVBand="0"/>
      </w:tblPr>
      <w:tblGrid>
        <w:gridCol w:w="991"/>
        <w:gridCol w:w="708"/>
        <w:gridCol w:w="767"/>
        <w:gridCol w:w="769"/>
        <w:gridCol w:w="873"/>
        <w:gridCol w:w="811"/>
      </w:tblGrid>
      <w:tr w:rsidR="008A78AA" w14:paraId="669DE5D3" w14:textId="77777777">
        <w:trPr>
          <w:cantSplit/>
          <w:trHeight w:val="240"/>
          <w:tblHeader/>
          <w:jc w:val="center"/>
        </w:trPr>
        <w:tc>
          <w:tcPr>
            <w:tcW w:w="990" w:type="dxa"/>
            <w:tcBorders>
              <w:top w:val="single" w:sz="8" w:space="0" w:color="000000"/>
              <w:bottom w:val="single" w:sz="4" w:space="0" w:color="000000"/>
            </w:tcBorders>
            <w:tcMar>
              <w:top w:w="50" w:type="dxa"/>
              <w:left w:w="70" w:type="dxa"/>
              <w:bottom w:w="50" w:type="dxa"/>
              <w:right w:w="70" w:type="dxa"/>
            </w:tcMar>
            <w:vAlign w:val="center"/>
          </w:tcPr>
          <w:p w14:paraId="779E23B7" w14:textId="77777777" w:rsidR="008A78AA" w:rsidRDefault="00000000">
            <w:pPr>
              <w:pStyle w:val="tablecolhead"/>
              <w:spacing w:before="20" w:after="20" w:line="252" w:lineRule="auto"/>
            </w:pPr>
            <w:r>
              <w:t>Study</w:t>
            </w:r>
          </w:p>
        </w:tc>
        <w:tc>
          <w:tcPr>
            <w:tcW w:w="708" w:type="dxa"/>
            <w:tcBorders>
              <w:top w:val="single" w:sz="8" w:space="0" w:color="000000"/>
              <w:bottom w:val="single" w:sz="4" w:space="0" w:color="000000"/>
            </w:tcBorders>
            <w:tcMar>
              <w:top w:w="50" w:type="dxa"/>
              <w:left w:w="70" w:type="dxa"/>
              <w:bottom w:w="50" w:type="dxa"/>
              <w:right w:w="70" w:type="dxa"/>
            </w:tcMar>
            <w:vAlign w:val="center"/>
          </w:tcPr>
          <w:p w14:paraId="08CD0CE9" w14:textId="77777777" w:rsidR="008A78AA" w:rsidRDefault="00000000">
            <w:pPr>
              <w:pStyle w:val="tablecolhead"/>
              <w:spacing w:before="20" w:after="20" w:line="252" w:lineRule="auto"/>
            </w:pPr>
            <w:r>
              <w:t>Model</w:t>
            </w:r>
          </w:p>
        </w:tc>
        <w:tc>
          <w:tcPr>
            <w:tcW w:w="767" w:type="dxa"/>
            <w:tcBorders>
              <w:top w:val="single" w:sz="8" w:space="0" w:color="000000"/>
              <w:bottom w:val="single" w:sz="4" w:space="0" w:color="000000"/>
            </w:tcBorders>
            <w:tcMar>
              <w:top w:w="50" w:type="dxa"/>
              <w:left w:w="70" w:type="dxa"/>
              <w:bottom w:w="50" w:type="dxa"/>
              <w:right w:w="70" w:type="dxa"/>
            </w:tcMar>
            <w:vAlign w:val="center"/>
          </w:tcPr>
          <w:p w14:paraId="3D74E9A3" w14:textId="77777777" w:rsidR="008A78AA" w:rsidRDefault="00000000">
            <w:pPr>
              <w:pStyle w:val="tablecolhead"/>
              <w:spacing w:before="20" w:after="20" w:line="252" w:lineRule="auto"/>
            </w:pPr>
            <w:r>
              <w:t>Asset / Interval</w:t>
            </w:r>
          </w:p>
        </w:tc>
        <w:tc>
          <w:tcPr>
            <w:tcW w:w="769" w:type="dxa"/>
            <w:tcBorders>
              <w:top w:val="single" w:sz="8" w:space="0" w:color="000000"/>
              <w:bottom w:val="single" w:sz="4" w:space="0" w:color="000000"/>
            </w:tcBorders>
            <w:tcMar>
              <w:top w:w="50" w:type="dxa"/>
              <w:left w:w="70" w:type="dxa"/>
              <w:bottom w:w="50" w:type="dxa"/>
              <w:right w:w="70" w:type="dxa"/>
            </w:tcMar>
            <w:vAlign w:val="center"/>
          </w:tcPr>
          <w:p w14:paraId="4933E563" w14:textId="77777777" w:rsidR="008A78AA" w:rsidRDefault="00000000">
            <w:pPr>
              <w:pStyle w:val="tablecolhead"/>
              <w:spacing w:before="20" w:after="20" w:line="252" w:lineRule="auto"/>
            </w:pPr>
            <w:r>
              <w:t>RMSE (norm.)</w:t>
            </w:r>
          </w:p>
        </w:tc>
        <w:tc>
          <w:tcPr>
            <w:tcW w:w="873" w:type="dxa"/>
            <w:tcBorders>
              <w:top w:val="single" w:sz="8" w:space="0" w:color="000000"/>
              <w:bottom w:val="single" w:sz="4" w:space="0" w:color="000000"/>
            </w:tcBorders>
            <w:tcMar>
              <w:top w:w="50" w:type="dxa"/>
              <w:left w:w="70" w:type="dxa"/>
              <w:bottom w:w="50" w:type="dxa"/>
              <w:right w:w="70" w:type="dxa"/>
            </w:tcMar>
            <w:vAlign w:val="center"/>
          </w:tcPr>
          <w:p w14:paraId="66F3D244" w14:textId="77777777" w:rsidR="008A78AA" w:rsidRDefault="00000000">
            <w:pPr>
              <w:pStyle w:val="tablecolhead"/>
              <w:spacing w:before="20" w:after="20" w:line="252" w:lineRule="auto"/>
            </w:pPr>
            <w:r>
              <w:t>Dir. Acc.</w:t>
            </w:r>
          </w:p>
        </w:tc>
        <w:tc>
          <w:tcPr>
            <w:tcW w:w="811" w:type="dxa"/>
            <w:tcBorders>
              <w:top w:val="single" w:sz="8" w:space="0" w:color="000000"/>
              <w:bottom w:val="single" w:sz="4" w:space="0" w:color="000000"/>
            </w:tcBorders>
            <w:tcMar>
              <w:top w:w="50" w:type="dxa"/>
              <w:left w:w="70" w:type="dxa"/>
              <w:bottom w:w="50" w:type="dxa"/>
              <w:right w:w="70" w:type="dxa"/>
            </w:tcMar>
            <w:vAlign w:val="center"/>
          </w:tcPr>
          <w:p w14:paraId="32D66999" w14:textId="77777777" w:rsidR="008A78AA" w:rsidRDefault="00000000">
            <w:pPr>
              <w:pStyle w:val="tablecolhead"/>
              <w:spacing w:before="20" w:after="20" w:line="252" w:lineRule="auto"/>
            </w:pPr>
            <w:r>
              <w:t>Sharpe Ratio</w:t>
            </w:r>
          </w:p>
        </w:tc>
      </w:tr>
      <w:tr w:rsidR="008A78AA" w14:paraId="38E8ED54" w14:textId="77777777">
        <w:trPr>
          <w:cantSplit/>
          <w:trHeight w:val="240"/>
          <w:jc w:val="center"/>
        </w:trPr>
        <w:tc>
          <w:tcPr>
            <w:tcW w:w="990" w:type="dxa"/>
            <w:tcMar>
              <w:top w:w="50" w:type="dxa"/>
              <w:left w:w="70" w:type="dxa"/>
              <w:bottom w:w="50" w:type="dxa"/>
              <w:right w:w="70" w:type="dxa"/>
            </w:tcMar>
            <w:vAlign w:val="center"/>
          </w:tcPr>
          <w:p w14:paraId="5286C849" w14:textId="77777777" w:rsidR="008A78AA" w:rsidRDefault="00000000">
            <w:pPr>
              <w:pStyle w:val="tablecopy"/>
              <w:spacing w:before="20" w:after="20" w:line="252" w:lineRule="auto"/>
              <w:jc w:val="left"/>
            </w:pPr>
            <w:r>
              <w:rPr>
                <w:sz w:val="15"/>
              </w:rPr>
              <w:t>Chen et al. [13] (2020)</w:t>
            </w:r>
          </w:p>
        </w:tc>
        <w:tc>
          <w:tcPr>
            <w:tcW w:w="708" w:type="dxa"/>
            <w:tcMar>
              <w:top w:w="50" w:type="dxa"/>
              <w:left w:w="70" w:type="dxa"/>
              <w:bottom w:w="50" w:type="dxa"/>
              <w:right w:w="70" w:type="dxa"/>
            </w:tcMar>
            <w:vAlign w:val="center"/>
          </w:tcPr>
          <w:p w14:paraId="17BE834C" w14:textId="77777777" w:rsidR="008A78AA" w:rsidRDefault="00000000">
            <w:pPr>
              <w:pStyle w:val="tablecopy"/>
              <w:spacing w:before="20" w:after="20" w:line="252" w:lineRule="auto"/>
              <w:jc w:val="center"/>
            </w:pPr>
            <w:r>
              <w:rPr>
                <w:sz w:val="15"/>
              </w:rPr>
              <w:t>LR/LDA; RF, XGBoost, SVM, LSTM</w:t>
            </w:r>
          </w:p>
        </w:tc>
        <w:tc>
          <w:tcPr>
            <w:tcW w:w="767" w:type="dxa"/>
            <w:tcMar>
              <w:top w:w="50" w:type="dxa"/>
              <w:left w:w="70" w:type="dxa"/>
              <w:bottom w:w="50" w:type="dxa"/>
              <w:right w:w="70" w:type="dxa"/>
            </w:tcMar>
            <w:vAlign w:val="center"/>
          </w:tcPr>
          <w:p w14:paraId="02BFA7DF" w14:textId="77777777" w:rsidR="008A78AA" w:rsidRDefault="00000000">
            <w:pPr>
              <w:pStyle w:val="tablecopy"/>
              <w:spacing w:before="20" w:after="20" w:line="252" w:lineRule="auto"/>
              <w:jc w:val="center"/>
            </w:pPr>
            <w:r>
              <w:rPr>
                <w:sz w:val="15"/>
              </w:rPr>
              <w:t>BTC / Daily; 5-min</w:t>
            </w:r>
          </w:p>
        </w:tc>
        <w:tc>
          <w:tcPr>
            <w:tcW w:w="769" w:type="dxa"/>
            <w:tcMar>
              <w:top w:w="50" w:type="dxa"/>
              <w:left w:w="70" w:type="dxa"/>
              <w:bottom w:w="50" w:type="dxa"/>
              <w:right w:w="70" w:type="dxa"/>
            </w:tcMar>
            <w:vAlign w:val="center"/>
          </w:tcPr>
          <w:p w14:paraId="0D97BE67" w14:textId="77777777" w:rsidR="008A78AA" w:rsidRDefault="00000000">
            <w:pPr>
              <w:pStyle w:val="tablecopy"/>
              <w:spacing w:before="20" w:after="20" w:line="252" w:lineRule="auto"/>
              <w:jc w:val="center"/>
            </w:pPr>
            <w:r>
              <w:rPr>
                <w:sz w:val="15"/>
              </w:rPr>
              <w:t>—</w:t>
            </w:r>
          </w:p>
        </w:tc>
        <w:tc>
          <w:tcPr>
            <w:tcW w:w="873" w:type="dxa"/>
            <w:tcMar>
              <w:top w:w="50" w:type="dxa"/>
              <w:left w:w="70" w:type="dxa"/>
              <w:bottom w:w="50" w:type="dxa"/>
              <w:right w:w="70" w:type="dxa"/>
            </w:tcMar>
            <w:vAlign w:val="center"/>
          </w:tcPr>
          <w:p w14:paraId="1170253A" w14:textId="77777777" w:rsidR="008A78AA" w:rsidRDefault="00000000">
            <w:pPr>
              <w:pStyle w:val="tablecopy"/>
              <w:spacing w:before="20" w:after="20" w:line="252" w:lineRule="auto"/>
              <w:jc w:val="center"/>
            </w:pPr>
            <w:r>
              <w:rPr>
                <w:sz w:val="15"/>
              </w:rPr>
              <w:t>66% (daily); 67.2% (5-min)</w:t>
            </w:r>
          </w:p>
        </w:tc>
        <w:tc>
          <w:tcPr>
            <w:tcW w:w="811" w:type="dxa"/>
            <w:tcMar>
              <w:top w:w="50" w:type="dxa"/>
              <w:left w:w="70" w:type="dxa"/>
              <w:bottom w:w="50" w:type="dxa"/>
              <w:right w:w="70" w:type="dxa"/>
            </w:tcMar>
            <w:vAlign w:val="center"/>
          </w:tcPr>
          <w:p w14:paraId="1650E835" w14:textId="77777777" w:rsidR="008A78AA" w:rsidRDefault="00000000">
            <w:pPr>
              <w:pStyle w:val="tablecopy"/>
              <w:spacing w:before="20" w:after="20" w:line="252" w:lineRule="auto"/>
              <w:jc w:val="center"/>
            </w:pPr>
            <w:r>
              <w:rPr>
                <w:sz w:val="15"/>
              </w:rPr>
              <w:t>—</w:t>
            </w:r>
          </w:p>
        </w:tc>
      </w:tr>
      <w:tr w:rsidR="008A78AA" w14:paraId="0F1C74E0" w14:textId="77777777">
        <w:trPr>
          <w:cantSplit/>
          <w:trHeight w:val="240"/>
          <w:jc w:val="center"/>
        </w:trPr>
        <w:tc>
          <w:tcPr>
            <w:tcW w:w="990" w:type="dxa"/>
            <w:tcMar>
              <w:top w:w="50" w:type="dxa"/>
              <w:left w:w="70" w:type="dxa"/>
              <w:bottom w:w="50" w:type="dxa"/>
              <w:right w:w="70" w:type="dxa"/>
            </w:tcMar>
            <w:vAlign w:val="center"/>
          </w:tcPr>
          <w:p w14:paraId="5AE59292" w14:textId="77777777" w:rsidR="008A78AA" w:rsidRDefault="00000000">
            <w:pPr>
              <w:pStyle w:val="tablecopy"/>
              <w:spacing w:before="20" w:after="20" w:line="252" w:lineRule="auto"/>
              <w:jc w:val="left"/>
            </w:pPr>
            <w:r>
              <w:rPr>
                <w:sz w:val="15"/>
              </w:rPr>
              <w:t>Omole &amp; Enke [32] (2024)</w:t>
            </w:r>
          </w:p>
        </w:tc>
        <w:tc>
          <w:tcPr>
            <w:tcW w:w="708" w:type="dxa"/>
            <w:tcMar>
              <w:top w:w="50" w:type="dxa"/>
              <w:left w:w="70" w:type="dxa"/>
              <w:bottom w:w="50" w:type="dxa"/>
              <w:right w:w="70" w:type="dxa"/>
            </w:tcMar>
            <w:vAlign w:val="center"/>
          </w:tcPr>
          <w:p w14:paraId="3434C9D3" w14:textId="77777777" w:rsidR="008A78AA" w:rsidRDefault="00000000">
            <w:pPr>
              <w:pStyle w:val="tablecopy"/>
              <w:spacing w:before="20" w:after="20" w:line="252" w:lineRule="auto"/>
              <w:jc w:val="center"/>
            </w:pPr>
            <w:r>
              <w:rPr>
                <w:sz w:val="15"/>
              </w:rPr>
              <w:t>Boruta + CNN–LSTM</w:t>
            </w:r>
          </w:p>
        </w:tc>
        <w:tc>
          <w:tcPr>
            <w:tcW w:w="767" w:type="dxa"/>
            <w:tcMar>
              <w:top w:w="50" w:type="dxa"/>
              <w:left w:w="70" w:type="dxa"/>
              <w:bottom w:w="50" w:type="dxa"/>
              <w:right w:w="70" w:type="dxa"/>
            </w:tcMar>
            <w:vAlign w:val="center"/>
          </w:tcPr>
          <w:p w14:paraId="682F74DF" w14:textId="77777777" w:rsidR="008A78AA" w:rsidRDefault="00000000">
            <w:pPr>
              <w:pStyle w:val="tablecopy"/>
              <w:spacing w:before="20" w:after="20" w:line="252" w:lineRule="auto"/>
              <w:jc w:val="center"/>
            </w:pPr>
            <w:r>
              <w:rPr>
                <w:sz w:val="15"/>
              </w:rPr>
              <w:t>BTC / On-chain features</w:t>
            </w:r>
          </w:p>
        </w:tc>
        <w:tc>
          <w:tcPr>
            <w:tcW w:w="769" w:type="dxa"/>
            <w:tcMar>
              <w:top w:w="50" w:type="dxa"/>
              <w:left w:w="70" w:type="dxa"/>
              <w:bottom w:w="50" w:type="dxa"/>
              <w:right w:w="70" w:type="dxa"/>
            </w:tcMar>
            <w:vAlign w:val="center"/>
          </w:tcPr>
          <w:p w14:paraId="7FA38B50" w14:textId="77777777" w:rsidR="008A78AA" w:rsidRDefault="00000000">
            <w:pPr>
              <w:pStyle w:val="tablecopy"/>
              <w:spacing w:before="20" w:after="20" w:line="252" w:lineRule="auto"/>
              <w:jc w:val="center"/>
            </w:pPr>
            <w:r>
              <w:rPr>
                <w:sz w:val="15"/>
              </w:rPr>
              <w:t>—</w:t>
            </w:r>
          </w:p>
        </w:tc>
        <w:tc>
          <w:tcPr>
            <w:tcW w:w="873" w:type="dxa"/>
            <w:tcMar>
              <w:top w:w="50" w:type="dxa"/>
              <w:left w:w="70" w:type="dxa"/>
              <w:bottom w:w="50" w:type="dxa"/>
              <w:right w:w="70" w:type="dxa"/>
            </w:tcMar>
            <w:vAlign w:val="center"/>
          </w:tcPr>
          <w:p w14:paraId="40248961" w14:textId="77777777" w:rsidR="008A78AA" w:rsidRDefault="00000000">
            <w:pPr>
              <w:pStyle w:val="tablecopy"/>
              <w:spacing w:before="20" w:after="20" w:line="252" w:lineRule="auto"/>
              <w:jc w:val="center"/>
            </w:pPr>
            <w:r>
              <w:rPr>
                <w:sz w:val="15"/>
              </w:rPr>
              <w:t>82.44%</w:t>
            </w:r>
          </w:p>
        </w:tc>
        <w:tc>
          <w:tcPr>
            <w:tcW w:w="811" w:type="dxa"/>
            <w:tcMar>
              <w:top w:w="50" w:type="dxa"/>
              <w:left w:w="70" w:type="dxa"/>
              <w:bottom w:w="50" w:type="dxa"/>
              <w:right w:w="70" w:type="dxa"/>
            </w:tcMar>
            <w:vAlign w:val="center"/>
          </w:tcPr>
          <w:p w14:paraId="54B717E4" w14:textId="77777777" w:rsidR="008A78AA" w:rsidRDefault="00000000">
            <w:pPr>
              <w:pStyle w:val="tablecopy"/>
              <w:spacing w:before="20" w:after="20" w:line="252" w:lineRule="auto"/>
              <w:jc w:val="center"/>
            </w:pPr>
            <w:r>
              <w:rPr>
                <w:sz w:val="15"/>
              </w:rPr>
              <w:t>—</w:t>
            </w:r>
          </w:p>
        </w:tc>
      </w:tr>
      <w:tr w:rsidR="008A78AA" w14:paraId="0B9DF4AD" w14:textId="77777777">
        <w:trPr>
          <w:cantSplit/>
          <w:trHeight w:val="240"/>
          <w:jc w:val="center"/>
        </w:trPr>
        <w:tc>
          <w:tcPr>
            <w:tcW w:w="990" w:type="dxa"/>
            <w:tcMar>
              <w:top w:w="50" w:type="dxa"/>
              <w:left w:w="70" w:type="dxa"/>
              <w:bottom w:w="50" w:type="dxa"/>
              <w:right w:w="70" w:type="dxa"/>
            </w:tcMar>
            <w:vAlign w:val="center"/>
          </w:tcPr>
          <w:p w14:paraId="51BC7031" w14:textId="77777777" w:rsidR="008A78AA" w:rsidRDefault="00000000">
            <w:pPr>
              <w:pStyle w:val="tablecopy"/>
              <w:spacing w:before="20" w:after="20" w:line="252" w:lineRule="auto"/>
              <w:jc w:val="left"/>
            </w:pPr>
            <w:r>
              <w:rPr>
                <w:sz w:val="15"/>
              </w:rPr>
              <w:t>Jaquart et al. [31] (2022)</w:t>
            </w:r>
          </w:p>
        </w:tc>
        <w:tc>
          <w:tcPr>
            <w:tcW w:w="708" w:type="dxa"/>
            <w:tcMar>
              <w:top w:w="50" w:type="dxa"/>
              <w:left w:w="70" w:type="dxa"/>
              <w:bottom w:w="50" w:type="dxa"/>
              <w:right w:w="70" w:type="dxa"/>
            </w:tcMar>
            <w:vAlign w:val="center"/>
          </w:tcPr>
          <w:p w14:paraId="4528F831" w14:textId="77777777" w:rsidR="008A78AA" w:rsidRDefault="00000000">
            <w:pPr>
              <w:pStyle w:val="tablecopy"/>
              <w:spacing w:before="20" w:after="20" w:line="252" w:lineRule="auto"/>
              <w:jc w:val="center"/>
            </w:pPr>
            <w:r>
              <w:rPr>
                <w:sz w:val="15"/>
              </w:rPr>
              <w:t>LSTM, GRU ensembles</w:t>
            </w:r>
          </w:p>
        </w:tc>
        <w:tc>
          <w:tcPr>
            <w:tcW w:w="767" w:type="dxa"/>
            <w:tcMar>
              <w:top w:w="50" w:type="dxa"/>
              <w:left w:w="70" w:type="dxa"/>
              <w:bottom w:w="50" w:type="dxa"/>
              <w:right w:w="70" w:type="dxa"/>
            </w:tcMar>
            <w:vAlign w:val="center"/>
          </w:tcPr>
          <w:p w14:paraId="4FC65B52" w14:textId="77777777" w:rsidR="008A78AA" w:rsidRDefault="00000000">
            <w:pPr>
              <w:pStyle w:val="tablecopy"/>
              <w:spacing w:before="20" w:after="20" w:line="252" w:lineRule="auto"/>
              <w:jc w:val="center"/>
            </w:pPr>
            <w:r>
              <w:rPr>
                <w:sz w:val="15"/>
              </w:rPr>
              <w:t>100 cryptos / Daily</w:t>
            </w:r>
          </w:p>
        </w:tc>
        <w:tc>
          <w:tcPr>
            <w:tcW w:w="769" w:type="dxa"/>
            <w:tcMar>
              <w:top w:w="50" w:type="dxa"/>
              <w:left w:w="70" w:type="dxa"/>
              <w:bottom w:w="50" w:type="dxa"/>
              <w:right w:w="70" w:type="dxa"/>
            </w:tcMar>
            <w:vAlign w:val="center"/>
          </w:tcPr>
          <w:p w14:paraId="07AA4BBC" w14:textId="77777777" w:rsidR="008A78AA" w:rsidRDefault="00000000">
            <w:pPr>
              <w:pStyle w:val="tablecopy"/>
              <w:spacing w:before="20" w:after="20" w:line="252" w:lineRule="auto"/>
              <w:jc w:val="center"/>
            </w:pPr>
            <w:r>
              <w:rPr>
                <w:sz w:val="15"/>
              </w:rPr>
              <w:t>—</w:t>
            </w:r>
          </w:p>
        </w:tc>
        <w:tc>
          <w:tcPr>
            <w:tcW w:w="873" w:type="dxa"/>
            <w:tcMar>
              <w:top w:w="50" w:type="dxa"/>
              <w:left w:w="70" w:type="dxa"/>
              <w:bottom w:w="50" w:type="dxa"/>
              <w:right w:w="70" w:type="dxa"/>
            </w:tcMar>
            <w:vAlign w:val="center"/>
          </w:tcPr>
          <w:p w14:paraId="2B2810D6" w14:textId="77777777" w:rsidR="008A78AA" w:rsidRDefault="00000000">
            <w:pPr>
              <w:pStyle w:val="tablecopy"/>
              <w:spacing w:before="20" w:after="20" w:line="252" w:lineRule="auto"/>
              <w:jc w:val="center"/>
            </w:pPr>
            <w:r>
              <w:rPr>
                <w:sz w:val="15"/>
              </w:rPr>
              <w:t>52.9 – 54.1%</w:t>
            </w:r>
          </w:p>
        </w:tc>
        <w:tc>
          <w:tcPr>
            <w:tcW w:w="811" w:type="dxa"/>
            <w:tcMar>
              <w:top w:w="50" w:type="dxa"/>
              <w:left w:w="70" w:type="dxa"/>
              <w:bottom w:w="50" w:type="dxa"/>
              <w:right w:w="70" w:type="dxa"/>
            </w:tcMar>
            <w:vAlign w:val="center"/>
          </w:tcPr>
          <w:p w14:paraId="3B1ABBA8" w14:textId="77777777" w:rsidR="008A78AA" w:rsidRDefault="00000000">
            <w:pPr>
              <w:pStyle w:val="tablecopy"/>
              <w:spacing w:before="20" w:after="20" w:line="252" w:lineRule="auto"/>
              <w:jc w:val="center"/>
            </w:pPr>
            <w:r>
              <w:rPr>
                <w:sz w:val="15"/>
              </w:rPr>
              <w:t>3.23 / 3.12 (net)</w:t>
            </w:r>
          </w:p>
        </w:tc>
      </w:tr>
      <w:tr w:rsidR="008A78AA" w14:paraId="3AD22A86" w14:textId="77777777">
        <w:trPr>
          <w:cantSplit/>
          <w:trHeight w:val="240"/>
          <w:jc w:val="center"/>
        </w:trPr>
        <w:tc>
          <w:tcPr>
            <w:tcW w:w="990" w:type="dxa"/>
            <w:tcMar>
              <w:top w:w="50" w:type="dxa"/>
              <w:left w:w="70" w:type="dxa"/>
              <w:bottom w:w="50" w:type="dxa"/>
              <w:right w:w="70" w:type="dxa"/>
            </w:tcMar>
            <w:vAlign w:val="center"/>
          </w:tcPr>
          <w:p w14:paraId="2F3B3C8F" w14:textId="77777777" w:rsidR="008A78AA" w:rsidRDefault="00000000">
            <w:pPr>
              <w:pStyle w:val="tablecopy"/>
              <w:spacing w:before="20" w:after="20" w:line="252" w:lineRule="auto"/>
              <w:jc w:val="left"/>
            </w:pPr>
            <w:r>
              <w:rPr>
                <w:sz w:val="15"/>
              </w:rPr>
              <w:t>This study (GRU, best RMSE)</w:t>
            </w:r>
          </w:p>
        </w:tc>
        <w:tc>
          <w:tcPr>
            <w:tcW w:w="708" w:type="dxa"/>
            <w:tcMar>
              <w:top w:w="50" w:type="dxa"/>
              <w:left w:w="70" w:type="dxa"/>
              <w:bottom w:w="50" w:type="dxa"/>
              <w:right w:w="70" w:type="dxa"/>
            </w:tcMar>
            <w:vAlign w:val="center"/>
          </w:tcPr>
          <w:p w14:paraId="0E8F1763" w14:textId="77777777" w:rsidR="008A78AA" w:rsidRDefault="00000000">
            <w:pPr>
              <w:pStyle w:val="tablecopy"/>
              <w:spacing w:before="20" w:after="20" w:line="252" w:lineRule="auto"/>
              <w:jc w:val="center"/>
            </w:pPr>
            <w:r>
              <w:rPr>
                <w:sz w:val="15"/>
              </w:rPr>
              <w:t>GRU</w:t>
            </w:r>
          </w:p>
        </w:tc>
        <w:tc>
          <w:tcPr>
            <w:tcW w:w="767" w:type="dxa"/>
            <w:tcMar>
              <w:top w:w="50" w:type="dxa"/>
              <w:left w:w="70" w:type="dxa"/>
              <w:bottom w:w="50" w:type="dxa"/>
              <w:right w:w="70" w:type="dxa"/>
            </w:tcMar>
            <w:vAlign w:val="center"/>
          </w:tcPr>
          <w:p w14:paraId="2280F7D9" w14:textId="77777777" w:rsidR="008A78AA" w:rsidRDefault="00000000">
            <w:pPr>
              <w:pStyle w:val="tablecopy"/>
              <w:spacing w:before="20" w:after="20" w:line="252" w:lineRule="auto"/>
              <w:jc w:val="center"/>
            </w:pPr>
            <w:r>
              <w:rPr>
                <w:sz w:val="15"/>
              </w:rPr>
              <w:t>BTC/USDT / 1-hour</w:t>
            </w:r>
          </w:p>
        </w:tc>
        <w:tc>
          <w:tcPr>
            <w:tcW w:w="769" w:type="dxa"/>
            <w:tcMar>
              <w:top w:w="50" w:type="dxa"/>
              <w:left w:w="70" w:type="dxa"/>
              <w:bottom w:w="50" w:type="dxa"/>
              <w:right w:w="70" w:type="dxa"/>
            </w:tcMar>
            <w:vAlign w:val="center"/>
          </w:tcPr>
          <w:p w14:paraId="48B1133A" w14:textId="77777777" w:rsidR="008A78AA" w:rsidRDefault="00000000">
            <w:pPr>
              <w:pStyle w:val="tablecopy"/>
              <w:spacing w:before="20" w:after="20" w:line="252" w:lineRule="auto"/>
              <w:jc w:val="center"/>
            </w:pPr>
            <w:r>
              <w:rPr>
                <w:sz w:val="15"/>
              </w:rPr>
              <w:t>0.1058 ± 0.0034</w:t>
            </w:r>
          </w:p>
        </w:tc>
        <w:tc>
          <w:tcPr>
            <w:tcW w:w="873" w:type="dxa"/>
            <w:tcMar>
              <w:top w:w="50" w:type="dxa"/>
              <w:left w:w="70" w:type="dxa"/>
              <w:bottom w:w="50" w:type="dxa"/>
              <w:right w:w="70" w:type="dxa"/>
            </w:tcMar>
            <w:vAlign w:val="center"/>
          </w:tcPr>
          <w:p w14:paraId="4C3B7847" w14:textId="77777777" w:rsidR="008A78AA" w:rsidRDefault="00000000">
            <w:pPr>
              <w:pStyle w:val="tablecopy"/>
              <w:spacing w:before="20" w:after="20" w:line="252" w:lineRule="auto"/>
              <w:jc w:val="center"/>
            </w:pPr>
            <w:r>
              <w:rPr>
                <w:sz w:val="15"/>
              </w:rPr>
              <w:t>55.3%</w:t>
            </w:r>
          </w:p>
        </w:tc>
        <w:tc>
          <w:tcPr>
            <w:tcW w:w="811" w:type="dxa"/>
            <w:tcMar>
              <w:top w:w="50" w:type="dxa"/>
              <w:left w:w="70" w:type="dxa"/>
              <w:bottom w:w="50" w:type="dxa"/>
              <w:right w:w="70" w:type="dxa"/>
            </w:tcMar>
            <w:vAlign w:val="center"/>
          </w:tcPr>
          <w:p w14:paraId="20821E53" w14:textId="77777777" w:rsidR="008A78AA" w:rsidRDefault="00000000">
            <w:pPr>
              <w:pStyle w:val="tablecopy"/>
              <w:spacing w:before="20" w:after="20" w:line="252" w:lineRule="auto"/>
              <w:jc w:val="center"/>
            </w:pPr>
            <w:r>
              <w:rPr>
                <w:sz w:val="15"/>
              </w:rPr>
              <w:t>0.72 ± 0.14</w:t>
            </w:r>
          </w:p>
        </w:tc>
      </w:tr>
      <w:tr w:rsidR="008A78AA" w14:paraId="4F852FDB" w14:textId="77777777">
        <w:trPr>
          <w:cantSplit/>
          <w:trHeight w:val="240"/>
          <w:jc w:val="center"/>
        </w:trPr>
        <w:tc>
          <w:tcPr>
            <w:tcW w:w="990" w:type="dxa"/>
            <w:tcBorders>
              <w:bottom w:val="single" w:sz="8" w:space="0" w:color="000000"/>
            </w:tcBorders>
            <w:tcMar>
              <w:top w:w="50" w:type="dxa"/>
              <w:left w:w="70" w:type="dxa"/>
              <w:bottom w:w="50" w:type="dxa"/>
              <w:right w:w="70" w:type="dxa"/>
            </w:tcMar>
            <w:vAlign w:val="center"/>
          </w:tcPr>
          <w:p w14:paraId="2BB61E63" w14:textId="77777777" w:rsidR="008A78AA" w:rsidRDefault="00000000">
            <w:pPr>
              <w:pStyle w:val="tablecopy"/>
              <w:spacing w:before="20" w:after="20" w:line="252" w:lineRule="auto"/>
              <w:jc w:val="left"/>
            </w:pPr>
            <w:r>
              <w:rPr>
                <w:sz w:val="15"/>
              </w:rPr>
              <w:t>This study (LSTM, best DA)</w:t>
            </w:r>
          </w:p>
        </w:tc>
        <w:tc>
          <w:tcPr>
            <w:tcW w:w="708" w:type="dxa"/>
            <w:tcBorders>
              <w:bottom w:val="single" w:sz="8" w:space="0" w:color="000000"/>
            </w:tcBorders>
            <w:tcMar>
              <w:top w:w="50" w:type="dxa"/>
              <w:left w:w="70" w:type="dxa"/>
              <w:bottom w:w="50" w:type="dxa"/>
              <w:right w:w="70" w:type="dxa"/>
            </w:tcMar>
            <w:vAlign w:val="center"/>
          </w:tcPr>
          <w:p w14:paraId="04B88F4A" w14:textId="77777777" w:rsidR="008A78AA" w:rsidRDefault="00000000">
            <w:pPr>
              <w:pStyle w:val="tablecopy"/>
              <w:spacing w:before="20" w:after="20" w:line="252" w:lineRule="auto"/>
              <w:jc w:val="center"/>
            </w:pPr>
            <w:r>
              <w:rPr>
                <w:sz w:val="15"/>
              </w:rPr>
              <w:t>LSTM</w:t>
            </w:r>
          </w:p>
        </w:tc>
        <w:tc>
          <w:tcPr>
            <w:tcW w:w="767" w:type="dxa"/>
            <w:tcBorders>
              <w:bottom w:val="single" w:sz="8" w:space="0" w:color="000000"/>
            </w:tcBorders>
            <w:tcMar>
              <w:top w:w="50" w:type="dxa"/>
              <w:left w:w="70" w:type="dxa"/>
              <w:bottom w:w="50" w:type="dxa"/>
              <w:right w:w="70" w:type="dxa"/>
            </w:tcMar>
            <w:vAlign w:val="center"/>
          </w:tcPr>
          <w:p w14:paraId="375DBCC3" w14:textId="77777777" w:rsidR="008A78AA" w:rsidRDefault="00000000">
            <w:pPr>
              <w:pStyle w:val="tablecopy"/>
              <w:spacing w:before="20" w:after="20" w:line="252" w:lineRule="auto"/>
              <w:jc w:val="center"/>
            </w:pPr>
            <w:r>
              <w:rPr>
                <w:sz w:val="15"/>
              </w:rPr>
              <w:t>BTC/USDT / 1-hour</w:t>
            </w:r>
          </w:p>
        </w:tc>
        <w:tc>
          <w:tcPr>
            <w:tcW w:w="769" w:type="dxa"/>
            <w:tcBorders>
              <w:bottom w:val="single" w:sz="8" w:space="0" w:color="000000"/>
            </w:tcBorders>
            <w:tcMar>
              <w:top w:w="50" w:type="dxa"/>
              <w:left w:w="70" w:type="dxa"/>
              <w:bottom w:w="50" w:type="dxa"/>
              <w:right w:w="70" w:type="dxa"/>
            </w:tcMar>
            <w:vAlign w:val="center"/>
          </w:tcPr>
          <w:p w14:paraId="221F4521" w14:textId="77777777" w:rsidR="008A78AA" w:rsidRDefault="00000000">
            <w:pPr>
              <w:pStyle w:val="tablecopy"/>
              <w:spacing w:before="20" w:after="20" w:line="252" w:lineRule="auto"/>
              <w:jc w:val="center"/>
            </w:pPr>
            <w:r>
              <w:rPr>
                <w:sz w:val="15"/>
              </w:rPr>
              <w:t>0.1145 ± 0.0051</w:t>
            </w:r>
          </w:p>
        </w:tc>
        <w:tc>
          <w:tcPr>
            <w:tcW w:w="873" w:type="dxa"/>
            <w:tcBorders>
              <w:bottom w:val="single" w:sz="8" w:space="0" w:color="000000"/>
            </w:tcBorders>
            <w:tcMar>
              <w:top w:w="50" w:type="dxa"/>
              <w:left w:w="70" w:type="dxa"/>
              <w:bottom w:w="50" w:type="dxa"/>
              <w:right w:w="70" w:type="dxa"/>
            </w:tcMar>
            <w:vAlign w:val="center"/>
          </w:tcPr>
          <w:p w14:paraId="24ABD6FC" w14:textId="77777777" w:rsidR="008A78AA" w:rsidRDefault="00000000">
            <w:pPr>
              <w:pStyle w:val="tablecopy"/>
              <w:spacing w:before="20" w:after="20" w:line="252" w:lineRule="auto"/>
              <w:jc w:val="center"/>
            </w:pPr>
            <w:r>
              <w:rPr>
                <w:sz w:val="15"/>
              </w:rPr>
              <w:t>57.8%</w:t>
            </w:r>
          </w:p>
        </w:tc>
        <w:tc>
          <w:tcPr>
            <w:tcW w:w="811" w:type="dxa"/>
            <w:tcBorders>
              <w:bottom w:val="single" w:sz="8" w:space="0" w:color="000000"/>
            </w:tcBorders>
            <w:tcMar>
              <w:top w:w="50" w:type="dxa"/>
              <w:left w:w="70" w:type="dxa"/>
              <w:bottom w:w="50" w:type="dxa"/>
              <w:right w:w="70" w:type="dxa"/>
            </w:tcMar>
            <w:vAlign w:val="center"/>
          </w:tcPr>
          <w:p w14:paraId="6F634CC6" w14:textId="77777777" w:rsidR="008A78AA" w:rsidRDefault="00000000">
            <w:pPr>
              <w:pStyle w:val="tablecopy"/>
              <w:spacing w:before="20" w:after="20" w:line="252" w:lineRule="auto"/>
              <w:jc w:val="center"/>
            </w:pPr>
            <w:r>
              <w:rPr>
                <w:sz w:val="15"/>
              </w:rPr>
              <w:t>0.87 ± 0.12</w:t>
            </w:r>
          </w:p>
        </w:tc>
      </w:tr>
    </w:tbl>
    <w:p w14:paraId="15FE24DE" w14:textId="77777777" w:rsidR="008A78AA" w:rsidRDefault="00120A85">
      <w:pPr>
        <w:pStyle w:val="BodyText"/>
      </w:pPr>
      <w:r>
        <w:t>Table III places our results next to figures reported in the cited studies (a dash marks a metric not reported); the comparison is indicative only, since asset universe, sampling interval, target, validation design, and cost treatment differ. The directional accuracy obtained here (55.3%–57.8%) exceeds the 52.9%–54.1% of Jaquart et al. [31], but is below the 66%–67.2% of Chen et al. [13] and the 82.44% of Omole and Enke [32]. The Sharpe Ratios here (0.72–0.87, gross of costs) are below the net-of-cost 3.23 and 3.12 of Jaquart et al. [31], so Table III does not support a claim of superior risk-adjusted performance. The GRU–LSTM ordering differs from Murray et al. [26], the weak XGBoost result contrasts with Bysik and Ślepaczuk [37], and the below-par Informer is consistent with Grądzki et al. [33]; we therefore do not claim general superiority of recurrent architectures. Peng et al. [51] address overtrading with triple-trend labeling and an attention-based CNN–LSTM. Enterprise DSS architectures can deploy GRU and LSTM in parallel: GRU for tight error bounds in stop-loss sizing, LSTM for directional trend-positioning signals.</w:t>
      </w:r>
    </w:p>
    <w:p w14:paraId="51D91C75" w14:textId="77777777" w:rsidR="008A78AA" w:rsidRDefault="00000000">
      <w:pPr>
        <w:pStyle w:val="Heading3"/>
      </w:pPr>
      <w:r>
        <w:t>Operational Boundaries and Future Enhancements:</w:t>
      </w:r>
    </w:p>
    <w:p w14:paraId="11259D1B" w14:textId="77777777" w:rsidR="008A78AA" w:rsidRDefault="00A018D2">
      <w:pPr>
        <w:pStyle w:val="BodyText"/>
      </w:pPr>
      <w:r>
        <w:t>A known structural limitation of purely price-derived feature sets is their inability to anticipate abrupt regime changes driven by macro-sentiment contagion (e.g., exchange insolvencies, regulatory shocks, stablecoin de-pegging events). The residual right-skew observed in Fig. 3 is consistent with this limitation. Incorporating on-chain data (e.g., net exchange flows, active addresses) and NLP-derived news sentiment as auxiliary features is a key direction for improving tail-risk robustness.</w:t>
      </w:r>
    </w:p>
    <w:p>
      <w:pPr>
        <w:pStyle w:val="BodyText"/>
      </w:pPr>
      <w:r>
        <w:t xml:space="preserve">A further boundary concerns transaction costs. The Layer 4 strategy return Rt</w:t>
      </w:r>
      <w:r>
        <w:rPr>
          <w:vertAlign w:val="superscript"/>
        </w:rPr>
        <w:t xml:space="preserve">strategy</w:t>
      </w:r>
      <w:r>
        <w:t xml:space="preserve"> = st · rt contains no cost term, so the Sharpe Ratios and VaR values in Table II are gross of fees and slippage. Because the hourly sign rule can reverse position at every step, turnover can be high, and recent studies show that gross profitability on hourly Bitcoin data can vanish at fee levels comparable to the 0.10% taker fee [36], [37]; the ranking in Table II is therefore a ranking of gross directional utility. The first planned extension is a net-of-cost formulation, Rt</w:t>
      </w:r>
      <w:r>
        <w:rPr>
          <w:vertAlign w:val="superscript"/>
        </w:rPr>
        <w:t xml:space="preserve">net</w:t>
      </w:r>
      <w:r>
        <w:t xml:space="preserve"> = st · rt − c · |st − st−1|, with c the per-side cost, combined with a cost-aware execution filter [37]. Sharpe Ratio differences across models were not formally tested here and should be assessed, e.g., by bootstrap [37].</w:t>
      </w:r>
    </w:p>
    <w:p w14:paraId="7F5F7B69" w14:textId="77777777" w:rsidR="008A78AA" w:rsidRDefault="00000000">
      <w:pPr>
        <w:pStyle w:val="BodyText"/>
        <w:ind w:firstLine="0"/>
        <w:jc w:val="center"/>
      </w:pPr>
      <w:r>
        <w:rPr>
          <w:noProof/>
        </w:rPr>
        <w:drawing>
          <wp:inline distT="0" distB="0" distL="0" distR="0" wp14:anchorId="62A66FC8" wp14:editId="261B4232">
            <wp:extent cx="2651760" cy="2055444"/>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BI_Dashboard_KPI_300dpi.png"/>
                    <pic:cNvPicPr/>
                  </pic:nvPicPr>
                  <pic:blipFill>
                    <a:blip r:embed="rId14"/>
                    <a:stretch>
                      <a:fillRect/>
                    </a:stretch>
                  </pic:blipFill>
                  <pic:spPr>
                    <a:xfrm>
                      <a:off x="0" y="0"/>
                      <a:ext cx="2651760" cy="2055444"/>
                    </a:xfrm>
                    <a:prstGeom prst="rect">
                      <a:avLst/>
                    </a:prstGeom>
                  </pic:spPr>
                </pic:pic>
              </a:graphicData>
            </a:graphic>
          </wp:inline>
        </w:drawing>
      </w:r>
    </w:p>
    <w:p w14:paraId="0D0E67FA" w14:textId="77777777" w:rsidR="008A78AA" w:rsidRDefault="00A018D2">
      <w:pPr>
        <w:pStyle w:val="figurecaption"/>
        <w:jc w:val="center"/>
      </w:pPr>
      <w:r>
        <w:t>Business Intelligence Dashboard KPI summary from 24-fold Walk-Forward evaluation (RMSE, Sharpe Ratio, Directional Accuracy, and VaR95% per hour; gross of transaction costs). Dashed reference lines: persistence (random-walk) baseline, DA = 50.0%; buy-and-hold BTC/USDT over 4,032 test hours, Sharpe Ratio = 0.58 (Section II.B).</w:t>
      </w:r>
    </w:p>
    <w:p w14:paraId="7CB7ACF8" w14:textId="77777777" w:rsidR="008A78AA" w:rsidRDefault="00000000">
      <w:pPr>
        <w:pStyle w:val="Heading1"/>
      </w:pPr>
      <w:r>
        <w:t>CONCLUSION</w:t>
      </w:r>
    </w:p>
    <w:p w14:paraId="2D73AD6A" w14:textId="77777777" w:rsidR="008A78AA" w:rsidRDefault="00A018D2">
      <w:pPr>
        <w:pStyle w:val="BodyText"/>
      </w:pPr>
      <w:r>
        <w:t>This study presented an end-to-end four-layer BI and deep learning framework that integrates sequential predictive models into an enterprise decision-support architecture. Evaluated on 43,786 hourly BTC/USDT observations under a 24-fold chronological Walk-Forward protocol, it revealed a crucial divergence between statistical accuracy and decision utility: the GRU achieved the lowest point-forecasting error (RMSE = 0.1058 ± 0.0034; DM p_GRU-vs-XGB = 0.0003, p_GRU-vs-Informer = 0.009; Bonferroni-corrected, see Section III.A), whereas the LSTM generated the highest Directional Accuracy (57.8% ± 2.1%) and annualized Sharpe Ratio (0.87 ± 0.12, VaR95% = −1.18% per hour; before transaction costs and evaluated on recursive weekly-trend signals rather than executable hourly trades). Usability evaluation with 15 evaluators indicated high perceived usability (SUS = 86.4).</w:t>
      </w:r>
    </w:p>
    <w:p>
      <w:pPr>
        <w:pStyle w:val="BodyText"/>
      </w:pPr>
      <w:r>
        <w:t>Future work includes: (1) net-of-cost evaluation with cost-aware execution filters and significance testing of Sharpe Ratio differences [36], [37]; (2) multi-modal sentiment and on-chain metrics [32] to address the tail-risk limitation of price-derived features; (3) multi-asset validation (e.g., ETH/USDT, BNB/USDT); and (4) benchmarking PatchTST and TimesNet under the same protocol.</w:t>
      </w:r>
    </w:p>
    <w:p w14:paraId="1E693C37" w14:textId="77777777" w:rsidR="008A78AA" w:rsidRDefault="00000000">
      <w:pPr>
        <w:pStyle w:val="Heading5"/>
      </w:pPr>
      <w:r>
        <w:t>Data Availability</w:t>
      </w:r>
    </w:p>
    <w:p w14:paraId="4637DA27" w14:textId="77777777" w:rsidR="008A78AA" w:rsidRDefault="00000000">
      <w:pPr>
        <w:pStyle w:val="BodyText"/>
      </w:pPr>
      <w:r>
        <w:t>The processed dataset and analysis code are available from the corresponding author upon reasonable request.</w:t>
      </w:r>
    </w:p>
    <w:p w14:paraId="67B8F1A4" w14:textId="77777777" w:rsidR="008A78AA" w:rsidRDefault="00000000">
      <w:pPr>
        <w:pStyle w:val="Heading5"/>
      </w:pPr>
      <w:r>
        <w:t>References</w:t>
      </w:r>
    </w:p>
    <w:p w14:paraId="3D1B1ADD" w14:textId="77777777" w:rsidR="008A78AA" w:rsidRDefault="00000000">
      <w:pPr>
        <w:pStyle w:val="references"/>
      </w:pPr>
      <w:r>
        <w:t xml:space="preserve">A. Urquhart, “The inefficiency of Bitcoin,” </w:t>
      </w:r>
      <w:r>
        <w:rPr>
          <w:i/>
          <w:iCs/>
        </w:rPr>
        <w:t>Econ. Lett.</w:t>
      </w:r>
      <w:r>
        <w:t>, vol. 148, pp. 80–82, 2016, doi: 10.1016/j.econlet.2016.09.019.</w:t>
      </w:r>
    </w:p>
    <w:p w14:paraId="53E2548B" w14:textId="77777777" w:rsidR="008A78AA" w:rsidRDefault="00000000">
      <w:pPr>
        <w:pStyle w:val="references"/>
      </w:pPr>
      <w:r>
        <w:t xml:space="preserve">K. Mokni, G. El Montasser, A. N. Ajmi, and E. Bouri, “On the efficiency and its drivers in the cryptocurrency market: The case of Bitcoin and Ethereum,” </w:t>
      </w:r>
      <w:r>
        <w:rPr>
          <w:i/>
          <w:iCs/>
        </w:rPr>
        <w:t xml:space="preserve">Financ. Innov.</w:t>
      </w:r>
      <w:r>
        <w:t xml:space="preserve">, vol. 10, art. no. 39, 2024, doi: 10.1186/s40854-023-00566-3.</w:t>
      </w:r>
    </w:p>
    <w:p w14:paraId="2CD2448B" w14:textId="77777777" w:rsidR="008A78AA" w:rsidRDefault="00000000">
      <w:pPr>
        <w:pStyle w:val="references"/>
      </w:pPr>
      <w:r>
        <w:t xml:space="preserve">S. Makridakis, E. Spiliotis, and V. Assimakopoulos, “Statistical and Machine Learning forecasting methods: Concerns and ways forward,” </w:t>
      </w:r>
      <w:r>
        <w:rPr>
          <w:i/>
          <w:iCs/>
        </w:rPr>
        <w:lastRenderedPageBreak/>
        <w:t>PLoS ONE</w:t>
      </w:r>
      <w:r>
        <w:t>, vol. 13, no. 3, p. e0194889, 2018, doi: 10.1371/journal.pone.0194889.</w:t>
      </w:r>
    </w:p>
    <w:p w14:paraId="199C5F7E" w14:textId="77777777" w:rsidR="008A78AA" w:rsidRDefault="00000000">
      <w:pPr>
        <w:pStyle w:val="references"/>
      </w:pPr>
      <w:r>
        <w:t xml:space="preserve">S. K. Jena, A. K. Tiwari, B. Doğan, and S. Hammoudeh, “Are the top six cryptocurrencies efficient? Evidence from time-varying long memory,” </w:t>
      </w:r>
      <w:r>
        <w:rPr>
          <w:i/>
          <w:iCs/>
        </w:rPr>
        <w:t xml:space="preserve">Int. J. Finance Econ.</w:t>
      </w:r>
      <w:r>
        <w:t xml:space="preserve">, vol. 27, no. 3, pp. 3730–3740, 2022, doi: 10.1002/ijfe.2347.</w:t>
      </w:r>
    </w:p>
    <w:p w14:paraId="1F0813D5" w14:textId="77777777" w:rsidR="008A78AA" w:rsidRDefault="00000000">
      <w:pPr>
        <w:pStyle w:val="references"/>
      </w:pPr>
      <w:r>
        <w:t xml:space="preserve">W. Bao, J. Yue, and Y. Rao, “A deep learning framework for financial time series using stacked autoencoders and long-short term memory,” </w:t>
      </w:r>
      <w:r>
        <w:rPr>
          <w:i/>
          <w:iCs/>
        </w:rPr>
        <w:t>PLoS ONE</w:t>
      </w:r>
      <w:r>
        <w:t>, vol. 12, no. 7, p. e0180944, 2017, doi: 10.1371/journal.pone.0180944.</w:t>
      </w:r>
    </w:p>
    <w:p w14:paraId="13ED888E" w14:textId="77777777" w:rsidR="008A78AA" w:rsidRDefault="00000000">
      <w:pPr>
        <w:pStyle w:val="references"/>
      </w:pPr>
      <w:r>
        <w:t xml:space="preserve">N. Gradojevic, D. Kukolj, R. Adcock, and V. Djakovic, “Forecasting Bitcoin with technical analysis: A not-so-random forest?” </w:t>
      </w:r>
      <w:r>
        <w:rPr>
          <w:i/>
          <w:iCs/>
        </w:rPr>
        <w:t xml:space="preserve">Int. J. Forecast.</w:t>
      </w:r>
      <w:r>
        <w:t xml:space="preserve">, vol. 39, no. 1, pp. 1–17, 2023, doi: 10.1016/j.ijforecast.2021.08.001.</w:t>
      </w:r>
    </w:p>
    <w:p w14:paraId="1A9C6F94" w14:textId="77777777" w:rsidR="008A78AA" w:rsidRDefault="00000000">
      <w:pPr>
        <w:pStyle w:val="references"/>
      </w:pPr>
      <w:r>
        <w:t xml:space="preserve">R. C. Cavalcante et al., “Computational Intelligence and Financial Markets: A Survey and Future Directions,” </w:t>
      </w:r>
      <w:r>
        <w:rPr>
          <w:i/>
          <w:iCs/>
        </w:rPr>
        <w:t xml:space="preserve">Expert Syst. Appl.</w:t>
      </w:r>
      <w:r>
        <w:t xml:space="preserve">, vol. 55, pp. 194–211, 2016, doi: 10.1016/j.eswa.2016.02.006.</w:t>
      </w:r>
    </w:p>
    <w:p w14:paraId="7E7138E2" w14:textId="77777777" w:rsidR="008A78AA" w:rsidRDefault="00000000">
      <w:pPr>
        <w:pStyle w:val="references"/>
      </w:pPr>
      <w:r>
        <w:t xml:space="preserve">G. Leitch and J. E. Tanner, “Economic forecast evaluation: Profits versus the conventional error measures,” </w:t>
      </w:r>
      <w:r>
        <w:rPr>
          <w:i/>
          <w:iCs/>
        </w:rPr>
        <w:t>Amer. Econ. Rev.</w:t>
      </w:r>
      <w:r>
        <w:t xml:space="preserve">, vol. 81, no. 3, pp. 580–590, 1991.</w:t>
      </w:r>
    </w:p>
    <w:p w14:paraId="58A0382D" w14:textId="77777777" w:rsidR="008A78AA" w:rsidRDefault="00000000">
      <w:pPr>
        <w:pStyle w:val="references"/>
      </w:pPr>
      <w:r>
        <w:t xml:space="preserve">D. J. Power, “Specifying an expanded framework for classifying and describing decision support systems,” </w:t>
      </w:r>
      <w:r>
        <w:rPr>
          <w:i/>
          <w:iCs/>
        </w:rPr>
        <w:t>Commun. Assoc. Inf. Syst.</w:t>
      </w:r>
      <w:r>
        <w:t xml:space="preserve">, vol. 13, art. no. 13, pp. 158–166, 2004, doi: 10.17705/1CAIS.01313.</w:t>
      </w:r>
    </w:p>
    <w:p w14:paraId="1597FCC7" w14:textId="77777777" w:rsidR="008A78AA" w:rsidRDefault="00000000">
      <w:pPr>
        <w:pStyle w:val="references"/>
      </w:pPr>
      <w:r>
        <w:t xml:space="preserve">H. Chen, R. H. L. Chiang, and V. C. Storey, “Business intelligence and analytics: From big data to big impact,” </w:t>
      </w:r>
      <w:r>
        <w:rPr>
          <w:i/>
          <w:iCs/>
        </w:rPr>
        <w:t>MIS Q.</w:t>
      </w:r>
      <w:r>
        <w:t xml:space="preserve">, vol. 36, no. 4, pp. 1165–1188, 2012, doi: 10.2307/41703503.</w:t>
      </w:r>
    </w:p>
    <w:p w14:paraId="02C91D63" w14:textId="77777777" w:rsidR="008A78AA" w:rsidRDefault="00000000">
      <w:pPr>
        <w:pStyle w:val="references"/>
      </w:pPr>
      <w:r>
        <w:t xml:space="preserve">C. Krauss, X. A. Do, and N. Huck, “Deep neural networks, gradient-boosted trees, random forests: Statistical arbitrage on the S&amp;P 500,” </w:t>
      </w:r>
      <w:r>
        <w:rPr>
          <w:i/>
          <w:iCs/>
        </w:rPr>
        <w:t>Eur. J. Oper. Res.</w:t>
      </w:r>
      <w:r>
        <w:t>, vol. 259, no. 2, pp. 689–702, 2017, doi: 10.1016/j.ejor.2016.10.031.</w:t>
      </w:r>
    </w:p>
    <w:p w14:paraId="78791031" w14:textId="77777777" w:rsidR="008A78AA" w:rsidRDefault="00000000">
      <w:pPr>
        <w:pStyle w:val="references"/>
      </w:pPr>
      <w:r>
        <w:t xml:space="preserve">T. Chen and C. Guestrin, “XGBoost: A Scalable Tree Boosting System,” in </w:t>
      </w:r>
      <w:r>
        <w:rPr>
          <w:i/>
          <w:iCs/>
        </w:rPr>
        <w:t>Proc. 22nd ACM SIGKDD Int. Conf. Knowl. Discovery Data Min. (KDD)</w:t>
      </w:r>
      <w:r>
        <w:t>, San Francisco, CA, USA, 2016, pp. 785–794, doi: 10.1145/2939672.2939785.</w:t>
      </w:r>
    </w:p>
    <w:p w14:paraId="576F0E9B" w14:textId="77777777" w:rsidR="008A78AA" w:rsidRDefault="00000000">
      <w:pPr>
        <w:pStyle w:val="references"/>
      </w:pPr>
      <w:r>
        <w:t xml:space="preserve">Z. Chen, C. Li, and W. Sun, “Bitcoin price prediction using machine learning: An approach to sample dimension engineering,” </w:t>
      </w:r>
      <w:r>
        <w:rPr>
          <w:i/>
          <w:iCs/>
        </w:rPr>
        <w:t>J. Comput. Appl. Math.</w:t>
      </w:r>
      <w:r>
        <w:t xml:space="preserve">, vol. 365, art. no. 112395, 2020, doi: 10.1016/j.cam.2019.112395.</w:t>
      </w:r>
    </w:p>
    <w:p w14:paraId="5A9022F4" w14:textId="77777777" w:rsidR="008A78AA" w:rsidRDefault="00000000">
      <w:pPr>
        <w:pStyle w:val="references"/>
      </w:pPr>
      <w:r>
        <w:t xml:space="preserve">S. Hochreiter and J. Schmidhuber, “Long short-term memory,” </w:t>
      </w:r>
      <w:r>
        <w:rPr>
          <w:i/>
          <w:iCs/>
        </w:rPr>
        <w:t>Neural Comput.</w:t>
      </w:r>
      <w:r>
        <w:t>, vol. 9, no. 8, pp. 1735–1780, 1997, doi: 10.1162/neco.1997.9.8.1735.</w:t>
      </w:r>
    </w:p>
    <w:p w14:paraId="6699D1E4" w14:textId="77777777" w:rsidR="008A78AA" w:rsidRDefault="00000000">
      <w:pPr>
        <w:pStyle w:val="references"/>
      </w:pPr>
      <w:r>
        <w:t xml:space="preserve">F. A. Gers, J. Schmidhuber, and F. Cummins, “Learning to Forget: Continual Prediction with LSTM,” </w:t>
      </w:r>
      <w:r>
        <w:rPr>
          <w:i/>
          <w:iCs/>
        </w:rPr>
        <w:t>Neural Comput.</w:t>
      </w:r>
      <w:r>
        <w:t>, vol. 12, no. 10, pp. 2451–2471, 2000, doi: 10.1162/089976600300015015.</w:t>
      </w:r>
    </w:p>
    <w:p w14:paraId="3615FD35" w14:textId="77777777" w:rsidR="008A78AA" w:rsidRDefault="00000000">
      <w:pPr>
        <w:pStyle w:val="references"/>
      </w:pPr>
      <w:r>
        <w:t xml:space="preserve">K. Cho et al., “Learning Phrase Representations using RNN Encoder-Decoder for Statistical Machine Translation,” in </w:t>
      </w:r>
      <w:r>
        <w:rPr>
          <w:i/>
          <w:iCs/>
        </w:rPr>
        <w:t>Proc. 2014 Conf. Empirical Methods Natural Lang. Process. (EMNLP)</w:t>
      </w:r>
      <w:r>
        <w:t>, Doha, Qatar, 2014, pp. 1724–1734, doi: 10.3115/v1/D14-1179.</w:t>
      </w:r>
    </w:p>
    <w:p w14:paraId="049FAAE1" w14:textId="77777777" w:rsidR="008A78AA" w:rsidRDefault="00000000">
      <w:pPr>
        <w:pStyle w:val="references"/>
      </w:pPr>
      <w:r>
        <w:t xml:space="preserve">P. L. Seabe, C. R. B. Moutsinga, and E. Pindza, “Forecasting cryptocurrency prices using LSTM, GRU, and bi-directional LSTM: A deep learning approach,” </w:t>
      </w:r>
      <w:r>
        <w:rPr>
          <w:i/>
          <w:iCs/>
        </w:rPr>
        <w:t xml:space="preserve">Fractal Fract.</w:t>
      </w:r>
      <w:r>
        <w:t xml:space="preserve">, vol. 7, no. 2, art. no. 203, 2023, doi: 10.3390/fractalfract7020203.</w:t>
      </w:r>
    </w:p>
    <w:p w14:paraId="7C6B3E4B" w14:textId="77777777" w:rsidR="008A78AA" w:rsidRDefault="00000000">
      <w:pPr>
        <w:pStyle w:val="references"/>
      </w:pPr>
      <w:r>
        <w:t xml:space="preserve">K. Greff, R. K. Srivastava, J. Koutník, B. R. Steunebrink, and J. Schmidhuber, “LSTM: A Space Odyssey,” </w:t>
      </w:r>
      <w:r>
        <w:rPr>
          <w:i/>
          <w:iCs/>
        </w:rPr>
        <w:t>IEEE Trans. Neural Netw. Learn. Syst.</w:t>
      </w:r>
      <w:r>
        <w:t>, vol. 28, no. 10, pp. 2222–2232, 2017, doi: 10.1109/TNNLS.2016.2582924.</w:t>
      </w:r>
    </w:p>
    <w:p w14:paraId="3941CB2B" w14:textId="77777777" w:rsidR="008A78AA" w:rsidRDefault="00000000">
      <w:pPr>
        <w:pStyle w:val="references"/>
      </w:pPr>
      <w:r>
        <w:t xml:space="preserve">A. Vaswani et al., “Attention is all you need,” in </w:t>
      </w:r>
      <w:r>
        <w:rPr>
          <w:i/>
          <w:iCs/>
        </w:rPr>
        <w:t>Advances in Neural Information Processing Systems (NeurIPS)</w:t>
      </w:r>
      <w:r>
        <w:t>, vol. 30, 2017, pp. 5998–6008. Available: https://arxiv.org/abs/1706.03762.</w:t>
      </w:r>
    </w:p>
    <w:p w14:paraId="2C1BF748" w14:textId="77777777" w:rsidR="008A78AA" w:rsidRDefault="00000000">
      <w:pPr>
        <w:pStyle w:val="references"/>
      </w:pPr>
      <w:r>
        <w:t>N. Wu, B. Green, X. Ben, and S. O’Banion, “Deep Transformer Models for Time Series Forecasting: The Influenza Prevalence Case,” arXiv preprint arXiv:2001.08317, 2020, doi: 10.48550/arXiv.2001.08317.</w:t>
      </w:r>
    </w:p>
    <w:p w14:paraId="47EA43A5" w14:textId="77777777" w:rsidR="008A78AA" w:rsidRDefault="00000000">
      <w:pPr>
        <w:pStyle w:val="references"/>
      </w:pPr>
      <w:r>
        <w:t xml:space="preserve">H. Zhou et al., “Informer: Beyond Efficient Transformer for Long Sequence Time-Series Forecasting,” in </w:t>
      </w:r>
      <w:r>
        <w:rPr>
          <w:i/>
          <w:iCs/>
        </w:rPr>
        <w:t>Proc. 35th AAAI Conf. Artif. Intell. (AAAI)</w:t>
      </w:r>
      <w:r>
        <w:t>, 2021, pp. 11106–11115, doi: 10.1609/aaai.v35i12.17325.</w:t>
      </w:r>
    </w:p>
    <w:p w14:paraId="0131FD84" w14:textId="77777777" w:rsidR="008A78AA" w:rsidRDefault="00000000">
      <w:pPr>
        <w:pStyle w:val="references"/>
      </w:pPr>
      <w:r>
        <w:t xml:space="preserve">Y. Nie, N. H. Nguyen, P. Sinthong, and J. Kalagnanam, “A Time Series is Worth 64 Words: Long-term Forecasting with Transformers,” in </w:t>
      </w:r>
      <w:r>
        <w:rPr>
          <w:i/>
          <w:iCs/>
        </w:rPr>
        <w:t>Int. Conf. Learn. Representations (ICLR)</w:t>
      </w:r>
      <w:r>
        <w:t>, 2023. Available: https://arxiv.org/abs/2211.14730.</w:t>
      </w:r>
    </w:p>
    <w:p w14:paraId="75D76BFE" w14:textId="77777777" w:rsidR="008A78AA" w:rsidRDefault="00000000">
      <w:pPr>
        <w:pStyle w:val="references"/>
      </w:pPr>
      <w:r>
        <w:t xml:space="preserve">H. Wu, T. Hu, Y. Liu, H. Zhou, J. Wang, and M. Long, “TimesNet: Temporal 2D-Variation Modeling for General Time Series Analysis,” in </w:t>
      </w:r>
      <w:r>
        <w:rPr>
          <w:i/>
          <w:iCs/>
        </w:rPr>
        <w:t>Int. Conf. Learn. Representations (ICLR)</w:t>
      </w:r>
      <w:r>
        <w:t>, 2023. Available: https://arxiv.org/abs/2210.02186.</w:t>
      </w:r>
    </w:p>
    <w:p w14:paraId="6456F492" w14:textId="77777777" w:rsidR="008A78AA" w:rsidRDefault="00000000">
      <w:pPr>
        <w:pStyle w:val="references"/>
      </w:pPr>
      <w:r>
        <w:t xml:space="preserve">R. Hasanli and M. Dursun, “A novel hybrid Transformer-based deep learning approach for multi-step Bitcoin price forecasting,” </w:t>
      </w:r>
      <w:r>
        <w:rPr>
          <w:i/>
          <w:iCs/>
        </w:rPr>
        <w:t xml:space="preserve">Eng. Technol. Appl. Sci. Res.</w:t>
      </w:r>
      <w:r>
        <w:t xml:space="preserve">, vol. 16, no. 1, pp. 32524–32533, 2026, doi: 10.48084/etasr.16684.</w:t>
      </w:r>
    </w:p>
    <w:p w14:paraId="76F16FCF" w14:textId="77777777" w:rsidR="008A78AA" w:rsidRDefault="00000000">
      <w:pPr>
        <w:pStyle w:val="references"/>
      </w:pPr>
      <w:r>
        <w:t xml:space="preserve">G. Zerveas, S. Jayaraman, D. Patel, A. Bhamidipaty, and C. Eickhoff, “A Transformer-based Framework for Multivariate Time Series Representation Learning,” in </w:t>
      </w:r>
      <w:r>
        <w:rPr>
          <w:i/>
          <w:iCs/>
        </w:rPr>
        <w:t xml:space="preserve">Proc. 27th ACM SIGKDD Conf. Knowl. Discov. Data Min. (KDD)</w:t>
      </w:r>
      <w:r>
        <w:t>, Virtual, 2021, pp. 2114–2124, doi: 10.1145/3447548.3467401.</w:t>
      </w:r>
    </w:p>
    <w:p>
      <w:pPr>
        <w:pStyle w:val="references"/>
      </w:pPr>
      <w:r>
        <w:t xml:space="preserve">K. Murray, A. Rossi, D. Carraro, and A. Visentin, “On forecasting cryptocurrency prices: A comparison of machine learning, deep learning, and ensembles,” </w:t>
      </w:r>
      <w:r>
        <w:rPr>
          <w:i/>
          <w:iCs/>
        </w:rPr>
        <w:t xml:space="preserve">Forecasting</w:t>
      </w:r>
      <w:r>
        <w:t xml:space="preserve">, vol. 5, no. 1, pp. 196–209, 2023, doi: 10.3390/forecast5010010.</w:t>
      </w:r>
    </w:p>
    <w:p>
      <w:pPr>
        <w:pStyle w:val="references"/>
      </w:pPr>
      <w:r>
        <w:t xml:space="preserve">A. Bouteska, M. Z. Abedin, P. Hajek, and K. Yuan, “Cryptocurrency price forecasting – A comparative analysis of ensemble learning and deep learning methods,” </w:t>
      </w:r>
      <w:r>
        <w:rPr>
          <w:i/>
          <w:iCs/>
        </w:rPr>
        <w:t xml:space="preserve">Int. Rev. Financ. Anal.</w:t>
      </w:r>
      <w:r>
        <w:t xml:space="preserve">, vol. 92, art. no. 103055, 2024, doi: 10.1016/j.irfa.2023.103055.</w:t>
      </w:r>
    </w:p>
    <w:p>
      <w:pPr>
        <w:pStyle w:val="references"/>
      </w:pPr>
      <w:r>
        <w:t xml:space="preserve">A. A. Oyedele, A. O. Ajayi, L. O. Oyedele, S. A. Bello, and K. O. Jimoh, “Performance evaluation of deep learning and boosted trees for cryptocurrency closing price prediction,” </w:t>
      </w:r>
      <w:r>
        <w:rPr>
          <w:i/>
          <w:iCs/>
        </w:rPr>
        <w:t xml:space="preserve">Expert Syst. Appl.</w:t>
      </w:r>
      <w:r>
        <w:t xml:space="preserve">, vol. 213, art. no. 119233, 2023, doi: 10.1016/j.eswa.2022.119233.</w:t>
      </w:r>
    </w:p>
    <w:p>
      <w:pPr>
        <w:pStyle w:val="references"/>
      </w:pPr>
      <w:r>
        <w:t xml:space="preserve">D. L. John, S. Binnewies, and B. Stantic, “Cryptocurrency price prediction algorithms: A survey and future directions,” </w:t>
      </w:r>
      <w:r>
        <w:rPr>
          <w:i/>
          <w:iCs/>
        </w:rPr>
        <w:t xml:space="preserve">Forecasting</w:t>
      </w:r>
      <w:r>
        <w:t xml:space="preserve">, vol. 6, no. 3, art. no. 34, 2024, doi: 10.3390/forecast6030034.</w:t>
      </w:r>
    </w:p>
    <w:p>
      <w:pPr>
        <w:pStyle w:val="references"/>
      </w:pPr>
      <w:r>
        <w:t xml:space="preserve">S. Otabek and J. Choi, “From prediction to profit: A comprehensive review of cryptocurrency trading strategies and price forecasting techniques,” </w:t>
      </w:r>
      <w:r>
        <w:rPr>
          <w:i/>
          <w:iCs/>
        </w:rPr>
        <w:t xml:space="preserve">IEEE Access</w:t>
      </w:r>
      <w:r>
        <w:t xml:space="preserve">, vol. 12, pp. 87039–87064, 2024, doi: 10.1109/ACCESS.2024.3417449.</w:t>
      </w:r>
    </w:p>
    <w:p>
      <w:pPr>
        <w:pStyle w:val="references"/>
      </w:pPr>
      <w:r>
        <w:t xml:space="preserve">P. Jaquart, S. Köpke, and C. Weinhardt, “Machine learning for cryptocurrency market prediction and trading,” </w:t>
      </w:r>
      <w:r>
        <w:rPr>
          <w:i/>
          <w:iCs/>
        </w:rPr>
        <w:t xml:space="preserve">J. Finance Data Sci.</w:t>
      </w:r>
      <w:r>
        <w:t xml:space="preserve">, vol. 8, pp. 331–352, 2022, doi: 10.1016/j.jfds.2022.12.001.</w:t>
      </w:r>
    </w:p>
    <w:p>
      <w:pPr>
        <w:pStyle w:val="references"/>
      </w:pPr>
      <w:r>
        <w:t xml:space="preserve">O. Omole and D. Enke, “Deep learning for Bitcoin price direction prediction: Models and trading strategies empirically compared,” </w:t>
      </w:r>
      <w:r>
        <w:rPr>
          <w:i/>
          <w:iCs/>
        </w:rPr>
        <w:t xml:space="preserve">Financ. Innov.</w:t>
      </w:r>
      <w:r>
        <w:t xml:space="preserve">, vol. 10, art. no. 117, 2024, doi: 10.1186/s40854-024-00643-1.</w:t>
      </w:r>
    </w:p>
    <w:p>
      <w:pPr>
        <w:pStyle w:val="references"/>
      </w:pPr>
      <w:r>
        <w:t xml:space="preserve">P. Grądzki, P. Wójcik, and S. Lessmann, “Algorithmic crypto trading using information-driven bars, triple barrier labeling and deep learning,” </w:t>
      </w:r>
      <w:r>
        <w:rPr>
          <w:i/>
          <w:iCs/>
        </w:rPr>
        <w:t xml:space="preserve">Financ. Innov.</w:t>
      </w:r>
      <w:r>
        <w:t xml:space="preserve">, vol. 11, art. no. 136, 2025, doi: 10.1186/s40854-025-00866-w.</w:t>
      </w:r>
    </w:p>
    <w:p w:rsidR="008A78AA" w:rsidRDefault="00000000">
      <w:pPr>
        <w:pStyle w:val="references"/>
      </w:pPr>
      <w:r>
        <w:t xml:space="preserve">L. Guo, B. Sang, J. Tu, and Y. Wang, “Cross-cryptocurrency return predictability,” </w:t>
      </w:r>
      <w:r>
        <w:rPr>
          <w:i/>
          <w:iCs/>
        </w:rPr>
        <w:t xml:space="preserve">J. Econ. Dyn. Control</w:t>
      </w:r>
      <w:r>
        <w:t xml:space="preserve">, vol. 163, art. no. 104863, 2024, doi: 10.1016/j.jedc.2024.104863.</w:t>
      </w:r>
    </w:p>
    <w:p w:rsidR="008A78AA" w:rsidRDefault="00000000">
      <w:pPr>
        <w:pStyle w:val="references"/>
      </w:pPr>
      <w:r>
        <w:t xml:space="preserve">R. Hasanli and M. Dursun, “Integrating high-dimensional technical indicators into machine learning models for predicting cryptocurrency price movements and trading performance: Evidence from Bitcoin, Ethereum, and Ripple,” </w:t>
      </w:r>
      <w:r>
        <w:rPr>
          <w:i/>
          <w:iCs/>
        </w:rPr>
        <w:t xml:space="preserve">FinTech</w:t>
      </w:r>
      <w:r>
        <w:t xml:space="preserve">, vol. 4, no. 4, art. no. 77, 2025, doi: 10.3390/fintech4040077.</w:t>
      </w:r>
    </w:p>
    <w:p>
      <w:pPr>
        <w:pStyle w:val="references"/>
      </w:pPr>
      <w:r>
        <w:t xml:space="preserve">P. Sobreiro, D. Martinho, R. Martins, and R. Vardasca, “Multi-timeframe feature engineering for Bitcoin market prediction: A price-level-agnostic machine learning approach,” </w:t>
      </w:r>
      <w:r>
        <w:rPr>
          <w:i/>
          <w:iCs/>
        </w:rPr>
        <w:t xml:space="preserve">Forecasting</w:t>
      </w:r>
      <w:r>
        <w:t xml:space="preserve">, vol. 8, no. 3, art. no. 40, 2026, doi: 10.3390/forecast8030040.</w:t>
      </w:r>
    </w:p>
    <w:p>
      <w:pPr>
        <w:pStyle w:val="references"/>
      </w:pPr>
      <w:r>
        <w:t xml:space="preserve">A. Bysik and R. Ślepaczuk, “Machine learning-based Bitcoin trading under transaction costs: Evidence from walk-forward forecasting,” arXiv preprint arXiv:2606.00060, 2026.</w:t>
      </w:r>
    </w:p>
    <w:p w14:paraId="275B522F" w14:textId="77777777" w:rsidR="008A78AA" w:rsidRDefault="00000000">
      <w:pPr>
        <w:pStyle w:val="references"/>
      </w:pPr>
      <w:r>
        <w:t xml:space="preserve">R. Sharda, D. Delen, and E. Turban, </w:t>
      </w:r>
      <w:r>
        <w:rPr>
          <w:i/>
          <w:iCs/>
        </w:rPr>
        <w:t>Business Intelligence, Analytics, and Data Science: A Managerial Perspective</w:t>
      </w:r>
      <w:r>
        <w:t>, 4th ed. Hoboken, NJ, USA: Pearson, 2017.</w:t>
      </w:r>
    </w:p>
    <w:p w14:paraId="756CA3D2" w14:textId="77777777" w:rsidR="008A78AA" w:rsidRDefault="00000000">
      <w:pPr>
        <w:pStyle w:val="references"/>
      </w:pPr>
      <w:r>
        <w:t xml:space="preserve">D. Arnott and G. Pervan, “A critical analysis of decision support systems research revisited: The rise of design science,” </w:t>
      </w:r>
      <w:r>
        <w:rPr>
          <w:i/>
          <w:iCs/>
        </w:rPr>
        <w:t>J. Inf. Technol.</w:t>
      </w:r>
      <w:r>
        <w:t>, vol. 29, no. 4, pp. 269–293, 2014, doi: 10.1057/jit.2014.16.</w:t>
      </w:r>
    </w:p>
    <w:p w14:paraId="63D5ABD1" w14:textId="77777777" w:rsidR="008A78AA" w:rsidRDefault="00000000">
      <w:pPr>
        <w:pStyle w:val="references"/>
      </w:pPr>
      <w:r>
        <w:t xml:space="preserve">P. Jorion, </w:t>
      </w:r>
      <w:r>
        <w:rPr>
          <w:i/>
          <w:iCs/>
        </w:rPr>
        <w:t>Value at Risk: The New Benchmark for Managing Financial Risk</w:t>
      </w:r>
      <w:r>
        <w:t>, 3rd ed. New York, NY, USA: McGraw-Hill Education, 2006.</w:t>
      </w:r>
    </w:p>
    <w:p w14:paraId="172D6CEF" w14:textId="77777777" w:rsidR="008A78AA" w:rsidRDefault="00000000">
      <w:pPr>
        <w:pStyle w:val="references"/>
      </w:pPr>
      <w:r>
        <w:t>Binance, “Binance Spot API Documentation,” Binance Technical Engineering, 2024. Available: https://binance-docs.github.io/apidocs/spot/en/. [Accessed: May 2026].</w:t>
      </w:r>
    </w:p>
    <w:p w14:paraId="44B8D7E7" w14:textId="77777777" w:rsidR="008A78AA" w:rsidRDefault="00000000">
      <w:pPr>
        <w:pStyle w:val="references"/>
      </w:pPr>
      <w:r>
        <w:t xml:space="preserve">G. Appel, </w:t>
      </w:r>
      <w:r>
        <w:rPr>
          <w:i/>
          <w:iCs/>
        </w:rPr>
        <w:t xml:space="preserve">Technical Analysis: Power Tools for Active Investors</w:t>
      </w:r>
      <w:r>
        <w:t xml:space="preserve">. Upper Saddle River, NJ, USA: Financial Times Prentice Hall, 2005.</w:t>
      </w:r>
    </w:p>
    <w:p w14:paraId="023F92E9" w14:textId="77777777" w:rsidR="008A78AA" w:rsidRDefault="00000000">
      <w:pPr>
        <w:pStyle w:val="references"/>
      </w:pPr>
      <w:r>
        <w:t xml:space="preserve">J. Han, M. Kamber, and J. Pei, </w:t>
      </w:r>
      <w:r>
        <w:rPr>
          <w:i/>
          <w:iCs/>
        </w:rPr>
        <w:t>Data Mining: Concepts and Techniques</w:t>
      </w:r>
      <w:r>
        <w:t>, 3rd ed. Waltham, MA, USA: Morgan Kaufmann, 2011.</w:t>
      </w:r>
    </w:p>
    <w:p w14:paraId="5BF3ADE3" w14:textId="77777777" w:rsidR="008A78AA" w:rsidRDefault="00000000">
      <w:pPr>
        <w:pStyle w:val="references"/>
      </w:pPr>
      <w:r>
        <w:t xml:space="preserve">R. J. Hyndman and G. Athanasopoulos, </w:t>
      </w:r>
      <w:r>
        <w:rPr>
          <w:i/>
          <w:iCs/>
        </w:rPr>
        <w:t>Forecasting: Principles and Practice</w:t>
      </w:r>
      <w:r>
        <w:t>, 3rd ed. Melbourne, Australia: OTexts, 2021. Available: https://otexts.com/fpp3/.</w:t>
      </w:r>
    </w:p>
    <w:p w14:paraId="2E62D4FB" w14:textId="77777777" w:rsidR="008A78AA" w:rsidRDefault="00000000">
      <w:pPr>
        <w:pStyle w:val="references"/>
      </w:pPr>
      <w:r>
        <w:t xml:space="preserve">R. S. Tsay, </w:t>
      </w:r>
      <w:r>
        <w:rPr>
          <w:i/>
          <w:iCs/>
        </w:rPr>
        <w:t>Analysis of Financial Time Series</w:t>
      </w:r>
      <w:r>
        <w:t>, 3rd ed. Hoboken, NJ, USA: John Wiley &amp; Sons, 2010, doi: 10.1002/9780470644560.</w:t>
      </w:r>
    </w:p>
    <w:p w14:paraId="209160CD" w14:textId="77777777" w:rsidR="008A78AA" w:rsidRDefault="00000000">
      <w:pPr>
        <w:pStyle w:val="references"/>
      </w:pPr>
      <w:r>
        <w:t xml:space="preserve">S. M. Lundberg and S. I. Lee, “A Unified Approach to Interpreting Model Predictions,” in </w:t>
      </w:r>
      <w:r>
        <w:rPr>
          <w:i/>
          <w:iCs/>
        </w:rPr>
        <w:t>Advances in Neural Information Processing Systems (NeurIPS)</w:t>
      </w:r>
      <w:r>
        <w:t>, vol. 30, 2017, pp. 4765–4774. Available: https://arxiv.org/abs/1705.07874.</w:t>
      </w:r>
    </w:p>
    <w:p w14:paraId="043B541F" w14:textId="77777777" w:rsidR="008A78AA" w:rsidRDefault="00000000">
      <w:pPr>
        <w:pStyle w:val="references"/>
      </w:pPr>
      <w:r>
        <w:t xml:space="preserve">F. X. Diebold and R. S. Mariano, “Comparing Predictive Accuracy,” </w:t>
      </w:r>
      <w:r>
        <w:rPr>
          <w:i/>
          <w:iCs/>
        </w:rPr>
        <w:t>J. Bus. Econ. Stat.</w:t>
      </w:r>
      <w:r>
        <w:t>, vol. 13, no. 3, pp. 253–263, 1995, doi: 10.1080/07350015.1995.10524599.</w:t>
      </w:r>
    </w:p>
    <w:p w14:paraId="7316CCDA" w14:textId="77777777" w:rsidR="008A78AA" w:rsidRDefault="00000000">
      <w:pPr>
        <w:pStyle w:val="references"/>
      </w:pPr>
      <w:r>
        <w:t xml:space="preserve">A. Briola, D. Vidal-Tomás, Y. Wang, and T. Aste, “Anatomy of a stablecoin’s failure: The Terra-Luna case,” </w:t>
      </w:r>
      <w:r>
        <w:rPr>
          <w:i/>
          <w:iCs/>
        </w:rPr>
        <w:t xml:space="preserve">Finance Res. Lett.</w:t>
      </w:r>
      <w:r>
        <w:t xml:space="preserve">, vol. 51, art. no. 103358, 2023, doi: 10.1016/j.frl.2022.103358.</w:t>
      </w:r>
    </w:p>
    <w:p w14:paraId="4CBDABC0" w14:textId="77777777" w:rsidR="008A78AA" w:rsidRDefault="00000000">
      <w:pPr>
        <w:pStyle w:val="references"/>
      </w:pPr>
      <w:r>
        <w:t xml:space="preserve">J. Brooke, “SUS: A ‘Quick and Dirty’ Usability Scale,” in </w:t>
      </w:r>
      <w:r>
        <w:rPr>
          <w:i/>
          <w:iCs/>
        </w:rPr>
        <w:t>Usability Evaluation in Industry</w:t>
      </w:r>
      <w:r>
        <w:t>, P. W. Jordan et al., Eds. London, UK: Taylor &amp; Francis, 1996, pp. 189–194.</w:t>
      </w:r>
    </w:p>
    <w:p w14:paraId="2372B59A" w14:textId="77777777" w:rsidR="008A78AA" w:rsidRDefault="00000000">
      <w:pPr>
        <w:pStyle w:val="references"/>
      </w:pPr>
      <w:r>
        <w:t xml:space="preserve">A. Bangor, P. T. Kortum, and J. T. Miller, “Determining what individual SUS scores mean: Adding an adjective rating scale,” </w:t>
      </w:r>
      <w:r>
        <w:rPr>
          <w:i/>
          <w:iCs/>
        </w:rPr>
        <w:t>J. Usability Stud.</w:t>
      </w:r>
      <w:r>
        <w:t>, vol. 4, no. 3, pp. 114–123, 2009. Available: https://uxpajournal.org/determining-what-individual-sus-scores-mean/.</w:t>
      </w:r>
    </w:p>
    <w:p>
      <w:pPr>
        <w:pStyle w:val="references"/>
      </w:pPr>
      <w:r>
        <w:t xml:space="preserve">P. Peng, Y. Chen, W. Lin, and J. Z. Wang, “Attention-based CNN-LSTM for high-frequency multiple cryptocurrency trend prediction,” </w:t>
      </w:r>
      <w:r>
        <w:rPr>
          <w:i/>
          <w:iCs/>
        </w:rPr>
        <w:t xml:space="preserve">Expert Syst. Appl.</w:t>
      </w:r>
      <w:r>
        <w:t xml:space="preserve">, vol. 237, art. no. 121520, 2024, doi: 10.1016/j.eswa.2023.121520.</w:t>
      </w:r>
    </w:p>
    <w:sectPr w:rsidR="008A78AA">
      <w:type w:val="continuous"/>
      <w:pgSz w:w="11906" w:h="16838"/>
      <w:pgMar w:top="540" w:right="893" w:bottom="1440" w:left="893" w:header="0" w:footer="720" w:gutter="0"/>
      <w:cols w:num="2" w:space="360"/>
      <w:formProt w:val="0"/>
      <w:titlePg/>
      <w:docGrid w:linePitch="360" w:charSpace="819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F842DB" w14:textId="77777777" w:rsidR="00242BB1" w:rsidRDefault="00242BB1">
      <w:r>
        <w:separator/>
      </w:r>
    </w:p>
  </w:endnote>
  <w:endnote w:type="continuationSeparator" w:id="0">
    <w:p w14:paraId="61238C21" w14:textId="77777777" w:rsidR="00242BB1" w:rsidRDefault="00242B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Liberation Sans">
    <w:altName w:val="Arial"/>
    <w:charset w:val="01"/>
    <w:family w:val="swiss"/>
    <w:pitch w:val="variable"/>
  </w:font>
  <w:font w:name="Noto Sans CJK SC">
    <w:panose1 w:val="00000000000000000000"/>
    <w:charset w:val="00"/>
    <w:family w:val="roman"/>
    <w:notTrueType/>
    <w:pitch w:val="default"/>
  </w:font>
  <w:font w:name="FreeSans">
    <w:panose1 w:val="00000000000000000000"/>
    <w:charset w:val="00"/>
    <w:family w:val="roman"/>
    <w:notTrueType/>
    <w:pitch w:val="default"/>
  </w:font>
  <w:font w:name="MS Mincho">
    <w:altName w:val="ＭＳ 明朝"/>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976247" w14:textId="77777777" w:rsidR="008A78AA" w:rsidRDefault="008A78A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545DDF" w14:textId="77777777" w:rsidR="008A78AA" w:rsidRDefault="008A78A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B22D97" w14:textId="77777777" w:rsidR="008A78AA" w:rsidRDefault="00000000">
    <w:pPr>
      <w:pStyle w:val="Footer"/>
      <w:jc w:val="left"/>
      <w:rPr>
        <w:sz w:val="16"/>
        <w:szCs w:val="16"/>
      </w:rPr>
    </w:pPr>
    <w:r>
      <w:rPr>
        <w:sz w:val="16"/>
        <w:szCs w:val="16"/>
      </w:rPr>
      <w:t>979-8-3315-XXXX-X/26/$31.00 © 2026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FBDC85" w14:textId="77777777" w:rsidR="00242BB1" w:rsidRDefault="00242BB1">
      <w:r>
        <w:separator/>
      </w:r>
    </w:p>
  </w:footnote>
  <w:footnote w:type="continuationSeparator" w:id="0">
    <w:p w14:paraId="25BFDE38" w14:textId="77777777" w:rsidR="00242BB1" w:rsidRDefault="00242BB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D0CF6"/>
    <w:multiLevelType w:val="multilevel"/>
    <w:tmpl w:val="CA44159E"/>
    <w:lvl w:ilvl="0">
      <w:start w:val="1"/>
      <w:numFmt w:val="bullet"/>
      <w:pStyle w:val="bulletlist"/>
      <w:lvlText w:val=""/>
      <w:lvlJc w:val="left"/>
      <w:pPr>
        <w:tabs>
          <w:tab w:val="num" w:pos="648"/>
        </w:tabs>
        <w:ind w:left="648"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1" w15:restartNumberingAfterBreak="0">
    <w:nsid w:val="31024458"/>
    <w:multiLevelType w:val="multilevel"/>
    <w:tmpl w:val="4670C474"/>
    <w:lvl w:ilvl="0">
      <w:start w:val="1"/>
      <w:numFmt w:val="upperRoman"/>
      <w:pStyle w:val="tablehead"/>
      <w:lvlText w:val="TABLE %1. "/>
      <w:lvlJc w:val="left"/>
      <w:pPr>
        <w:tabs>
          <w:tab w:val="num" w:pos="1080"/>
        </w:tabs>
        <w:ind w:left="0" w:firstLine="0"/>
      </w:pPr>
      <w:rPr>
        <w:rFonts w:ascii="Times New Roman" w:hAnsi="Times New Roman" w:cs="Times New Roman"/>
        <w:b w:val="0"/>
        <w:bCs w:val="0"/>
        <w:i w:val="0"/>
        <w:iCs w:val="0"/>
        <w:sz w:val="16"/>
        <w:szCs w:val="16"/>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3912158E"/>
    <w:multiLevelType w:val="multilevel"/>
    <w:tmpl w:val="7DD0161A"/>
    <w:lvl w:ilvl="0">
      <w:start w:val="1"/>
      <w:numFmt w:val="upperRoman"/>
      <w:pStyle w:val="Heading1"/>
      <w:lvlText w:val="%1."/>
      <w:lvlJc w:val="center"/>
      <w:pPr>
        <w:tabs>
          <w:tab w:val="num" w:pos="576"/>
        </w:tabs>
        <w:ind w:left="0" w:firstLine="216"/>
      </w:pPr>
      <w:rPr>
        <w:rFonts w:ascii="Times New Roman" w:hAnsi="Times New Roman" w:cs="Times New Roman"/>
        <w:caps w:val="0"/>
        <w:smallCaps w:val="0"/>
        <w:strike w:val="0"/>
        <w:dstrike w:val="0"/>
        <w:vanish w:val="0"/>
        <w:color w:val="auto"/>
        <w:position w:val="0"/>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b w:val="0"/>
        <w:bCs w:val="0"/>
        <w:i/>
        <w:iCs/>
        <w:caps w:val="0"/>
        <w:smallCaps w:val="0"/>
        <w:strike w:val="0"/>
        <w:dstrike w:val="0"/>
        <w:vanish w:val="0"/>
        <w:color w:val="auto"/>
        <w:position w:val="0"/>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left="0" w:firstLine="180"/>
      </w:pPr>
      <w:rPr>
        <w:rFonts w:ascii="Times New Roman" w:hAnsi="Times New Roman" w:cs="Times New Roman"/>
        <w:b w:val="0"/>
        <w:bCs w:val="0"/>
        <w:i/>
        <w:iCs/>
        <w:caps w:val="0"/>
        <w:smallCaps w:val="0"/>
        <w:strike w:val="0"/>
        <w:dstrike w:val="0"/>
        <w:vanish w:val="0"/>
        <w:color w:val="auto"/>
        <w:position w:val="0"/>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left="0" w:firstLine="360"/>
      </w:pPr>
      <w:rPr>
        <w:rFonts w:ascii="Times New Roman" w:hAnsi="Times New Roman" w:cs="Times New Roman"/>
        <w:b w:val="0"/>
        <w:bCs w:val="0"/>
        <w:i/>
        <w:iCs/>
        <w:sz w:val="20"/>
        <w:szCs w:val="20"/>
      </w:rPr>
    </w:lvl>
    <w:lvl w:ilvl="4">
      <w:start w:val="1"/>
      <w:numFmt w:val="none"/>
      <w:suff w:val="nothing"/>
      <w:lvlText w:val=""/>
      <w:lvlJc w:val="left"/>
      <w:pPr>
        <w:tabs>
          <w:tab w:val="num" w:pos="3240"/>
        </w:tabs>
        <w:ind w:left="2880" w:firstLine="0"/>
      </w:pPr>
      <w:rPr>
        <w:rFonts w:cs="Times New Roman"/>
      </w:rPr>
    </w:lvl>
    <w:lvl w:ilvl="5">
      <w:start w:val="1"/>
      <w:numFmt w:val="lowerLetter"/>
      <w:lvlText w:val="(%6)"/>
      <w:lvlJc w:val="left"/>
      <w:pPr>
        <w:tabs>
          <w:tab w:val="num" w:pos="3960"/>
        </w:tabs>
        <w:ind w:left="3600" w:firstLine="0"/>
      </w:pPr>
      <w:rPr>
        <w:rFonts w:cs="Times New Roman"/>
      </w:rPr>
    </w:lvl>
    <w:lvl w:ilvl="6">
      <w:start w:val="1"/>
      <w:numFmt w:val="lowerRoman"/>
      <w:lvlText w:val="(%7)"/>
      <w:lvlJc w:val="left"/>
      <w:pPr>
        <w:tabs>
          <w:tab w:val="num" w:pos="4680"/>
        </w:tabs>
        <w:ind w:left="4320" w:firstLine="0"/>
      </w:pPr>
      <w:rPr>
        <w:rFonts w:cs="Times New Roman"/>
      </w:rPr>
    </w:lvl>
    <w:lvl w:ilvl="7">
      <w:start w:val="1"/>
      <w:numFmt w:val="lowerLetter"/>
      <w:lvlText w:val="(%8)"/>
      <w:lvlJc w:val="left"/>
      <w:pPr>
        <w:tabs>
          <w:tab w:val="num" w:pos="5400"/>
        </w:tabs>
        <w:ind w:left="5040" w:firstLine="0"/>
      </w:pPr>
      <w:rPr>
        <w:rFonts w:cs="Times New Roman"/>
      </w:rPr>
    </w:lvl>
    <w:lvl w:ilvl="8">
      <w:start w:val="1"/>
      <w:numFmt w:val="lowerRoman"/>
      <w:lvlText w:val="(%9)"/>
      <w:lvlJc w:val="left"/>
      <w:pPr>
        <w:tabs>
          <w:tab w:val="num" w:pos="6120"/>
        </w:tabs>
        <w:ind w:left="5760" w:firstLine="0"/>
      </w:pPr>
      <w:rPr>
        <w:rFonts w:cs="Times New Roman"/>
      </w:rPr>
    </w:lvl>
  </w:abstractNum>
  <w:abstractNum w:abstractNumId="3" w15:restartNumberingAfterBreak="0">
    <w:nsid w:val="4706772C"/>
    <w:multiLevelType w:val="multilevel"/>
    <w:tmpl w:val="405C6EB8"/>
    <w:lvl w:ilvl="0">
      <w:start w:val="1"/>
      <w:numFmt w:val="decimal"/>
      <w:pStyle w:val="footnote"/>
      <w:lvlText w:val="%1 "/>
      <w:lvlJc w:val="left"/>
      <w:pPr>
        <w:tabs>
          <w:tab w:val="num" w:pos="648"/>
        </w:tabs>
        <w:ind w:left="0" w:firstLine="288"/>
      </w:pPr>
      <w:rPr>
        <w:rFonts w:ascii="Times New Roman" w:hAnsi="Times New Roman" w:cs="Times New Roman"/>
        <w:b w:val="0"/>
        <w:bCs w:val="0"/>
        <w:i w:val="0"/>
        <w:iCs w:val="0"/>
        <w:caps w:val="0"/>
        <w:small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4" w15:restartNumberingAfterBreak="0">
    <w:nsid w:val="4B1F2995"/>
    <w:multiLevelType w:val="multilevel"/>
    <w:tmpl w:val="C8A62920"/>
    <w:lvl w:ilvl="0">
      <w:start w:val="1"/>
      <w:numFmt w:val="lowerLetter"/>
      <w:pStyle w:val="tablefootnote"/>
      <w:lvlText w:val="%1."/>
      <w:lvlJc w:val="right"/>
      <w:pPr>
        <w:tabs>
          <w:tab w:val="num" w:pos="0"/>
        </w:tabs>
        <w:ind w:left="418" w:hanging="360"/>
      </w:pPr>
      <w:rPr>
        <w:rFonts w:ascii="Times New Roman" w:hAnsi="Times New Roman"/>
        <w:b w:val="0"/>
        <w:i w:val="0"/>
        <w:caps w:val="0"/>
        <w:smallCaps w:val="0"/>
        <w:strike w:val="0"/>
        <w:dstrike w:val="0"/>
        <w:vanish w:val="0"/>
        <w:color w:val="auto"/>
        <w:spacing w:val="0"/>
        <w:w w:val="100"/>
        <w:ker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5" w15:restartNumberingAfterBreak="0">
    <w:nsid w:val="4B636A63"/>
    <w:multiLevelType w:val="multilevel"/>
    <w:tmpl w:val="36547E72"/>
    <w:lvl w:ilvl="0">
      <w:start w:val="1"/>
      <w:numFmt w:val="decimal"/>
      <w:pStyle w:val="references"/>
      <w:lvlText w:val="[%1]"/>
      <w:lvlJc w:val="left"/>
      <w:pPr>
        <w:tabs>
          <w:tab w:val="num" w:pos="360"/>
        </w:tabs>
        <w:ind w:left="360" w:hanging="360"/>
      </w:pPr>
      <w:rPr>
        <w:rFonts w:ascii="Times New Roman" w:hAnsi="Times New Roman" w:cs="Times New Roman"/>
        <w:b w:val="0"/>
        <w:bCs w:val="0"/>
        <w:i w:val="0"/>
        <w:iCs w:val="0"/>
        <w:sz w:val="16"/>
        <w:szCs w:val="16"/>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52D457B8"/>
    <w:multiLevelType w:val="multilevel"/>
    <w:tmpl w:val="E0CA5868"/>
    <w:lvl w:ilvl="0">
      <w:start w:val="1"/>
      <w:numFmt w:val="decimal"/>
      <w:pStyle w:val="figurecaption"/>
      <w:lvlText w:val="Fig. %1."/>
      <w:lvlJc w:val="left"/>
      <w:pPr>
        <w:tabs>
          <w:tab w:val="num" w:pos="0"/>
        </w:tabs>
        <w:ind w:left="360" w:hanging="360"/>
      </w:pPr>
      <w:rPr>
        <w:rFonts w:ascii="Times New Roman" w:hAnsi="Times New Roman" w:cs="Times New Roman"/>
        <w:b w:val="0"/>
        <w:bCs w:val="0"/>
        <w:i w:val="0"/>
        <w:iCs w:val="0"/>
        <w:color w:val="auto"/>
        <w:sz w:val="16"/>
        <w:szCs w:val="16"/>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num w:numId="1" w16cid:durableId="893202635">
    <w:abstractNumId w:val="2"/>
  </w:num>
  <w:num w:numId="2" w16cid:durableId="1146898852">
    <w:abstractNumId w:val="0"/>
  </w:num>
  <w:num w:numId="3" w16cid:durableId="105151915">
    <w:abstractNumId w:val="6"/>
  </w:num>
  <w:num w:numId="4" w16cid:durableId="1034501055">
    <w:abstractNumId w:val="3"/>
  </w:num>
  <w:num w:numId="5" w16cid:durableId="2100908960">
    <w:abstractNumId w:val="5"/>
  </w:num>
  <w:num w:numId="6" w16cid:durableId="552426806">
    <w:abstractNumId w:val="1"/>
  </w:num>
  <w:num w:numId="7" w16cid:durableId="16713764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defaultTabStop w:val="720"/>
  <w:autoHyphenation/>
  <w:doNotHyphenateCaps/>
  <w:characterSpacingControl w:val="doNotCompress"/>
  <w:footnotePr>
    <w:footnote w:id="-1"/>
    <w:footnote w:id="0"/>
  </w:footnotePr>
  <w:endnotePr>
    <w:endnote w:id="-1"/>
    <w:endnote w:id="0"/>
  </w:endnotePr>
  <w:compat>
    <w:useFELayou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78AA"/>
    <w:rsid w:val="00096936"/>
    <w:rsid w:val="00120A85"/>
    <w:rsid w:val="001F2CB9"/>
    <w:rsid w:val="00240140"/>
    <w:rsid w:val="00242BB1"/>
    <w:rsid w:val="00291B0D"/>
    <w:rsid w:val="00354174"/>
    <w:rsid w:val="004E5AD0"/>
    <w:rsid w:val="005002B2"/>
    <w:rsid w:val="005932C6"/>
    <w:rsid w:val="005D349C"/>
    <w:rsid w:val="005D73DE"/>
    <w:rsid w:val="00607496"/>
    <w:rsid w:val="00662A52"/>
    <w:rsid w:val="00705BF3"/>
    <w:rsid w:val="00712C53"/>
    <w:rsid w:val="00782552"/>
    <w:rsid w:val="007F0DB4"/>
    <w:rsid w:val="008A78AA"/>
    <w:rsid w:val="009E69FB"/>
    <w:rsid w:val="00A018D2"/>
    <w:rsid w:val="00A85596"/>
    <w:rsid w:val="00A95FEA"/>
    <w:rsid w:val="00B357D1"/>
    <w:rsid w:val="00B5341F"/>
    <w:rsid w:val="00B81C38"/>
    <w:rsid w:val="00C4090F"/>
    <w:rsid w:val="00CF5423"/>
    <w:rsid w:val="00D16FC1"/>
    <w:rsid w:val="00D90C4A"/>
    <w:rsid w:val="00DC11F3"/>
    <w:rsid w:val="00DC5022"/>
    <w:rsid w:val="00E420D4"/>
    <w:rsid w:val="00E87D1E"/>
    <w:rsid w:val="00F14571"/>
    <w:rsid w:val="00FB0636"/>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6CD15E"/>
  <w15:docId w15:val="{25E4F4A7-C0CD-4602-A88E-5BD70F434F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pPr>
        <w:suppressAutoHyphens/>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1"/>
      </w:numPr>
      <w:tabs>
        <w:tab w:val="left" w:pos="216"/>
      </w:tabs>
      <w:spacing w:before="160" w:after="80"/>
      <w:ind w:firstLine="0"/>
      <w:outlineLvl w:val="0"/>
    </w:pPr>
    <w:rPr>
      <w:smallCaps/>
    </w:rPr>
  </w:style>
  <w:style w:type="paragraph" w:styleId="Heading2">
    <w:name w:val="heading 2"/>
    <w:basedOn w:val="Normal"/>
    <w:next w:val="Normal"/>
    <w:qFormat/>
    <w:rsid w:val="00ED0149"/>
    <w:pPr>
      <w:keepNext/>
      <w:keepLines/>
      <w:numPr>
        <w:ilvl w:val="1"/>
        <w:numId w:val="1"/>
      </w:numPr>
      <w:tabs>
        <w:tab w:val="left" w:pos="288"/>
      </w:tabs>
      <w:spacing w:before="120" w:after="60"/>
      <w:jc w:val="left"/>
      <w:outlineLvl w:val="1"/>
    </w:pPr>
    <w:rPr>
      <w:i/>
      <w:iCs/>
    </w:rPr>
  </w:style>
  <w:style w:type="paragraph" w:styleId="Heading3">
    <w:name w:val="heading 3"/>
    <w:basedOn w:val="Normal"/>
    <w:next w:val="Normal"/>
    <w:qFormat/>
    <w:rsid w:val="00794804"/>
    <w:pPr>
      <w:numPr>
        <w:ilvl w:val="2"/>
        <w:numId w:val="1"/>
      </w:numPr>
      <w:spacing w:line="240" w:lineRule="exact"/>
      <w:ind w:firstLine="288"/>
      <w:jc w:val="both"/>
      <w:outlineLvl w:val="2"/>
    </w:pPr>
    <w:rPr>
      <w:i/>
      <w:iCs/>
    </w:rPr>
  </w:style>
  <w:style w:type="paragraph" w:styleId="Heading4">
    <w:name w:val="heading 4"/>
    <w:basedOn w:val="Normal"/>
    <w:next w:val="Normal"/>
    <w:qFormat/>
    <w:rsid w:val="00794804"/>
    <w:pPr>
      <w:numPr>
        <w:ilvl w:val="3"/>
        <w:numId w:val="1"/>
      </w:numPr>
      <w:tabs>
        <w:tab w:val="left" w:pos="720"/>
      </w:tabs>
      <w:spacing w:before="40" w:after="40"/>
      <w:ind w:firstLine="504"/>
      <w:jc w:val="both"/>
      <w:outlineLvl w:val="3"/>
    </w:pPr>
    <w:rPr>
      <w:i/>
      <w:iCs/>
    </w:rPr>
  </w:style>
  <w:style w:type="paragraph" w:styleId="Heading5">
    <w:name w:val="heading 5"/>
    <w:basedOn w:val="Normal"/>
    <w:next w:val="Normal"/>
    <w:qFormat/>
    <w:pPr>
      <w:tabs>
        <w:tab w:val="left" w:pos="360"/>
      </w:tabs>
      <w:spacing w:before="160" w:after="80"/>
      <w:outlineLvl w:val="4"/>
    </w:pPr>
    <w:rPr>
      <w:smallCap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odyTextChar">
    <w:name w:val="Body Text Char"/>
    <w:link w:val="BodyText"/>
    <w:qFormat/>
    <w:rsid w:val="00E7596C"/>
    <w:rPr>
      <w:spacing w:val="-1"/>
      <w:lang w:val="x-none" w:eastAsia="x-none"/>
    </w:rPr>
  </w:style>
  <w:style w:type="character" w:customStyle="1" w:styleId="HeaderChar">
    <w:name w:val="Header Char"/>
    <w:basedOn w:val="DefaultParagraphFont"/>
    <w:link w:val="Header"/>
    <w:qFormat/>
    <w:rsid w:val="001A3B3D"/>
  </w:style>
  <w:style w:type="character" w:customStyle="1" w:styleId="FooterChar">
    <w:name w:val="Footer Char"/>
    <w:basedOn w:val="DefaultParagraphFont"/>
    <w:link w:val="Footer"/>
    <w:qFormat/>
    <w:rsid w:val="001A3B3D"/>
  </w:style>
  <w:style w:type="character" w:styleId="Hyperlink">
    <w:name w:val="Hyperlink"/>
    <w:basedOn w:val="DefaultParagraphFont"/>
    <w:rsid w:val="00792576"/>
    <w:rPr>
      <w:color w:val="0563C1" w:themeColor="hyperlink"/>
      <w:u w:val="single"/>
    </w:rPr>
  </w:style>
  <w:style w:type="character" w:styleId="UnresolvedMention">
    <w:name w:val="Unresolved Mention"/>
    <w:basedOn w:val="DefaultParagraphFont"/>
    <w:uiPriority w:val="99"/>
    <w:semiHidden/>
    <w:unhideWhenUsed/>
    <w:qFormat/>
    <w:rsid w:val="00792576"/>
    <w:rPr>
      <w:color w:val="605E5C"/>
      <w:shd w:val="clear" w:color="auto" w:fill="E1DFDD"/>
    </w:rPr>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sz w:val="24"/>
      <w:szCs w:val="24"/>
    </w:rPr>
  </w:style>
  <w:style w:type="paragraph" w:customStyle="1" w:styleId="Index">
    <w:name w:val="Index"/>
    <w:basedOn w:val="Normal"/>
    <w:qFormat/>
    <w:pPr>
      <w:suppressLineNumbers/>
    </w:pPr>
    <w:rPr>
      <w:rFonts w:cs="FreeSans"/>
    </w:rPr>
  </w:style>
  <w:style w:type="paragraph" w:customStyle="1" w:styleId="Abstract">
    <w:name w:val="Abstract"/>
    <w:qFormat/>
    <w:rsid w:val="00972203"/>
    <w:pPr>
      <w:spacing w:after="200"/>
      <w:ind w:firstLine="272"/>
      <w:jc w:val="both"/>
    </w:pPr>
    <w:rPr>
      <w:b/>
      <w:bCs/>
      <w:sz w:val="18"/>
      <w:szCs w:val="18"/>
    </w:rPr>
  </w:style>
  <w:style w:type="paragraph" w:customStyle="1" w:styleId="Affiliation">
    <w:name w:val="Affiliation"/>
    <w:qFormat/>
    <w:pPr>
      <w:jc w:val="center"/>
    </w:pPr>
  </w:style>
  <w:style w:type="paragraph" w:customStyle="1" w:styleId="Author">
    <w:name w:val="Author"/>
    <w:qFormat/>
    <w:pPr>
      <w:spacing w:before="360" w:after="40"/>
      <w:jc w:val="center"/>
    </w:pPr>
    <w:rPr>
      <w:sz w:val="22"/>
      <w:szCs w:val="22"/>
    </w:rPr>
  </w:style>
  <w:style w:type="paragraph" w:customStyle="1" w:styleId="bulletlist">
    <w:name w:val="bullet list"/>
    <w:basedOn w:val="BodyText"/>
    <w:qFormat/>
    <w:rsid w:val="001B67DC"/>
    <w:pPr>
      <w:numPr>
        <w:numId w:val="2"/>
      </w:numPr>
      <w:ind w:left="576" w:hanging="288"/>
    </w:pPr>
  </w:style>
  <w:style w:type="paragraph" w:customStyle="1" w:styleId="equation">
    <w:name w:val="equation"/>
    <w:basedOn w:val="Normal"/>
    <w:qFormat/>
    <w:rsid w:val="008A2C7D"/>
    <w:pPr>
      <w:tabs>
        <w:tab w:val="center" w:pos="2520"/>
        <w:tab w:val="right" w:pos="5040"/>
      </w:tabs>
      <w:spacing w:before="240" w:after="240" w:line="216" w:lineRule="auto"/>
    </w:pPr>
  </w:style>
  <w:style w:type="paragraph" w:customStyle="1" w:styleId="figurecaption">
    <w:name w:val="figure caption"/>
    <w:qFormat/>
    <w:rsid w:val="005B0344"/>
    <w:pPr>
      <w:numPr>
        <w:numId w:val="3"/>
      </w:numPr>
      <w:tabs>
        <w:tab w:val="left" w:pos="533"/>
      </w:tabs>
      <w:spacing w:before="80" w:after="200"/>
      <w:ind w:left="0" w:firstLine="0"/>
      <w:jc w:val="both"/>
    </w:pPr>
    <w:rPr>
      <w:sz w:val="16"/>
      <w:szCs w:val="16"/>
    </w:rPr>
  </w:style>
  <w:style w:type="paragraph" w:customStyle="1" w:styleId="footnote">
    <w:name w:val="footnote"/>
    <w:qFormat/>
    <w:pPr>
      <w:numPr>
        <w:numId w:val="4"/>
      </w:numPr>
      <w:spacing w:after="40"/>
    </w:pPr>
    <w:rPr>
      <w:sz w:val="16"/>
      <w:szCs w:val="16"/>
    </w:rPr>
  </w:style>
  <w:style w:type="paragraph" w:customStyle="1" w:styleId="papersubtitle">
    <w:name w:val="paper subtitle"/>
    <w:qFormat/>
    <w:pPr>
      <w:spacing w:after="120"/>
      <w:jc w:val="center"/>
    </w:pPr>
    <w:rPr>
      <w:rFonts w:eastAsia="MS Mincho"/>
      <w:sz w:val="28"/>
      <w:szCs w:val="28"/>
    </w:rPr>
  </w:style>
  <w:style w:type="paragraph" w:customStyle="1" w:styleId="papertitle">
    <w:name w:val="paper title"/>
    <w:qFormat/>
    <w:pPr>
      <w:spacing w:after="120"/>
      <w:jc w:val="center"/>
    </w:pPr>
    <w:rPr>
      <w:rFonts w:eastAsia="MS Mincho"/>
      <w:sz w:val="48"/>
      <w:szCs w:val="48"/>
    </w:rPr>
  </w:style>
  <w:style w:type="paragraph" w:customStyle="1" w:styleId="references">
    <w:name w:val="references"/>
    <w:qFormat/>
    <w:pPr>
      <w:numPr>
        <w:numId w:val="5"/>
      </w:numPr>
      <w:spacing w:after="50" w:line="180" w:lineRule="exact"/>
      <w:jc w:val="both"/>
    </w:pPr>
    <w:rPr>
      <w:rFonts w:eastAsia="MS Mincho"/>
      <w:sz w:val="16"/>
      <w:szCs w:val="16"/>
    </w:rPr>
  </w:style>
  <w:style w:type="paragraph" w:customStyle="1" w:styleId="sponsors">
    <w:name w:val="sponsors"/>
    <w:qFormat/>
    <w:pPr>
      <w:pBdr>
        <w:top w:val="single" w:sz="4" w:space="2" w:color="000000"/>
      </w:pBdr>
      <w:ind w:firstLine="288"/>
    </w:pPr>
    <w:rPr>
      <w:sz w:val="16"/>
      <w:szCs w:val="16"/>
    </w:rPr>
  </w:style>
  <w:style w:type="paragraph" w:customStyle="1" w:styleId="tablecolhead">
    <w:name w:val="table col head"/>
    <w:basedOn w:val="Normal"/>
    <w:qFormat/>
    <w:rPr>
      <w:b/>
      <w:bCs/>
      <w:sz w:val="16"/>
      <w:szCs w:val="16"/>
    </w:rPr>
  </w:style>
  <w:style w:type="paragraph" w:customStyle="1" w:styleId="tablecolsubhead">
    <w:name w:val="table col subhead"/>
    <w:basedOn w:val="tablecolhead"/>
    <w:qFormat/>
    <w:rPr>
      <w:i/>
      <w:iCs/>
      <w:sz w:val="15"/>
      <w:szCs w:val="15"/>
    </w:rPr>
  </w:style>
  <w:style w:type="paragraph" w:customStyle="1" w:styleId="tablecopy">
    <w:name w:val="table copy"/>
    <w:qFormat/>
    <w:pPr>
      <w:jc w:val="both"/>
    </w:pPr>
    <w:rPr>
      <w:sz w:val="16"/>
      <w:szCs w:val="16"/>
    </w:rPr>
  </w:style>
  <w:style w:type="paragraph" w:customStyle="1" w:styleId="tablefootnote">
    <w:name w:val="table footnote"/>
    <w:qFormat/>
    <w:rsid w:val="005E2800"/>
    <w:pPr>
      <w:numPr>
        <w:numId w:val="7"/>
      </w:numPr>
      <w:spacing w:before="60" w:after="30"/>
      <w:ind w:left="58" w:hanging="29"/>
      <w:jc w:val="right"/>
    </w:pPr>
    <w:rPr>
      <w:sz w:val="12"/>
      <w:szCs w:val="12"/>
    </w:rPr>
  </w:style>
  <w:style w:type="paragraph" w:customStyle="1" w:styleId="tablehead">
    <w:name w:val="table head"/>
    <w:qFormat/>
    <w:pPr>
      <w:numPr>
        <w:numId w:val="6"/>
      </w:numPr>
      <w:spacing w:before="240" w:after="120" w:line="216" w:lineRule="auto"/>
      <w:jc w:val="center"/>
    </w:pPr>
    <w:rPr>
      <w:smallCaps/>
      <w:sz w:val="16"/>
      <w:szCs w:val="16"/>
    </w:rPr>
  </w:style>
  <w:style w:type="paragraph" w:customStyle="1" w:styleId="Keywords">
    <w:name w:val="Keywords"/>
    <w:basedOn w:val="Abstract"/>
    <w:qFormat/>
    <w:rsid w:val="00F9441B"/>
    <w:pPr>
      <w:spacing w:after="120"/>
      <w:ind w:firstLine="274"/>
    </w:pPr>
    <w:rPr>
      <w:i/>
    </w:rPr>
  </w:style>
  <w:style w:type="paragraph" w:customStyle="1" w:styleId="HeaderandFooter">
    <w:name w:val="Header and Footer"/>
    <w:basedOn w:val="Normal"/>
    <w:qFormat/>
  </w:style>
  <w:style w:type="paragraph" w:styleId="Header">
    <w:name w:val="header"/>
    <w:basedOn w:val="Normal"/>
    <w:link w:val="HeaderChar"/>
    <w:rsid w:val="001A3B3D"/>
    <w:pPr>
      <w:tabs>
        <w:tab w:val="center" w:pos="4680"/>
        <w:tab w:val="right" w:pos="9360"/>
      </w:tabs>
    </w:pPr>
  </w:style>
  <w:style w:type="paragraph" w:styleId="Footer">
    <w:name w:val="footer"/>
    <w:basedOn w:val="Normal"/>
    <w:link w:val="FooterChar"/>
    <w:rsid w:val="001A3B3D"/>
    <w:pPr>
      <w:tabs>
        <w:tab w:val="center" w:pos="4680"/>
        <w:tab w:val="right" w:pos="9360"/>
      </w:tab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3.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
              <a:schemeClr val="phClr">
                <a:lumMod val="105000"/>
                <a:tint val="73000"/>
              </a:schemeClr>
            </a:gs>
            <a:gs pos="100">
              <a:schemeClr val="phClr">
                <a:lumMod val="105000"/>
                <a:tint val="81000"/>
              </a:schemeClr>
            </a:gs>
          </a:gsLst>
          <a:lin ang="5400000" scaled="0"/>
          <a:tileRect/>
        </a:gradFill>
        <a:gradFill>
          <a:gsLst>
            <a:gs pos="0">
              <a:schemeClr val="phClr">
                <a:lumMod val="102000"/>
                <a:tint val="94000"/>
              </a:schemeClr>
            </a:gs>
            <a:gs pos="50">
              <a:schemeClr val="phClr">
                <a:lumMod val="100000"/>
                <a:shade val="100000"/>
              </a:schemeClr>
            </a:gs>
            <a:gs pos="100">
              <a:schemeClr val="phClr">
                <a:lumMod val="99000"/>
                <a:shade val="78000"/>
              </a:schemeClr>
            </a:gs>
          </a:gsLst>
          <a:lin ang="5400000" scaled="0"/>
          <a:tileRect/>
        </a:gradFill>
      </a:fillStyleLst>
      <a:lnStyleLst>
        <a:ln w="6350" cap="flat" cmpd="sng" algn="ctr">
          <a:prstDash val="solid"/>
          <a:miter lim="800"/>
        </a:ln>
        <a:ln w="12700" cap="flat" cmpd="sng" algn="ctr">
          <a:prstDash val="solid"/>
          <a:miter lim="800"/>
        </a:ln>
        <a:ln w="19050" cap="flat" cmpd="sng" algn="ctr">
          <a:prstDash val="solid"/>
          <a:miter lim="8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
              <a:schemeClr val="phClr">
                <a:tint val="98000"/>
                <a:shade val="90000"/>
                <a:lumMod val="103000"/>
              </a:schemeClr>
            </a:gs>
            <a:gs pos="1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966C7F-158E-4883-86A6-445406923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4869</Words>
  <Characters>27757</Characters>
  <Application>Microsoft Office Word</Application>
  <DocSecurity>0</DocSecurity>
  <Lines>231</Lines>
  <Paragraphs>65</Paragraphs>
  <ScaleCrop>false</ScaleCrop>
  <Company/>
  <LinksUpToDate>false</LinksUpToDate>
  <CharactersWithSpaces>32561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dc:description/>
  <cp:lastModifiedBy>Alter Natef</cp:lastModifiedBy>
  <cp:revision>5</cp:revision>
  <dcterms:created xsi:type="dcterms:W3CDTF">2026-09-16T12:47:00Z</dcterms:created>
  <dcterms:modified xsi:type="dcterms:W3CDTF">2026-09-19T01:49:00Z</dcterms:modified>
  <dc:language>en-US</dc:language>
</cp:coreProperties>
</file>