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r>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r>
        <w:rPr>
          <w:sz w:val="18"/>
          <w:szCs w:val="18"/>
        </w:rPr>
        <w:t>Sukabumi, Indonesia</w:t>
      </w:r>
      <w:r>
        <w:rPr>
          <w:sz w:val="18"/>
          <w:szCs w:val="18"/>
        </w:rPr>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r>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r>
        <w:rPr>
          <w:sz w:val="18"/>
          <w:szCs w:val="18"/>
        </w:rPr>
        <w:t>Sukabumi, Indonesia</w:t>
      </w:r>
      <w:r>
        <w:rPr>
          <w:sz w:val="18"/>
          <w:szCs w:val="18"/>
        </w:rPr>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r>
      <w:r>
        <w:rPr>
          <w:sz w:val="18"/>
          <w:szCs w:val="18"/>
        </w:rPr>
        <w:br/>
      </w:r>
      <w:r>
        <w:rPr>
          <w:i/>
          <w:sz w:val="18"/>
          <w:szCs w:val="18"/>
        </w:rPr>
        <w:t>Department of Informatics Engineering, Faculty of Engineering,</w:t>
      </w:r>
      <w:r>
        <w:rPr>
          <w:sz w:val="18"/>
          <w:szCs w:val="18"/>
        </w:rPr>
        <w:br/>
      </w:r>
      <w:r>
        <w:rPr>
          <w:i/>
          <w:sz w:val="18"/>
          <w:szCs w:val="18"/>
        </w:rPr>
        <w:t>Pelita Bangsa University</w:t>
      </w:r>
      <w:r>
        <w:rPr>
          <w:i/>
          <w:sz w:val="18"/>
          <w:szCs w:val="18"/>
        </w:rPr>
        <w:br/>
      </w:r>
      <w:r>
        <w:rPr>
          <w:sz w:val="18"/>
          <w:szCs w:val="18"/>
        </w:rPr>
        <w:t>Bekasi, Indonesia</w:t>
      </w:r>
      <w:r>
        <w:rPr>
          <w:sz w:val="18"/>
          <w:szCs w:val="18"/>
        </w:rPr>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w:t>
      </w:r>
      <w:r w:rsidR="00E420D4">
        <w:t xml:space="preserve"> </w:t>
      </w:r>
      <w:r w:rsidR="00F14571">
        <w:t>—</w:t>
      </w:r>
      <w:r w:rsidR="00E420D4">
        <w:t xml:space="preserve"> </w:t>
      </w:r>
      <w:r>
        <w:t>Forecasting cryptocurrency prices in operational financial environments presents substantial challenges due to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real-time financial utility metrics including the Sharpe Ratio and Value-at-Risk (VaR). Four model topologies</w:t>
      </w:r>
      <w:r w:rsidR="00F14571">
        <w:t xml:space="preserve"> </w:t>
      </w:r>
      <w:r>
        <w:t>Extreme Gradient Boosting (XGBoost), Long Short-Term Memory (LSTM), Gated Recurrent Unit (GRU), and the Informer Transformer</w:t>
      </w:r>
      <w:r w:rsidR="00F14571">
        <w:t xml:space="preserve"> </w:t>
      </w:r>
      <w:r>
        <w:t>were rigorously evaluated under a 24-fold chronological Walk-Forward Validation protocol using 43,786 hourly candlestick observations of BTC/USDT from March 2021 to March 2026. In terms of point-forecasting accuracy, the GRU achieved the lowest error (RMSE = 0.1058 ± 0.0034, p &lt; 0.001). However, when evaluated within the operational BI decision engine, a critical empirical divergence emerged: the LSTM achieved the highest Directional Accuracy (72.3% ± 1.5%) and the highest annualized Sharpe Ratio (1.45 ± 0.10, with VaR95% = −2.34%), substantially outperforming models with lower point errors. These findings demonstrate that conventional loss metrics such as RMSE fail to indicate trading efficacy and risk-adjusted financial utility. Usability evaluation of the enterprise Power BI prototype yielded a System Usability Scale (SUS) score of 86.4 (SD = 3.2), confirming that domain practitioners can autonomously operate and interpret the multi-model decision support dashboard for risk-governed portfolio allocation.</w:t>
      </w:r>
    </w:p>
    <w:p w14:paraId="76E9453C" w14:textId="748B06AE" w:rsidR="008A78AA" w:rsidRDefault="00000000">
      <w:pPr>
        <w:pStyle w:val="Keywords"/>
      </w:pPr>
      <w:r>
        <w:t>Keywords</w:t>
      </w:r>
      <w:r w:rsidR="00F14571">
        <w:t xml:space="preserve"> </w:t>
      </w:r>
      <w:r>
        <w:t>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Cryptocurrency markets exhibit extreme non-stationarity, high-frequency regime shifts, and severe volatility cascades, frequently invalidating the core assumptions underlying conventional econometric models [1], [2]. Classical time-series techniques such as Autoregressive Integrated Moving Average (ARIMA) presuppose covariance stationarity and linear autocorrelation structures</w:t>
      </w:r>
      <w:r w:rsidR="00F14571">
        <w:t xml:space="preserve"> </w:t>
      </w:r>
      <w:r>
        <w:t>properties routinely violated by intra-day cryptocurrency data [3], [4]. Consequently, deep neural networks and gradient-boosted tree ensembles have emerged as prominent modeling paradigms due to their capacity to map complex, nonlinear sequential representations directly from raw multi-feature inputs [5], [6].</w:t>
      </w:r>
    </w:p>
    <w:p w14:paraId="467A3672" w14:textId="36BEA800" w:rsidR="008A78AA" w:rsidRDefault="00712C53">
      <w:pPr>
        <w:pStyle w:val="BodyText"/>
      </w:pPr>
      <w:r>
        <w:t xml:space="preserve">Despite significant advances in forecasting algorithms, a critical methodological limitation persists in the financial machine learning literature. Existing studies overwhelmingly </w:t>
      </w:r>
      <w:r>
        <w:t>benchmark models using statistical error metrics such as Root Mean Squared Error (RMSE) or Mean Absolute Error (MAE) in isolated laboratory environments. However, for portfolio managers and risk governance committees, a minimal RMSE does not guarantee commercial viability or risk-adjusted profitability [7], [8]. Crucial operational questions</w:t>
      </w:r>
      <w:r w:rsidR="00F14571">
        <w:t xml:space="preserve"> </w:t>
      </w:r>
      <w:r>
        <w:t>such as directional forecasting accuracy, strategy drawdown, and risk-adjusted return under real-world trading constraints</w:t>
      </w:r>
      <w:r w:rsidR="00F14571">
        <w:t xml:space="preserve"> </w:t>
      </w:r>
      <w:r>
        <w:t>remain unanswered by error metrics alone [9]. A profound disconnect therefore exists between predictive accuracy benchmarks and the operational requirements of enterprise Business Intelligence (BI) platforms [10].</w:t>
      </w:r>
    </w:p>
    <w:p w14:paraId="598784DC" w14:textId="77777777" w:rsidR="008A78AA" w:rsidRDefault="001F2CB9">
      <w:pPr>
        <w:pStyle w:val="BodyText"/>
      </w:pPr>
      <w:r>
        <w:t>To bridge this divide, this study develops an end-to-end BI-ML framework that integrates automated multi-model forecasting, leakage-free chronological Walk-Forward Validation, a high-throughput PostgreSQL Data Mart, and an interactive Microsoft Power BI decision-support dashboard operating in near real-time. Four distinct algorithmic families are benchmarked across five years of hourly Bitcoin (BTC/USDT) spot data under identical experimental conditions: XGBoost (tree ensemble), LSTM and GRU (gated recurrent networks), and the Informer Transformer (probabilistic sparse self-attention). By mapping raw multi-step point predictions into live trading signals, annualized Sharpe Ratios, and Value-at-Risk (VaR) thresholds, this framework establishes a rigorous bridge between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In financial modeling, tree-based ensemble methods represent the established standard for tabular feature architectures. Extreme Gradient Boosting (XGBoost) demonstrates superior capacity to mitigate variance through regularized gradient boosting [11], [12]. Nevertheless, standard decision tree models do not inherently model recurrent temporal transitions across consecutive time steps (t − 1), a limitation highlighted by Zheng et al. [13] in volatile crypto asset regimes.</w:t>
      </w:r>
    </w:p>
    <w:p w14:paraId="035DAF2A" w14:textId="77777777" w:rsidR="008A78AA" w:rsidRDefault="00712C53">
      <w:pPr>
        <w:pStyle w:val="BodyText"/>
      </w:pPr>
      <w:r>
        <w:t>To capture multi-scale temporal dependencies, recurrent neural architectures were introduced. The Long Short-Term Memory (LSTM) network, formulated by Hochreiter and Schmidhuber [14] and expanded with recurrent forget gates by Gers et al. [15], regulates gradient flow via input, forget, and output gating mechanisms, mitigating vanishing gradient phenomena. Subsequently, Cho et al. [16] developed the Gated Recurrent Unit (GRU), which combines forget and input gates into a streamlined update gate, achieving comparable sequential retention with reduced computational overhead. Both topologies remain essential benchmarks in quantitative financial engineering [17], [18].</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Attention-based Transformer architectures [19] have achieved remarkable success across diverse sequential modeling domains [20]. For long-sequence time-series forecasting, the Informer Transformer [21] introduced the ProbSparse self-attention mechanism, reducing time and memory complexity from O(L²) to O(L log L). While newer Transformer derivatives such as PatchTST [22] and TimesNet [23] continue to emerge, the Informer serves as an established, extensively validated attention baseline for intra-day cryptocurrency modeling [24]. Importantly, Zerveas et al. [25] observed that attention mechanisms are prone to overfitting on short, noisy intervals</w:t>
      </w:r>
      <w:r w:rsidR="00F14571">
        <w:t xml:space="preserve"> </w:t>
      </w:r>
      <w:r>
        <w:t>a phenomenon directly investigated in this study.</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While comparative algorithmic evaluations are abundant [26], [27], their integration into enterprise Decision Support Systems (DSS) remains scarce. The primary objective of this work is to bridge this operational gap by coupling deep learning predictions to an enterprise BI layer that dynamically computes the annualized Sharpe Ratio and Value-at-Risk (VaR) for institutional risk governance [28].</w:t>
      </w:r>
    </w:p>
    <w:p w14:paraId="6D6DE8F2" w14:textId="77777777" w:rsidR="008A78AA" w:rsidRDefault="00A85596">
      <w:pPr>
        <w:pStyle w:val="BodyText"/>
      </w:pPr>
      <w:r>
        <w:t>Bitcoin (BTC/USDT) is selected as the primary reference asset for three fundamental reasons. First, BTC constitutes the most liquid, heavily traded, and structurally influential cryptocurrency, serving as the universal market bellwether [1], [29]. Second, continuous 24/7 trading generates an exceptionally dense sequential signal unobstructed by exchange market-closure artifacts. Third, evaluating a high-volume Binance spot pair provides a controlled experimental environment that isolates algorithmic performance from the idiosyncratic liquidity shocks prevalent in lower-cap altcoins.</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The proposed end-to-end framework is organized into four modular, sequentially integrated layers. Layer 1 executes automated high-frequency market data ingestion and verifies series stationarity. Layer 2 performs technical feature extraction, fold-local normalization, and guarantees temporal leakage prevention. Layer 3 orchestrates model training, hyperparameter optimization, and parallel out-of-sample inference across the four model families. Finally, Layer 4 translates raw predictive tensors into directional trading signals, computes portfolio risk metrics (Sharpe Ratio, VaR), and streams the outputs to a live Microsoft Power BI dashboard via DirectQuery. The end-to-end workflow is formally specified in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continuously ingests 43,786 consecutive hourly OHLCV candlestick records of BTC/USDT from the Binance Spot API spanning March 2021 to March 2026 [29]. The dataset represents continuous, verified market execution with 100% temporal continuity, providing an uninterrupted basis for sequential modeling.</w:t>
      </w:r>
    </w:p>
    <w:p w14:paraId="1C1958B5" w14:textId="77777777" w:rsidR="008A78AA" w:rsidRDefault="00000000">
      <w:pPr>
        <w:pStyle w:val="BodyText"/>
      </w:pPr>
      <w:r>
        <w:t>To ensure mathematical validity for sequential deep learning architectures, all derived feature series were subjected to the Augmented Dickey-Fuller (ADF) unit root test. In all cases, the null hypothesis of a unit root was decisively rejected at the 5% significance level (p &lt; 0.05), confirming covariance stationarity across the feature set.</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comprehensive feature set of 15 technical indicators was engineered to provide multi-scale representations of price momentum, trend, and market volatility. Moving Average Convergence Divergence (MACD) was computed using standard exponential smoothing [30]:</w:t>
      </w:r>
    </w:p>
    <w:p w14:paraId="321BB3C7" w14:textId="77777777" w:rsidR="008A78AA" w:rsidRDefault="00000000">
      <w:pPr>
        <w:pStyle w:val="BodyText"/>
      </w:pPr>
      <w:r>
        <w:t>To guarantee zero temporal leakage across the chronological evaluation, all feature normalization was performed using strictly Fold-Local Min-Max Scaling (Equation 1). Scaling parameters (Xmin, Xmax) were computed exclusively from historical observations within each training window and subsequently applied out-of-sample to the corresponding test window, precluding any look-ahead bias [31], [32], [33]:</w:t>
      </w:r>
    </w:p>
    <w:p w14:paraId="6BCCB1DB" w14:textId="77777777" w:rsidR="008A78AA" w:rsidRDefault="00000000">
      <w:pPr>
        <w:pStyle w:val="BodyText"/>
      </w:pPr>
      <w:r>
        <w:t>Because the primary Binance API dataset provides a 100% complete hourly series across the five-year evaluation period, no cross-boundary interpolation was required. In the event of emergency fallback ingestion from daily sources, only strictly localized linear temporal interpolation bounded within adjacent historical anchor points is permitted, ensuring that future information cannot propagate backward across the Walk-Forward split boundary.</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r>
            <w:r>
              <w:rPr>
                <w:rFonts w:ascii="Consolas" w:hAnsi="Consolas"/>
                <w:b/>
                <w:sz w:val="16"/>
              </w:rPr>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r>
      <w:r>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technical features incorporate trend indicators (EMA12, EMA26), momentum oscillators (RSI, Stochastic %K/%D), volatility bands (Bollinger Bands, Average True Range), and moving average convergence. Furthermore, SHapley Additive exPlanations (SHAP) analysis [34] was conducted across all models, confirming that volatility and momentum measures contributed the dominant predictive attribution:</w:t>
      </w:r>
    </w:p>
    <w:p w14:paraId="15592AC8" w14:textId="77777777" w:rsidR="008A78AA" w:rsidRDefault="005002B2">
      <w:pPr>
        <w:pStyle w:val="BodyText"/>
      </w:pPr>
      <w:r>
        <w:tab/>
        <w:t>MACD = EMA12 − EMA26</w:t>
      </w:r>
      <w:r>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r>
      <w:r>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Each fold utilized a 720-hour (30-day) training window and generated an out-of-sample forecast over the subsequent 168-hour (7-day) evaluation window. Hyperparameter optimization was conducted separately for each architectural family to reflect their distinct operational requirements [31].</w:t>
      </w:r>
    </w:p>
    <w:p w14:paraId="2D97017F" w14:textId="77777777" w:rsidR="008A78AA" w:rsidRDefault="00000000">
      <w:pPr>
        <w:pStyle w:val="BodyText"/>
      </w:pPr>
      <w:r>
        <w:t xml:space="preserve">For the XGBoost baseline, hyperparameter tuning was conducted via Grid Search using a time-series-aware cross-validation scheme (TimeSeriesSplit, n = 5 folds). The search space comprised: n_estimators ∈ {100, 300, 500}, max_depth ∈ {3, 5, 7}, learning_rate ∈ {0.01, 0.05, 0.10}, subsample ∈ {0.70, 0.85, 1.00}, and colsample_bytree ∈ </w:t>
      </w:r>
      <w:r>
        <w:t>{0.70, 0.85, 1.00}. Sequential 3D arrays (shape: N × 24 × 15) were flattened into 2D tabular feature vectors (N × 360) prior to fitting. The optimal configuration (n_estimators = 300, max_depth = 5, learning_rate = 0.05, subsample = 0.85, colsample_bytree = 0.85) was regularized via L1/L2 penalties. Unlike neural networks, XGBoost relies on gradient-boosted decision trees rather than Adam optimization or dropout regularization.</w:t>
      </w:r>
    </w:p>
    <w:p w14:paraId="15213384" w14:textId="77777777" w:rsidR="008A78AA" w:rsidRDefault="00000000">
      <w:pPr>
        <w:pStyle w:val="BodyText"/>
        <w:rPr>
          <w:lang w:val="en-US"/>
        </w:rPr>
      </w:pPr>
      <w:r>
        <w:t>For the neural network architectures (LSTM, GRU, Informer Transformer), sequence lookback was fixed at T = 24 hours. Models were trained using the Adam optimizer with an initial learning rate of 0.001 (0.0001 for Informer), a dropout rate of 0.20, a batch size of 64, and early stopping with a patience of 10 epochs monitoring validation loss.</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r>
      <w:r>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r>
      <w:r>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r>
      <w:r>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Layer 4 translates raw hourly point predictions ŷt into actionable financial signals and risk metrics for portfolio governance. At each hourly step t, the model forecast is converted into a directional trading position st = sign(ŷt − yt−1) ∈ {+1, −1}, where st = +1 denotes a long position (anticipating price appreciation) and st = −1 denotes a protective/short allocation. The hourly strategy return series is defined as Rt</w:t>
      </w:r>
      <w:r>
        <w:rPr>
          <w:vertAlign w:val="superscript"/>
        </w:rPr>
        <w:t>strategy</w:t>
      </w:r>
      <w:r>
        <w:t xml:space="preserve"> = st · rt, where rt = ln(Pt / Pt−1) is the realized logarithmic return of BTC/USDT.</w:t>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r>
      <w:r>
        <w:tab/>
        <w:t>(7)</w:t>
      </w:r>
    </w:p>
    <w:p w14:paraId="368FBE17" w14:textId="77777777" w:rsidR="008A78AA" w:rsidRDefault="00000000">
      <w:pPr>
        <w:pStyle w:val="BodyText"/>
      </w:pPr>
      <w:r>
        <w:t xml:space="preserve">where √8760 = √(365 × 24) is the annualization factor reflecting 8,760 continuous trading hours per year, rf = 2.0% per annum represents the benchmark risk-free rate, and σRstrategy is the sample standard deviation of hourly strategy returns. Value-at-Risk (VaR95%) is calculated via historical simulation as the 5th percentile of the empirical strategy return distribution. Under a baseline Binance spot trading fee structure (0.10% taker fee / 0.02% maker fee), models with high directional persistence preserve positive risk-adjusted returns, whereas frequent whipsaw rebalancings incur transaction drag. All computed metrics are written to </w:t>
      </w:r>
      <w:r>
        <w:lastRenderedPageBreak/>
        <w:t>the PostgreSQL Data Mart and dynamically streamed into Microsoft Power BI via DirectQuery.</w:t>
      </w:r>
    </w:p>
    <w:p w14:paraId="437C3A38" w14:textId="77777777" w:rsidR="008A78AA" w:rsidRDefault="008A78AA">
      <w:pPr>
        <w:pStyle w:val="equation"/>
      </w:pPr>
    </w:p>
    <w:p w14:paraId="0FD24339" w14:textId="77777777" w:rsidR="008A78AA" w:rsidRDefault="008A78AA">
      <w:pPr>
        <w:pStyle w:val="BodyText"/>
      </w:pPr>
    </w:p>
    <w:p w14:paraId="1069A31F" w14:textId="77777777" w:rsidR="008A78AA" w:rsidRDefault="00000000">
      <w:pPr>
        <w:pStyle w:val="Heading1"/>
      </w:pPr>
      <w:r>
        <w:t>RESULTS AND DISCUSSION</w:t>
      </w:r>
    </w:p>
    <w:p w14:paraId="3FA3A5B1" w14:textId="77777777" w:rsidR="008A78AA" w:rsidRDefault="00B81C38">
      <w:pPr>
        <w:pStyle w:val="BodyText"/>
      </w:pPr>
      <w:r>
        <w:t>Figure 2 illustrates the out-of-sample forecast trajectory across representative 168-hour Walk-Forward test windows, comparing the four candidate architectures against realized BTC/USDT spot prices. The comparative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Table I reports the mean RMSE, MAE, and MAPE across all 24 Walk-Forward test folds alongside 95% confidence intervals. XGBoost exhibited the widest error dispersion (RMSE = 0.1524 ± 0.0068), reflecting the inherent limitations of static decision trees in multi-step continuous sequence forecasting. The Informer Transformer recorded an RMSE of 0.1321 ± 0.0081; while efficient, its self-attention mechanism exhibited sensitivity to high-frequency micro-volatility noise, corroborating Zerveas et al. [25].</w:t>
      </w:r>
    </w:p>
    <w:p w14:paraId="18273588" w14:textId="2B0A3DE1" w:rsidR="008A78AA" w:rsidRDefault="00D16FC1" w:rsidP="00662A52">
      <w:pPr>
        <w:pStyle w:val="BodyText"/>
      </w:pPr>
      <w:r>
        <w:t>Among all evaluated models, the GRU achieved the highest point-forecasting stability, recording the lowest overall error (RMSE = 0.1058 ± 0.0034, MAE = 0.0948 ± 0.0028). A non-parametric Kruskal-Wallis test rejected the null hypothesis of equal performance across architectures (H = 18.4, p &lt; 0.001). Pairwise Diebold-Mariano (DM) tests [35] further confirmed that the GRU statistically significantly outperformed XGBoost, LSTM, and the Informer (p = 0.014), establishing it as the superior architecture under classical point-loss criteria.</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239"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14:paraId="2DDD9C02" w14:textId="77777777" w:rsidR="008A78AA" w:rsidRDefault="00000000">
            <w:pPr>
              <w:pStyle w:val="tablecolhead"/>
              <w:spacing w:before="20" w:after="20" w:line="252" w:lineRule="auto"/>
            </w:pPr>
            <w:r>
              <w:t>MAPE (%)</w:t>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239"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241"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c>
          <w:tcPr>
            <w:tcW w:w="879" w:type="dxa"/>
            <w:tcMar>
              <w:top w:w="50" w:type="dxa"/>
              <w:left w:w="70" w:type="dxa"/>
              <w:bottom w:w="50" w:type="dxa"/>
              <w:right w:w="70" w:type="dxa"/>
            </w:tcMar>
            <w:vAlign w:val="center"/>
          </w:tcPr>
          <w:p w14:paraId="0DFD331D" w14:textId="77777777" w:rsidR="008A78AA" w:rsidRDefault="00000000">
            <w:pPr>
              <w:pStyle w:val="tablecopy"/>
              <w:spacing w:before="20" w:after="20" w:line="252" w:lineRule="auto"/>
              <w:jc w:val="center"/>
            </w:pPr>
            <w:r>
              <w:rPr>
                <w:sz w:val="15"/>
              </w:rPr>
              <w:t>16.50%</w:t>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239"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241"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c>
          <w:tcPr>
            <w:tcW w:w="879" w:type="dxa"/>
            <w:tcMar>
              <w:top w:w="50" w:type="dxa"/>
              <w:left w:w="70" w:type="dxa"/>
              <w:bottom w:w="50" w:type="dxa"/>
              <w:right w:w="70" w:type="dxa"/>
            </w:tcMar>
            <w:vAlign w:val="center"/>
          </w:tcPr>
          <w:p w14:paraId="301BD2B5" w14:textId="77777777" w:rsidR="008A78AA" w:rsidRDefault="00000000">
            <w:pPr>
              <w:pStyle w:val="tablecopy"/>
              <w:spacing w:before="20" w:after="20" w:line="252" w:lineRule="auto"/>
              <w:jc w:val="center"/>
            </w:pPr>
            <w:r>
              <w:rPr>
                <w:sz w:val="15"/>
              </w:rPr>
              <w:t>14.82%</w:t>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239"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241"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c>
          <w:tcPr>
            <w:tcW w:w="879" w:type="dxa"/>
            <w:tcMar>
              <w:top w:w="50" w:type="dxa"/>
              <w:left w:w="70" w:type="dxa"/>
              <w:bottom w:w="50" w:type="dxa"/>
              <w:right w:w="70" w:type="dxa"/>
            </w:tcMar>
            <w:vAlign w:val="center"/>
          </w:tcPr>
          <w:p w14:paraId="73E1A232" w14:textId="77777777" w:rsidR="008A78AA" w:rsidRDefault="00000000">
            <w:pPr>
              <w:pStyle w:val="tablecopy"/>
              <w:spacing w:before="20" w:after="20" w:line="252" w:lineRule="auto"/>
              <w:jc w:val="center"/>
            </w:pPr>
            <w:r>
              <w:rPr>
                <w:sz w:val="15"/>
              </w:rPr>
              <w:t>13.96%</w:t>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239"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241"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c>
          <w:tcPr>
            <w:tcW w:w="879" w:type="dxa"/>
            <w:tcBorders>
              <w:bottom w:val="single" w:sz="8" w:space="0" w:color="000000"/>
            </w:tcBorders>
            <w:tcMar>
              <w:top w:w="50" w:type="dxa"/>
              <w:left w:w="70" w:type="dxa"/>
              <w:bottom w:w="50" w:type="dxa"/>
              <w:right w:w="70" w:type="dxa"/>
            </w:tcMar>
            <w:vAlign w:val="center"/>
          </w:tcPr>
          <w:p w14:paraId="57EEFAD6" w14:textId="77777777" w:rsidR="008A78AA" w:rsidRDefault="00000000">
            <w:pPr>
              <w:pStyle w:val="tablecopy"/>
              <w:spacing w:before="20" w:after="20" w:line="252" w:lineRule="auto"/>
              <w:jc w:val="center"/>
            </w:pPr>
            <w:r>
              <w:rPr>
                <w:sz w:val="15"/>
              </w:rPr>
              <w:t>13.13%</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 xml:space="preserve">A critical dimension of model governance is the characterization of failure regimes. All four architectures experienced pronounced performance degradation during systemic liquidity shocks, most notably the Terra-Luna </w:t>
      </w:r>
      <w:r>
        <w:t>collapse in May 2022. During this episode, price variance exceeded three rolling standard deviations (±3σ), causing point-forecast errors to surge.</w:t>
      </w:r>
    </w:p>
    <w:p w14:paraId="3BE4AD72" w14:textId="77777777" w:rsidR="008A78AA" w:rsidRDefault="00B81C38" w:rsidP="00B81C38">
      <w:pPr>
        <w:pStyle w:val="BodyText"/>
      </w:pPr>
      <w:r>
        <w:t>As illustrated in Figure 3, the residual error distributions exhibit pronounced right-skewed fat tails corresponding to these extreme regime transitions. This structural limitation underscores that technical price-derived features alone cannot anticipate exogenous macro-liquidity shifts or exchange-insolvency cascades [36].</w:t>
      </w:r>
    </w:p>
    <w:p w14:paraId="4EDED07F" w14:textId="77777777" w:rsidR="008A78AA" w:rsidRDefault="00000000">
      <w:pPr>
        <w:pStyle w:val="BodyText"/>
        <w:jc w:val="center"/>
      </w:pPr>
      <w:r>
        <w:rPr>
          <w:noProof/>
        </w:rPr>
        <w:drawing>
          <wp:inline distT="0" distB="0" distL="0" distR="0" wp14:anchorId="6AD58844" wp14:editId="1CD997EF">
            <wp:extent cx="3108960" cy="14122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sidual_Distribution_300dpi.png"/>
                    <pic:cNvPicPr/>
                  </pic:nvPicPr>
                  <pic:blipFill>
                    <a:blip r:embed="rId13"/>
                    <a:stretch>
                      <a:fillRect/>
                    </a:stretch>
                  </pic:blipFill>
                  <pic:spPr>
                    <a:xfrm>
                      <a:off x="0" y="0"/>
                      <a:ext cx="3108960" cy="1412299"/>
                    </a:xfrm>
                    <a:prstGeom prst="rect">
                      <a:avLst/>
                    </a:prstGeom>
                  </pic:spPr>
                </pic:pic>
              </a:graphicData>
            </a:graphic>
          </wp:inline>
        </w:drawing>
      </w:r>
    </w:p>
    <w:p w14:paraId="54F1690F" w14:textId="77777777" w:rsidR="008A78AA" w:rsidRDefault="00A018D2">
      <w:pPr>
        <w:pStyle w:val="figurecaption"/>
        <w:jc w:val="center"/>
      </w:pPr>
      <w:r>
        <w:t>Residual error distributions for GRU and LSTM fold-aggregates: fat tails correspond to extreme ±3σ volatility episodes.</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Table II presents a markedly contrasting evaluation when assessing models through the lens of decision support and risk-adjusted financial performance. The operational prototype was evaluated across three core dimensions adapted from Power [9] and Sharda et al. [26]:</w:t>
      </w:r>
    </w:p>
    <w:p w14:paraId="40847D5B" w14:textId="77777777" w:rsidR="008A78AA" w:rsidRDefault="00000000">
      <w:pPr>
        <w:pStyle w:val="BodyText"/>
      </w:pPr>
      <w:r>
        <w:t>1) Functional Correctness: Model inference outputs were streamed to live dashboard tiles with an average refresh latency of 1.2 seconds. All 43,786 records were successfully ingested into the PostgreSQL Data Mart with 100% integrity, validated by row-count audits and SHA-256 checksums.</w:t>
      </w:r>
    </w:p>
    <w:p w14:paraId="35C9D4F7" w14:textId="77777777" w:rsidR="008A78AA" w:rsidRDefault="00000000">
      <w:pPr>
        <w:pStyle w:val="BodyText"/>
      </w:pPr>
      <w:r>
        <w:t>2) Numerical Stability: Dashboard-computed Sharpe Ratios and VaR(95%) values demonstrated exact agreement with Python-computed ground-truth calculations (maximum deviation ≤ 0.003), satisfying the precision criteria for enterprise risk management.</w:t>
      </w:r>
    </w:p>
    <w:p w14:paraId="1AFBD775" w14:textId="77777777" w:rsidR="00D90C4A" w:rsidRDefault="00000000" w:rsidP="00D90C4A">
      <w:pPr>
        <w:pStyle w:val="BodyText"/>
      </w:pPr>
      <w:r>
        <w:t>3) Usability Evaluation: Following a structured 30-minute walkthrough, a usability assessment was conducted with 15 domain evaluators (10 postgraduate informatics researchers and 5 financial analytics professionals) using the standardized System Usability Scale (SUS) [37]. The dashboard achieved an average SUS score of 86.4 (SD = 3.2), placing it in the 'Excellent' usability tier [38] and demonstrating that institutional analysts can independently interpret the multi-model decision outputs.</w:t>
      </w:r>
    </w:p>
    <w:p w14:paraId="4A85612B" w14:textId="77777777" w:rsidR="008A78AA" w:rsidRDefault="00D90C4A" w:rsidP="00D90C4A">
      <w:pPr>
        <w:pStyle w:val="BodyText"/>
      </w:pPr>
      <w:r>
        <w:t>4) Practical Implications: While GRU attained the best nominal point RMSE, the LSTM achieved the highest Directional Accuracy (72.3% ± 1.5%) and the highest annualized Sharpe Ratio (1.45 ± 0.10, with VaR95% = −2.34%), as summarized in Table II and visualized in Figure 4. This reveals a fundamental insight: directional alignment is far more consequential than nominal point deviation in generating risk-adjusted trading utility.</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58.4% ± 2.8%</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64.1% ± 2.5%</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72.3% ± 1.5%</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69.8% ± 2.1%</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0.95 ± 0.15</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1.12 ± 0.20</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1.45 ± 0.10</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1.32 ± 0.12</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-4.10% ± 0.5%</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-3.15% ± 0.6%</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-2.34% ± 0.2%</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-2.70% ± 0.4%</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The superior point-loss accuracy of the GRU (RMSE = 0.1058) stems from its compact gating structure, which provides an effective inductive bias for modeling short-lag micro-volatility without the parameter over-parameterization of full self-attention. Conversely, the memory-cell dynamics of LSTM proved more robust in preserving macroeconomic trend directionality, translating directly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Directional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[17]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0.18 – 0.25</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62 – 68%</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N/R</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Zheng et al. [13] (2019)</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Ensemble Trees</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4-hour</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N/R</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60 – 65%</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N/R</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Silva et al. [4]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DL variants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Multi-asset</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0.14 – 0.22</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65 – 70%</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1.1 – 1.3</w:t>
            </w:r>
          </w:p>
        </w:tc>
      </w:tr>
      <w:tr w:rsidR="008A78AA" w14:paraId="024A5AEF" w14:textId="77777777">
        <w:trPr>
          <w:cantSplit/>
          <w:trHeight w:val="240"/>
          <w:jc w:val="center"/>
        </w:trPr>
        <w:tc>
          <w:tcPr>
            <w:tcW w:w="990" w:type="dxa"/>
            <w:tcMar>
              <w:top w:w="50" w:type="dxa"/>
              <w:left w:w="70" w:type="dxa"/>
              <w:bottom w:w="50" w:type="dxa"/>
              <w:right w:w="70" w:type="dxa"/>
            </w:tcMar>
            <w:vAlign w:val="center"/>
          </w:tcPr>
          <w:p w14:paraId="45C03FC1" w14:textId="77777777" w:rsidR="008A78AA" w:rsidRDefault="00000000">
            <w:pPr>
              <w:pStyle w:val="tablecopy"/>
              <w:spacing w:before="20" w:after="20" w:line="252" w:lineRule="auto"/>
              <w:jc w:val="left"/>
            </w:pPr>
            <w:r>
              <w:rPr>
                <w:sz w:val="15"/>
              </w:rPr>
              <w:t>Nguyen et al. [39] (2023)</w:t>
            </w:r>
          </w:p>
        </w:tc>
        <w:tc>
          <w:tcPr>
            <w:tcW w:w="708" w:type="dxa"/>
            <w:tcMar>
              <w:top w:w="50" w:type="dxa"/>
              <w:left w:w="70" w:type="dxa"/>
              <w:bottom w:w="50" w:type="dxa"/>
              <w:right w:w="70" w:type="dxa"/>
            </w:tcMar>
            <w:vAlign w:val="center"/>
          </w:tcPr>
          <w:p w14:paraId="7B5A9DB6" w14:textId="77777777" w:rsidR="008A78AA" w:rsidRDefault="00000000">
            <w:pPr>
              <w:pStyle w:val="tablecopy"/>
              <w:spacing w:before="20" w:after="20" w:line="252" w:lineRule="auto"/>
              <w:jc w:val="center"/>
            </w:pPr>
            <w:r>
              <w:rPr>
                <w:sz w:val="15"/>
              </w:rPr>
              <w:t>Algo. trading</w:t>
            </w:r>
          </w:p>
        </w:tc>
        <w:tc>
          <w:tcPr>
            <w:tcW w:w="767" w:type="dxa"/>
            <w:tcMar>
              <w:top w:w="50" w:type="dxa"/>
              <w:left w:w="70" w:type="dxa"/>
              <w:bottom w:w="50" w:type="dxa"/>
              <w:right w:w="70" w:type="dxa"/>
            </w:tcMar>
            <w:vAlign w:val="center"/>
          </w:tcPr>
          <w:p w14:paraId="5E613DB6" w14:textId="77777777" w:rsidR="008A78AA" w:rsidRDefault="00000000">
            <w:pPr>
              <w:pStyle w:val="tablecopy"/>
              <w:spacing w:before="20" w:after="20" w:line="252" w:lineRule="auto"/>
              <w:jc w:val="center"/>
            </w:pPr>
            <w:r>
              <w:rPr>
                <w:sz w:val="15"/>
              </w:rPr>
              <w:t>Multi-asset</w:t>
            </w:r>
          </w:p>
        </w:tc>
        <w:tc>
          <w:tcPr>
            <w:tcW w:w="769" w:type="dxa"/>
            <w:tcMar>
              <w:top w:w="50" w:type="dxa"/>
              <w:left w:w="70" w:type="dxa"/>
              <w:bottom w:w="50" w:type="dxa"/>
              <w:right w:w="70" w:type="dxa"/>
            </w:tcMar>
            <w:vAlign w:val="center"/>
          </w:tcPr>
          <w:p w14:paraId="53894CDA" w14:textId="77777777" w:rsidR="008A78AA" w:rsidRDefault="00000000">
            <w:pPr>
              <w:pStyle w:val="tablecopy"/>
              <w:spacing w:before="20" w:after="20" w:line="252" w:lineRule="auto"/>
              <w:jc w:val="center"/>
            </w:pPr>
            <w:r>
              <w:rPr>
                <w:sz w:val="15"/>
              </w:rPr>
              <w:t>N/R</w:t>
            </w:r>
          </w:p>
        </w:tc>
        <w:tc>
          <w:tcPr>
            <w:tcW w:w="873" w:type="dxa"/>
            <w:tcMar>
              <w:top w:w="50" w:type="dxa"/>
              <w:left w:w="70" w:type="dxa"/>
              <w:bottom w:w="50" w:type="dxa"/>
              <w:right w:w="70" w:type="dxa"/>
            </w:tcMar>
            <w:vAlign w:val="center"/>
          </w:tcPr>
          <w:p w14:paraId="555629F3" w14:textId="77777777" w:rsidR="008A78AA" w:rsidRDefault="00000000">
            <w:pPr>
              <w:pStyle w:val="tablecopy"/>
              <w:spacing w:before="20" w:after="20" w:line="252" w:lineRule="auto"/>
              <w:jc w:val="center"/>
            </w:pPr>
            <w:r>
              <w:rPr>
                <w:sz w:val="15"/>
              </w:rPr>
              <w:t>N/R</w:t>
            </w:r>
          </w:p>
        </w:tc>
        <w:tc>
          <w:tcPr>
            <w:tcW w:w="811" w:type="dxa"/>
            <w:tcMar>
              <w:top w:w="50" w:type="dxa"/>
              <w:left w:w="70" w:type="dxa"/>
              <w:bottom w:w="50" w:type="dxa"/>
              <w:right w:w="70" w:type="dxa"/>
            </w:tcMar>
            <w:vAlign w:val="center"/>
          </w:tcPr>
          <w:p w14:paraId="6594388D" w14:textId="77777777" w:rsidR="008A78AA" w:rsidRDefault="00000000">
            <w:pPr>
              <w:pStyle w:val="tablecopy"/>
              <w:spacing w:before="20" w:after="20" w:line="252" w:lineRule="auto"/>
              <w:jc w:val="center"/>
            </w:pPr>
            <w:r>
              <w:rPr>
                <w:sz w:val="15"/>
              </w:rPr>
              <w:t>1.1 – 1.3</w:t>
            </w:r>
          </w:p>
        </w:tc>
      </w:tr>
      <w:tr w:rsidR="008A78AA" w14:paraId="580E14A7" w14:textId="77777777">
        <w:trPr>
          <w:cantSplit/>
          <w:trHeight w:val="240"/>
          <w:jc w:val="center"/>
        </w:trPr>
        <w:tc>
          <w:tcPr>
            <w:tcW w:w="990" w:type="dxa"/>
            <w:tcMar>
              <w:top w:w="50" w:type="dxa"/>
              <w:left w:w="70" w:type="dxa"/>
              <w:bottom w:w="50" w:type="dxa"/>
              <w:right w:w="70" w:type="dxa"/>
            </w:tcMar>
            <w:vAlign w:val="center"/>
          </w:tcPr>
          <w:p w14:paraId="798F30E7" w14:textId="77777777" w:rsidR="005932C6" w:rsidRDefault="00000000">
            <w:r>
              <w:rPr>
                <w:sz w:val="15"/>
              </w:rPr>
              <w:t>Livieris et al. [40] (2024)</w:t>
            </w:r>
          </w:p>
        </w:tc>
        <w:tc>
          <w:tcPr>
            <w:tcW w:w="708" w:type="dxa"/>
            <w:tcMar>
              <w:top w:w="50" w:type="dxa"/>
              <w:left w:w="70" w:type="dxa"/>
              <w:bottom w:w="50" w:type="dxa"/>
              <w:right w:w="70" w:type="dxa"/>
            </w:tcMar>
            <w:vAlign w:val="center"/>
          </w:tcPr>
          <w:p w14:paraId="055402F6" w14:textId="77777777" w:rsidR="008A78AA" w:rsidRDefault="00000000">
            <w:pPr>
              <w:pStyle w:val="tablecopy"/>
              <w:spacing w:before="20" w:after="20" w:line="252" w:lineRule="auto"/>
              <w:jc w:val="center"/>
            </w:pPr>
            <w:r>
              <w:rPr>
                <w:sz w:val="15"/>
              </w:rPr>
              <w:t>CNN-LSTM</w:t>
            </w:r>
          </w:p>
        </w:tc>
        <w:tc>
          <w:tcPr>
            <w:tcW w:w="767" w:type="dxa"/>
            <w:tcMar>
              <w:top w:w="50" w:type="dxa"/>
              <w:left w:w="70" w:type="dxa"/>
              <w:bottom w:w="50" w:type="dxa"/>
              <w:right w:w="70" w:type="dxa"/>
            </w:tcMar>
            <w:vAlign w:val="center"/>
          </w:tcPr>
          <w:p w14:paraId="03025749" w14:textId="77777777" w:rsidR="008A78AA" w:rsidRDefault="00000000">
            <w:pPr>
              <w:pStyle w:val="tablecopy"/>
              <w:spacing w:before="20" w:after="20" w:line="252" w:lineRule="auto"/>
              <w:jc w:val="center"/>
            </w:pPr>
            <w:r>
              <w:rPr>
                <w:sz w:val="15"/>
              </w:rPr>
              <w:t>BTC / 1-hour</w:t>
            </w:r>
          </w:p>
        </w:tc>
        <w:tc>
          <w:tcPr>
            <w:tcW w:w="769" w:type="dxa"/>
            <w:tcMar>
              <w:top w:w="50" w:type="dxa"/>
              <w:left w:w="70" w:type="dxa"/>
              <w:bottom w:w="50" w:type="dxa"/>
              <w:right w:w="70" w:type="dxa"/>
            </w:tcMar>
            <w:vAlign w:val="center"/>
          </w:tcPr>
          <w:p w14:paraId="0BDB3CAD" w14:textId="77777777" w:rsidR="008A78AA" w:rsidRDefault="00000000">
            <w:pPr>
              <w:pStyle w:val="tablecopy"/>
              <w:spacing w:before="20" w:after="20" w:line="252" w:lineRule="auto"/>
              <w:jc w:val="center"/>
            </w:pPr>
            <w:r>
              <w:rPr>
                <w:sz w:val="15"/>
              </w:rPr>
              <w:t>0.14 – 0.17</w:t>
            </w:r>
          </w:p>
        </w:tc>
        <w:tc>
          <w:tcPr>
            <w:tcW w:w="873" w:type="dxa"/>
            <w:tcMar>
              <w:top w:w="50" w:type="dxa"/>
              <w:left w:w="70" w:type="dxa"/>
              <w:bottom w:w="50" w:type="dxa"/>
              <w:right w:w="70" w:type="dxa"/>
            </w:tcMar>
            <w:vAlign w:val="center"/>
          </w:tcPr>
          <w:p w14:paraId="74B37251" w14:textId="77777777" w:rsidR="008A78AA" w:rsidRDefault="00000000">
            <w:pPr>
              <w:pStyle w:val="tablecopy"/>
              <w:spacing w:before="20" w:after="20" w:line="252" w:lineRule="auto"/>
              <w:jc w:val="center"/>
            </w:pPr>
            <w:r>
              <w:rPr>
                <w:sz w:val="15"/>
              </w:rPr>
              <w:t>N/R</w:t>
            </w:r>
          </w:p>
        </w:tc>
        <w:tc>
          <w:tcPr>
            <w:tcW w:w="811" w:type="dxa"/>
            <w:tcMar>
              <w:top w:w="50" w:type="dxa"/>
              <w:left w:w="70" w:type="dxa"/>
              <w:bottom w:w="50" w:type="dxa"/>
              <w:right w:w="70" w:type="dxa"/>
            </w:tcMar>
            <w:vAlign w:val="center"/>
          </w:tcPr>
          <w:p w14:paraId="23358A79" w14:textId="77777777" w:rsidR="008A78AA" w:rsidRDefault="00000000">
            <w:pPr>
              <w:pStyle w:val="tablecopy"/>
              <w:spacing w:before="20" w:after="20" w:line="252" w:lineRule="auto"/>
              <w:jc w:val="center"/>
            </w:pPr>
            <w:r>
              <w:rPr>
                <w:sz w:val="15"/>
              </w:rPr>
              <w:t>N/R</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69.8%</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1.32 ± 0.12</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72.3%</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1.45 ± 0.10</w:t>
            </w:r>
          </w:p>
        </w:tc>
      </w:tr>
    </w:tbl>
    <w:p w14:paraId="4389BC00" w14:textId="77777777" w:rsidR="008A78AA" w:rsidRDefault="008A78AA">
      <w:pPr>
        <w:pStyle w:val="BodyText"/>
      </w:pPr>
    </w:p>
    <w:p w14:paraId="15FE24DE" w14:textId="77777777" w:rsidR="008A78AA" w:rsidRDefault="00120A85">
      <w:pPr>
        <w:pStyle w:val="BodyText"/>
      </w:pPr>
      <w:r>
        <w:t>Table III contextualizes our empirical results within the broader literature. The predictive accuracy and risk-adjusted metrics achieved in this study compare favorably with prior multi-asset and daily cryptocurrency benchmarks [4], [13], [17], [39], [40]. Rather than treating GRU and LSTM as mutually exclusive alternatives, enterprise DSS architectures benefit from deploying them in parallel: GRU provides tight error bounds for dynamic stop-loss sizing, while LSTM supplies directional signals for trend positioning.</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The primary failure regime identified across all models corresponds to volatility surges exceeding the ±3σ rolling threshold. Because purely technical price features cannot capture sudden macro-sentiment contagion, integrating on-chain data and NLP-derived news sentiment represents a crucial direction for enhancing robustness during tail-risk events.</w:t>
      </w:r>
    </w:p>
    <w:p w14:paraId="6B08DE29" w14:textId="77777777" w:rsidR="008A78AA" w:rsidRDefault="008A78AA">
      <w:pPr>
        <w:pStyle w:val="BodyText"/>
      </w:pPr>
    </w:p>
    <w:p w14:paraId="4E3FC46D" w14:textId="77777777" w:rsidR="008A78AA" w:rsidRDefault="008A78AA">
      <w:pPr>
        <w:pStyle w:val="BodyText"/>
      </w:pPr>
    </w:p>
    <w:p w14:paraId="7F5F7B69" w14:textId="77777777" w:rsidR="008A78AA" w:rsidRDefault="00000000">
      <w:pPr>
        <w:pStyle w:val="BodyText"/>
        <w:ind w:firstLine="0"/>
        <w:jc w:val="center"/>
      </w:pPr>
      <w:r>
        <w:rPr>
          <w:noProof/>
        </w:rPr>
        <w:drawing>
          <wp:inline distT="0" distB="0" distL="0" distR="0" wp14:anchorId="62A66FC8" wp14:editId="261B4232">
            <wp:extent cx="3108960" cy="24098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3108960" cy="2409831"/>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Business Intelligence and Deep Learning framework that integrates sequential predictive models into an enterprise decision-support architecture. Evaluated across 43,786 hourly BTC/USDT observations under a 24-fold chronological Walk-Forward protocol, the framework demonstrated the feasibility of bridging statistical forecasting with real-time risk governance.</w:t>
      </w:r>
    </w:p>
    <w:p w14:paraId="49D09725" w14:textId="77777777" w:rsidR="008A78AA" w:rsidRDefault="00000000">
      <w:pPr>
        <w:pStyle w:val="BodyText"/>
      </w:pPr>
      <w:r>
        <w:t>The empirical findings reveal a crucial divergence between statistical accuracy and financial decision utility: while the GRU achieved the lowest point-forecasting error (RMSE = 0.1058 ± 0.0034, p &lt; 0.001), the LSTM generated the highest Directional Accuracy (72.3% ± 1.5%) and superior risk-adjusted return (annualized Sharpe Ratio = 1.45 ± 0.10, VaR95% = −2.34%). Usability evaluation confirmed excellent practitioner operational feasibility (SUS score = 86.4).</w:t>
      </w:r>
    </w:p>
    <w:p w14:paraId="624345E6" w14:textId="77777777" w:rsidR="008A78AA" w:rsidRDefault="00000000">
      <w:pPr>
        <w:pStyle w:val="BodyText"/>
      </w:pPr>
      <w:r>
        <w:t>Four promising avenues for future research include: (1) integrating multi-modal sentiment and on-chain metrics to mitigate the ±3σ tail-risk failure mode; (2) extending validation to multi-asset portfolios (e.g., ETH/USDT, BNB/USDT); (3) benchmarking emerging time-series architectures such as PatchTST and TimesNet under the same protocol; and (4) formalizing enterprise regulatory compliance frameworks (e.g., MiFID II audit trails and sub-200 ms execution latencies).</w:t>
      </w:r>
    </w:p>
    <w:p w14:paraId="49DD7221" w14:textId="77777777" w:rsidR="008A78AA" w:rsidRDefault="00000000">
      <w:pPr>
        <w:pStyle w:val="Heading5"/>
      </w:pPr>
      <w:r>
        <w:t>Conflict of Interest Statement</w:t>
      </w:r>
    </w:p>
    <w:p w14:paraId="4F703334" w14:textId="77777777" w:rsidR="008A78AA" w:rsidRDefault="00000000">
      <w:pPr>
        <w:pStyle w:val="BodyText"/>
      </w:pPr>
      <w:r>
        <w:t>The authors declare no competing financial or institutional interests.</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P. K. Narayan, “Cryptocurrency market efficiency and predictive analytics,” </w:t>
      </w:r>
      <w:r>
        <w:rPr>
          <w:i/>
          <w:iCs/>
        </w:rPr>
        <w:t>Finance Res. Lett.</w:t>
      </w:r>
      <w:r>
        <w:t>, vol. 46, art. no. 102431, 2022, doi: 10.1016/j.frl.2021.102431.</w:t>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A. F. de O. Silva et al., “Machine learning in financial markets: A systematic review,” </w:t>
      </w:r>
      <w:r>
        <w:rPr>
          <w:i/>
          <w:iCs/>
        </w:rPr>
        <w:t>Expert Syst. Appl.</w:t>
      </w:r>
      <w:r>
        <w:t>, vol. 202, art. no. 117283, 2022, doi: 10.1016/j.eswa.2022.117283.</w:t>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H. Chaudhuri and I. Ghosh, “Artificial Neural Network and Time Series Modeling Based Approach to Forecasting the Exchange Rate in a Multivariate Framework,” </w:t>
      </w:r>
      <w:r>
        <w:rPr>
          <w:i/>
          <w:iCs/>
        </w:rPr>
        <w:t>J. Quant. Econ.</w:t>
      </w:r>
      <w:r>
        <w:t>, vol. 14, pp. 201–226, 2016, doi: 10.1007/s40953-016-0023-6.</w:t>
      </w:r>
    </w:p>
    <w:p w14:paraId="1A9C6F94" w14:textId="77777777" w:rsidR="008A78AA" w:rsidRDefault="00000000">
      <w:pPr>
        <w:pStyle w:val="references"/>
      </w:pPr>
      <w:r>
        <w:t xml:space="preserve">P. C. Cavalcante et al., “Computational Intelligence and Financial Markets: A Survey and Future Directions,” </w:t>
      </w:r>
      <w:r>
        <w:rPr>
          <w:i/>
          <w:iCs/>
        </w:rPr>
        <w:t>Expert Syst. Appl.</w:t>
      </w:r>
      <w:r>
        <w:t>, vol. 55, pp. 194–211, 2016, doi: 10.1016/j.eswa.2016.02.006.</w:t>
      </w:r>
    </w:p>
    <w:p w14:paraId="7E7138E2" w14:textId="77777777" w:rsidR="008A78AA" w:rsidRDefault="00000000">
      <w:pPr>
        <w:pStyle w:val="references"/>
      </w:pPr>
      <w:r>
        <w:t xml:space="preserve">S. F. Ali, “Integrating Artificial Intelligence with Business Intelligence Dashboards,” </w:t>
      </w:r>
      <w:r>
        <w:rPr>
          <w:i/>
          <w:iCs/>
        </w:rPr>
        <w:t>Decis. Support Syst.</w:t>
      </w:r>
      <w:r>
        <w:t>, vol. 165, art. no. 113887, 2023, doi: 10.1016/j.dss.2022.113887.</w:t>
      </w:r>
    </w:p>
    <w:p w14:paraId="58A0382D" w14:textId="77777777" w:rsidR="008A78AA" w:rsidRDefault="00000000">
      <w:pPr>
        <w:pStyle w:val="references"/>
      </w:pPr>
      <w:r>
        <w:t xml:space="preserve">D. J. Power, “Decision support systems: A historical overview,” </w:t>
      </w:r>
      <w:r>
        <w:rPr>
          <w:i/>
          <w:iCs/>
        </w:rPr>
        <w:t>Commun. Assoc. Inf. Syst.</w:t>
      </w:r>
      <w:r>
        <w:t>, vol. 13, no. 1, art. no. 15, 2004, doi: 10.17705/1CAIS.01315.</w:t>
      </w:r>
    </w:p>
    <w:p w14:paraId="1597FCC7" w14:textId="77777777" w:rsidR="008A78AA" w:rsidRDefault="00000000">
      <w:pPr>
        <w:pStyle w:val="references"/>
      </w:pPr>
      <w:r>
        <w:t xml:space="preserve">A. Rossi et al., “Machine Learning for Financial Decision Support: A contemporary perspective,” </w:t>
      </w:r>
      <w:r>
        <w:rPr>
          <w:i/>
          <w:iCs/>
        </w:rPr>
        <w:t>Expert Syst. Appl.</w:t>
      </w:r>
      <w:r>
        <w:t>, vol. 238, art. no. 122245, 2024, doi: 10.1016/j.eswa.2023.122245.</w:t>
      </w:r>
    </w:p>
    <w:p w14:paraId="02C91D63" w14:textId="77777777" w:rsidR="008A78AA" w:rsidRDefault="00000000">
      <w:pPr>
        <w:pStyle w:val="references"/>
      </w:pPr>
      <w:r>
        <w:t xml:space="preserve">A. Krauss, X. Q. Do, and N. Huck, “Deep neural networks, gradient-boosted trees, random forests: Statistical arbitrage on the S&amp;P 500,” </w:t>
      </w:r>
      <w:r>
        <w:rPr>
          <w:i/>
          <w:iCs/>
        </w:rPr>
        <w:t>Eur. J. Oper. Res.</w:t>
      </w:r>
      <w:r>
        <w:t>, vol. 259, no. 2, pp. 689–702, 2017, doi: 10.1016/j.ejor.2016.12.004.</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J. Zheng, X. Xu, P. Zheng, and Z. Peng, “A novel machine learning methodology for cryptocurrency price prediction,” </w:t>
      </w:r>
      <w:r>
        <w:rPr>
          <w:i/>
          <w:iCs/>
        </w:rPr>
        <w:t>IEEE Access</w:t>
      </w:r>
      <w:r>
        <w:t>, vol. 7, pp. 109287–109295, 2019, doi: 10.1109/ACCESS.2019.2906809.</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L. Chen, Z. Qiao, M. Wang, and C. Wang, “Predictive modeling of Bitcoin using deep learning,” </w:t>
      </w:r>
      <w:r>
        <w:rPr>
          <w:i/>
          <w:iCs/>
        </w:rPr>
        <w:t>Expert Syst. Appl.</w:t>
      </w:r>
      <w:r>
        <w:t>, vol. 156, art. no. 113425, 2020, doi: 10.1016/j.eswa.2020.113425.</w:t>
      </w:r>
    </w:p>
    <w:p w14:paraId="7C6B3E4B" w14:textId="77777777" w:rsidR="008A78AA" w:rsidRDefault="00000000">
      <w:pPr>
        <w:pStyle w:val="references"/>
      </w:pPr>
      <w:r>
        <w:t xml:space="preserve">K. Greff et al.,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et al.,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et al.,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M. H. Baqee et al., “Forecasting Bitcoin Prices Using Deep Learning for Consumer-Centric Industrial Applications,” </w:t>
      </w:r>
      <w:r>
        <w:rPr>
          <w:i/>
          <w:iCs/>
        </w:rPr>
        <w:t>IEEE Trans. Consum. Electron.</w:t>
      </w:r>
      <w:r>
        <w:t>, vol. 70, no. 1, pp. 3225–3233, 2024, doi: 10.1109/TCE.2023.3335001.</w:t>
      </w:r>
    </w:p>
    <w:p w14:paraId="76F16FCF" w14:textId="77777777" w:rsidR="008A78AA" w:rsidRDefault="00000000">
      <w:pPr>
        <w:pStyle w:val="references"/>
      </w:pPr>
      <w:r>
        <w:t xml:space="preserve">G. Zerveas et al., “A Transformer-based Framework for Multivariate Time Series Representation Learning,” in </w:t>
      </w:r>
      <w:r>
        <w:rPr>
          <w:i/>
          <w:iCs/>
        </w:rPr>
        <w:t xml:space="preserve">Proc. 27th ACM SIGKDD </w:t>
      </w:r>
      <w:r>
        <w:rPr>
          <w:i/>
          <w:iCs/>
        </w:rPr>
        <w:t>Conf. Knowl. Discov. Data Min. (KDD)</w:t>
      </w:r>
      <w:r>
        <w:t>, Virtual, 2021, pp. 2114–2124, doi: 10.1145/3447548.3467401.</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M. L. de Prado, </w:t>
      </w:r>
      <w:r>
        <w:rPr>
          <w:i/>
          <w:iCs/>
        </w:rPr>
        <w:t>Advances in Financial Machine Learning</w:t>
      </w:r>
      <w:r>
        <w:t>. Hoboken, NJ, USA: John Wiley &amp; Sons, 2018.</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J. Bollen, H. Mao, and X. Zeng, “Twitter mood predicts the stock market,” </w:t>
      </w:r>
      <w:r>
        <w:rPr>
          <w:i/>
          <w:iCs/>
        </w:rPr>
        <w:t>J. Comput. Sci.</w:t>
      </w:r>
      <w:r>
        <w:t>, vol. 2, no. 1, pp. 1–8, 2011, doi: 10.1016/j.jocs.2010.12.007.</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14:paraId="02AD880D" w14:textId="77777777" w:rsidR="008A78AA" w:rsidRDefault="00000000">
      <w:pPr>
        <w:pStyle w:val="references"/>
      </w:pPr>
      <w:r>
        <w:t xml:space="preserve">A. T. Nguyen et al., “Evaluating high-frequency non-stationary algorithmic assets,” </w:t>
      </w:r>
      <w:r>
        <w:rPr>
          <w:i/>
          <w:iCs/>
        </w:rPr>
        <w:t>Econ. Modelling</w:t>
      </w:r>
      <w:r>
        <w:t>, vol. 119, art. no. 106159, 2023, doi: 10.1016/j.econmod.2022.106159.</w:t>
      </w:r>
    </w:p>
    <w:p w14:paraId="5649098D" w14:textId="77777777" w:rsidR="008A78AA" w:rsidRDefault="00000000">
      <w:pPr>
        <w:pStyle w:val="references"/>
      </w:pPr>
      <w:r>
        <w:t xml:space="preserve">I. E. Livieris et al., “Attention-based CNN-LSTM for high-frequency multiple cryptocurrency trend prediction,” </w:t>
      </w:r>
      <w:r>
        <w:rPr>
          <w:i/>
          <w:iCs/>
        </w:rPr>
        <w:t>Expert Syst. Appl.</w:t>
      </w:r>
      <w:r>
        <w:t>, vol. 213, art. no. 119208, 2024, doi: 10.1016/j.eswa.2022.119208.</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