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t>1st Asep Surahman Sulaeman*</w:t>
        <w:br/>
        <w:t>Master of Informatics, Faculty of Engineering, Computer, and Design</w:t>
        <w:br/>
        <w:t>Nusa Putra University</w:t>
        <w:br/>
        <w:t>Sukabumi, Indonesia</w:t>
        <w:br/>
        <w:t>asep.surahman@nusaputra.ac.id (*Corresponding Author)</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 xml:space="preserve">Abstract — Forecasting cryptocurrency prices in operational financial environments presents substantial challenges due to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topologies—Extreme Gradient Boosting (XGBoost), Long Short-Term Memory (LSTM), Gated Recurrent Unit (GRU), and the Informer Transformer—were evaluated under a 24-fold chronological Walk-Forward Validation protocol using 43,786 hourly candlestick observations of BTC/USDT from March 2021 to March 2026. In terms of point-forecasting accuracy, the GRU achieved the lowest error (RMSE = 0.1058 ± 0.0034; Friedman p &lt; 0.0001). However, when evaluated within the operational BI decision engine, a critical empirical divergence emerged: the LSTM achieved the highest Directional Accuracy (72.3% ± 1.5%) and the highest annualized Sharpe Ratio (1.45 ± 0.10, with VaR95% = −2.34%), despite not attaining the lowest point error. These findings suggest that conventional loss metrics such as RMSE may fail to indicate trading efficacy and risk-adjusted financial utility. Usability evaluation of the enterprise Power BI prototype yielded a System Usability Scale (SUS) score of 86.4 (SD = 3.2), indicating high perceived usability of the multi-model decision support dashboard among the 15 evaluators.</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high-frequency regime shifts, and severe volatility cascades, frequently invalidating the core assumptions underlying conventional econometric models [1], [2]. Classical time-series techniques such as Autoregressive Integrated Moving Average (ARIMA) presuppose covariance stationarity and linear autocorrelation structures properties routinely violated by intra-day cryptocurrency data [3], [4]. Consequently, deep neural networks and gradient-boosted tree ensembles have emerged as prominent modeling paradigms due to their capacity to map complex, nonlinear sequential representations directly from raw multi-feature inputs [5], [6].</w:t>
      </w:r>
    </w:p>
    <w:p w14:paraId="467A3672" w14:textId="36BEA800" w:rsidR="008A78AA" w:rsidRDefault="00712C53">
      <w:pPr>
        <w:pStyle w:val="BodyText"/>
      </w:pPr>
      <w:r>
        <w:t xml:space="preserve">Despite significant advances in forecasting algorithms, a critical methodological limitation persists in the financial machine learning literature. Existing studies overwhelmingly benchmark models using statistical error metrics such as Root Mean Squared Error (RMSE) or Mean Absolute Error (MAE) in isolated laboratory environments. However, for portfolio managers and risk governance committees, a minimal RMSE does not guarantee commercial viability or risk-adjusted profitability [7], [8]. Crucial operational questions such as directional forecasting accuracy, strategy drawdown, and risk-adjusted return under real-world trading constraints remain unanswered by error metrics alone [9]. A profound disconnect therefore exists between predictive accuracy benchmarks and the operational requirements of enterprise Business Intelligence (BI) platforms [10].</w:t>
      </w:r>
    </w:p>
    <w:p w14:paraId="598784DC" w14:textId="77777777" w:rsidR="008A78AA" w:rsidRDefault="001F2CB9">
      <w:pPr>
        <w:pStyle w:val="BodyText"/>
      </w:pPr>
      <w:r>
        <w:t>To bridge this divide, this study develops an end-to-end BI-ML framework that integrates automated multi-model forecasting, leakage-free chronological Walk-Forward Validation, a high-throughput PostgreSQL Data Mart, and an interactive Microsoft Power BI decision-support dashboard refreshed from the Data Mart through DirectQuery. Four distinct algorithmic families are benchmarked across five years of hourly Bitcoin (BTC/USDT) spot data under identical experimental conditions: XGBoost (tree ensemble), LSTM and GRU (gated recurrent networks), and the Informer Transformer (probabilistic sparse self-attention). By mapping raw multi-step point predictions into live trading signals, annualized Sharpe Ratios, and Value-at-Risk (VaR) thresholds, this framework establishes a rigorous bridge between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In financial modeling, tree-based ensemble methods represent the established standard for tabular feature architectures. Extreme Gradient Boosting (XGBoost) demonstrates superior capacity to mitigate variance through regularized gradient boosting [11], [12]. Nevertheless, standard decision tree models do not inherently model recurrent temporal transitions across consecutive time steps, which motivates recurrent architectures for volatile crypto asset regimes, as explored by McNally et al. [13]. Critically, Makridakis et al. [3] demonstrated in a large-scale benchmark that machine learning models do not uniformly outperform statistical baselines when evaluation is conducted on truly held-out out-of-sample windows — underscoring that comparative forecasting performance must be assessed under leakage-free chronological protocols. The systematic review by Henrique et al. [4] and the comprehensive survey by Amirzadeh et al. [44] identify the absence of unified out-of-sample benchmarking and risk-adjusted performance metrics as the primary recurring methodological deficiency in the financial machine learning literature — a gap this study directly addresses through 24-fold walk-forward validation.</w:t>
      </w:r>
    </w:p>
    <w:p w14:paraId="035DAF2A" w14:textId="77777777" w:rsidR="008A78AA" w:rsidRDefault="00712C53">
      <w:pPr>
        <w:pStyle w:val="BodyText"/>
      </w:pPr>
      <w:r>
        <w:t>To capture multi-scale temporal dependencies, recurrent neural architectures were introduced. The Long Short-Term Memory (LSTM) network, formulated by Hochreiter and Schmidhuber [14] and expanded with recurrent forget gates by Gers et al. [15], regulates gradient flow via input, forget, and output gating mechanisms, mitigating vanishing gradient phenomena. Subsequently, Cho et al. [16] developed the Gated Recurrent Unit (GRU), which combines forget and input gates into a streamlined update gate, achieving comparable sequential retention with reduced computational overhead. Both topologies remain essential benchmarks in quantitative financial engineering [17], [18], with Mallqui and Fernandes [17] demonstrating the effectiveness of machine learning and recurrent networks for Bitcoin directional price forecasting. Fischer and Krauss [41] demonstrated that LSTM-based strategies achieve meaningful out-of-sample Sharpe Ratios on equity data but cautioned that such returns diminish significantly once transaction costs are incorporated — a finding extended to the cryptocurrency domain by Sebastião and Godinho [42], who confirmed that ML-based trading strategies remain profitable after accounting for 0.5% round-trip transaction costs. Rundo [43] further validated that coupling deep LSTM with a reinforcement-learning execution layer substantially improves risk-adjusted returns in high-frequency settings. De Prado [30] stresses leakage-free, chronologically ordered evaluation for sequential financial models, and Diebold and Mariano [35] provide the formal framework for comparing predictive accuracy across model families — both principles are adopted in this study.</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 architectures [19] have achieved remarkable success across diverse sequential modeling domains [20]. For long-sequence time-series forecasting, the Informer Transformer [21] introduced the ProbSparse self-attention mechanism, reducing time and memory complexity from O(L²) to O(L log L). While newer Transformer derivatives such as PatchTST [22] and TimesNet [23] continue to emerge, the Informer serves as an established, extensively validated attention baseline for intra-day cryptocurrency modeling [24]. Importantly, Zerveas et al. [25] observed that attention mechanisms are prone to overfitting on short, noisy intervals — a possibility examined here by comparing the Informer against the recurrent baselines under the Diebold-Mariano test [35]. Recent comparative work by Peng et al. [45], evaluating an Attention-based CNN–LSTM architecture on high-frequency multi-cryptocurrency data, demonstrates that hybrid sequential models combining convolutional feature extraction with temporal attention achieve superior trend prediction accuracy over standalone Transformers on intra-day windows. A fundamental limitation shared across Transformer-based cryptocurrency studies [24], [25] is the exclusive reliance on statistical error metrics without evaluating trading profitability or Value-at-Risk compliance [28] — a gap motivating the enterprise BI layer in this work.</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While comparative algorithmic evaluations are abundant [11], [41], [44], their integration into enterprise Decision Support Systems (DSS) remains scarce [9], and the existing literature exhibits three interconnected methodological gaps. First, the operational disconnect between statistical model benchmarks and enterprise BI platforms prevents risk governance committees from translating RMSE-optimal models into actionable decisions [9], [10]. Second, the vast majority of cryptocurrency forecasting studies omit transaction cost modeling from trading-strategy evaluation — producing Sharpe Ratios unattainable in live markets; Sebastião and Godinho [42] and Fischer and Krauss [41] demonstrate that incorporating realistic fee structures fundamentally changes model ranking and strategy viability. Third, Value-at-Risk and drawdown constraints — mandatory risk governance requirements [28] — are absent from the trading evaluation of virtually all deep learning cryptocurrency benchmarks. This study bridges all three gaps by coupling model predictions to an enterprise Power BI dashboard that dynamically computes annualized Sharpe Ratios and VaR(95%) [28], and by validating operational usability through the SUS protocol [37], [38].</w:t>
      </w:r>
    </w:p>
    <w:p w14:paraId="6D6DE8F2" w14:textId="77777777" w:rsidR="008A78AA" w:rsidRDefault="00A85596">
      <w:pPr>
        <w:pStyle w:val="BodyText"/>
      </w:pPr>
      <w:r>
        <w:t>Bitcoin (BTC/USDT) is selected as the primary reference asset for three fundamental reasons. First, BTC constitutes the most liquid, heavily traded, and structurally influential cryptocurrency, serving as the universal market bellwether [1], [29]. Second, continuous 24/7 trading generates an exceptionally dense sequential signal unobstructed by exchange market-closure artifacts. Third, evaluating a high-volume Binance spot pair provides a controlled experimental environment that isolates algorithmic performance from the idiosyncratic liquidity shocks prevalent in lower-cap altcoins.</w:t>
      </w:r>
    </w:p>
    <w:p w14:paraId="6D6DE8F2" w14:textId="77777777" w:rsidR="008A78AA" w:rsidRDefault="00A85596">
      <w:pPr>
        <w:pStyle w:val="BodyText"/>
      </w:pPr>
      <w:r>
        <w:t>Taken together, the literature reveals four unresolved gaps that this study is specifically designed to address. (1) — Comparative forecasting benchmarks [3], [4], [13], [17], [40], [44], [45] consistently employ random split or single-fold evaluation, introducing temporal leakage that inflates reported accuracy; this study enforces strict 24-fold non-overlapping walk-forward validation across five years of hourly data, consistent with the leakage-prevention principles of de Prado [30]. (2) — Risk-adjusted return evaluation is systematically absent in cryptocurrency deep learning benchmarks [17], [24], [25], [45]; this study reports annualized Sharpe Ratios and VaR(95%) for all four model families under identical market conditions. (3) — Transaction costs are uniformly omitted from prior trading-strategy evaluations [13], [17], yielding results that cannot be reproduced in live brokerage environments; this work explicitly evaluates directional trading signals net of Binance spot fee structures [29], following the cost-aware methodology of Sebastião and Godinho [42]. (4) — The integration of ML model outputs into real-time enterprise BI dashboards with live KPI computation remains largely absent [9], [26]; this study delivers an operational Microsoft Power BI prototype streaming model predictions into live Sharpe Ratio and VaR tiles, verified through usability assessment [37], [38] and statistical benchmarking via the Diebold-Mariano test [35].</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The proposed end-to-end framework is organized into four modular, sequentially integrated layers. Layer 1 executes automated high-frequency market data ingestion and verifies series stationarity. Layer 2 performs technical feature extraction, fold-local normalization, and guarantees temporal leakage prevention. Layer 3 orchestrates model training, hyperparameter optimization, and parallel out-of-sample inference across the four model families. Finally, Layer 4 translates raw predictive tensors into directional trading signals, computes portfolio risk metrics (Sharpe Ratio, VaR), and streams the outputs to a live Microsoft Power BI dashboard via DirectQuery. The end-to-end workflow is formally specified in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continuously ingests 43,801 consecutive hourly OHLCV candlestick records of BTC/USDT from the Binance Spot API spanning March 1, 2021 to March 1, 2026 [29] (Fig. 1). A comprehensive temporal gap audit on timestamp differentials (Δt = ti − ti−1 = 3,600 s) confirmed 43,794 consecutive hours (99.986% native API continuity). Exactly six isolated 1-hour to 2-hour missing timestamps (resulting from scheduled exchange matching engine maintenance) were filled via local forward-fill linear interpolation bounded strictly within adjacent hours, establishing a complete 43,800-hour continuous sequence with 100% temporal continuity without cross-boundary look-ahead distortion.</w:t>
      </w:r>
    </w:p>
    <w:p w14:paraId="1C1958B5" w14:textId="77777777" w:rsidR="008A78AA" w:rsidRDefault="00000000">
      <w:pPr>
        <w:pStyle w:val="BodyText"/>
      </w:pPr>
      <w:r>
        <w:t>To rigorously evaluate series stationarity, the Augmented Dickey-Fuller (ADF) unit root test was conducted on both the raw price series and derived feature transformations. On raw Bitcoin closing prices (Pt), the ADF test yielded a test statistic of −1.0670 with a p-value of 0.7281 (critical value at 5% = −2.8616), confirming that raw price levels are non-stationary I(1) with a unit root. Conversely, for logarithmic price returns rt = ln(Pt / Pt−1), the ADF test yielded a test statistic of −29.4518 with p &lt; 0.0001 (critical value at 1% = −3.4305), decisively rejecting the unit root null hypothesis. Similarly, all 14 derived technical indicator series exhibited p &lt; 0.001, confirming that bounded oscillators and differenced momentum features are strictly covariance stationary I(0), ensuring mathematical validity for deep learning.</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commentRangeStart w:id="2"/>
      <w:r>
        <w:t>A comprehensive feature set of 15 technical indicators was engineered to provide multi-scale representations of price momentum, trend, and market volatility. Moving Average Convergence Divergence (MACD) was computed from standard exponential moving averages:</w:t>
      </w:r>
      <w:commentRangeEnd w:id="2"/>
      <w:r>
        <w:rPr>
          <w:rStyle w:val="CommentReference"/>
        </w:rPr>
        <w:commentReference w:id="2"/>
      </w:r>
    </w:p>
    <w:p w14:paraId="15592AC8" w14:textId="77777777" w:rsidR="008A78AA" w:rsidRDefault="005002B2">
      <w:pPr>
        <w:pStyle w:val="equation"/>
      </w:pPr>
      <w:r>
        <w:tab/>
        <w:t>MACD = EMA12 − EMA26</w:t>
        <w:tab/>
        <w:t>(1)</w:t>
      </w:r>
    </w:p>
    <w:p w14:paraId="321BB3C7" w14:textId="77777777" w:rsidR="008A78AA" w:rsidRDefault="00000000">
      <w:pPr>
        <w:pStyle w:val="BodyText"/>
      </w:pPr>
      <w:r>
        <w:t>To guarantee zero temporal leakage across the chronological evaluation, all feature normalization was performed using strictly Fold-Local Min-Max Scaling (Equation 2). Scaling parameters (Xmin, Xmax) were computed exclusively from historical observations within each training window and subsequently applied out-of-sample to the corresponding test window, precluding any look-ahead bias [31], [32], [33]:</w:t>
      </w:r>
    </w:p>
    <w:p w14:paraId="6BCCB1DB" w14:textId="77777777" w:rsidR="008A78AA" w:rsidRDefault="00000000">
      <w:pPr>
        <w:pStyle w:val="BodyText"/>
      </w:pPr>
      <w:r>
        <w:t>Because the primary Binance API dataset provides a 100% complete hourly series across the five-year evaluation period, no cross-boundary interpolation was required. In the event of emergency fallback ingestion from daily sources, only strictly localized linear temporal interpolation bounded within adjacent historical anchor points is permitted, ensuring that future information cannot propagate backward across the Walk-Forward split boundary.</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(2)</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engineered technical features (summarized in Table IV) incorporate trend indicators (EMA20, SMA50), momentum oscillators (RSI14, Stochastic %K/%D), volatility metrics (Rolling Volatility σ24, Bollinger Bands, ATR), and volume dynamics. To quantify feature attribution, SHapley Additive exPlanations (SHAP) analysis [34] was conducted across all candidate architectures. Empirical SHAP values confirmed that short-term volatility σ24 contributed the highest marginal predictive attribution (mean |SHAP| = 0.284), followed by RSI14 (0.218), MACD (0.176), Momentum(10) (0.112), and Volume (0.086). Long-term trend indicators (SMA-50, |SHAP| = 0.024) exhibited substantially lower attribution, corroborating that hourly cryptocurrency price transitions are overwhelmingly governed by high-frequency volatility shocks and momentum exhaustion.</w:t>
      </w:r>
    </w:p>
    <w:p>
      <w:pPr>
        <w:pStyle w:val="tablehead"/>
      </w:pPr>
      <w:r>
        <w:t>TABLE IV: ENGINEERED TECHNICAL INDICATOR FEATURE SPACE &amp; SHAP ATTRIBUTION RANKINGS (LAYER 2)</w:t>
      </w:r>
    </w:p>
    <w:tbl>
      <w:tblPr>
        <w:tblW w:type="auto" w:w="0"/>
        <w:tblLook w:firstColumn="1" w:firstRow="1" w:lastColumn="0" w:lastRow="0" w:noHBand="0" w:noVBand="1" w:val="04A0"/>
      </w:tblPr>
      <w:tblGrid>
        <w:gridCol w:w="2024"/>
        <w:gridCol w:w="2024"/>
        <w:gridCol w:w="2024"/>
        <w:gridCol w:w="2024"/>
        <w:gridCol w:w="2024"/>
      </w:tblGrid>
      <w:tr>
        <w:tc>
          <w:tcPr>
            <w:tcW w:type="dxa" w:w="504"/>
          </w:tcPr>
          <w:p>
            <w:pPr>
              <w:pStyle w:val="tablecolhead"/>
            </w:pPr>
            <w:r>
              <w:t>#</w:t>
            </w:r>
          </w:p>
        </w:tc>
        <w:tc>
          <w:tcPr>
            <w:tcW w:type="dxa" w:w="1512"/>
          </w:tcPr>
          <w:p>
            <w:pPr>
              <w:pStyle w:val="tablecolhead"/>
            </w:pPr>
            <w:r>
              <w:t>Feature Name</w:t>
            </w:r>
          </w:p>
        </w:tc>
        <w:tc>
          <w:tcPr>
            <w:tcW w:type="dxa" w:w="1224"/>
          </w:tcPr>
          <w:p>
            <w:pPr>
              <w:pStyle w:val="tablecolhead"/>
            </w:pPr>
            <w:r>
              <w:t>Category</w:t>
            </w:r>
          </w:p>
        </w:tc>
        <w:tc>
          <w:tcPr>
            <w:tcW w:type="dxa" w:w="2664"/>
          </w:tcPr>
          <w:p>
            <w:pPr>
              <w:pStyle w:val="tablecolhead"/>
            </w:pPr>
            <w:r>
              <w:t>Mathematical Formula / Window</w:t>
            </w:r>
          </w:p>
        </w:tc>
        <w:tc>
          <w:tcPr>
            <w:tcW w:type="dxa" w:w="1296"/>
          </w:tcPr>
          <w:p>
            <w:pPr>
              <w:pStyle w:val="tablecolhead"/>
            </w:pPr>
            <w:r>
              <w:t>SHAP Rank (|SHAP|)</w:t>
            </w:r>
          </w:p>
        </w:tc>
      </w:tr>
      <w:tr>
        <w:tc>
          <w:tcPr>
            <w:tcW w:type="dxa" w:w="504"/>
          </w:tcPr>
          <w:p>
            <w:pPr>
              <w:pStyle w:val="tablecopy"/>
            </w:pPr>
            <w:r>
              <w:t>1</w:t>
            </w:r>
          </w:p>
        </w:tc>
        <w:tc>
          <w:tcPr>
            <w:tcW w:type="dxa" w:w="1512"/>
          </w:tcPr>
          <w:p>
            <w:pPr>
              <w:pStyle w:val="tablecopy"/>
            </w:pPr>
            <w:r>
              <w:t>Close Price</w:t>
            </w:r>
          </w:p>
        </w:tc>
        <w:tc>
          <w:tcPr>
            <w:tcW w:type="dxa" w:w="1224"/>
          </w:tcPr>
          <w:p>
            <w:pPr>
              <w:pStyle w:val="tablecopy"/>
            </w:pPr>
            <w:r>
              <w:t>Target</w:t>
            </w:r>
          </w:p>
        </w:tc>
        <w:tc>
          <w:tcPr>
            <w:tcW w:type="dxa" w:w="2664"/>
          </w:tcPr>
          <w:p>
            <w:pPr>
              <w:pStyle w:val="tablecopy"/>
            </w:pPr>
            <w:r>
              <w:t>Raw hourly spot closing price Pt</w:t>
            </w:r>
          </w:p>
        </w:tc>
        <w:tc>
          <w:tcPr>
            <w:tcW w:type="dxa" w:w="1296"/>
          </w:tcPr>
          <w:p>
            <w:pPr>
              <w:pStyle w:val="tablecopy"/>
            </w:pPr>
            <w:r>
              <w:t>Target (0.312)</w:t>
            </w:r>
          </w:p>
        </w:tc>
      </w:tr>
      <w:tr>
        <w:tc>
          <w:tcPr>
            <w:tcW w:type="dxa" w:w="504"/>
          </w:tcPr>
          <w:p>
            <w:pPr>
              <w:pStyle w:val="tablecopy"/>
            </w:pPr>
            <w:r>
              <w:t>2</w:t>
            </w:r>
          </w:p>
        </w:tc>
        <w:tc>
          <w:tcPr>
            <w:tcW w:type="dxa" w:w="1512"/>
          </w:tcPr>
          <w:p>
            <w:pPr>
              <w:pStyle w:val="tablecopy"/>
            </w:pPr>
            <w:r>
              <w:t>Volatility (σ24)</w:t>
            </w:r>
          </w:p>
        </w:tc>
        <w:tc>
          <w:tcPr>
            <w:tcW w:type="dxa" w:w="1224"/>
          </w:tcPr>
          <w:p>
            <w:pPr>
              <w:pStyle w:val="tablecopy"/>
            </w:pPr>
            <w:r>
              <w:t>Risk / Dispersion</w:t>
            </w:r>
          </w:p>
        </w:tc>
        <w:tc>
          <w:tcPr>
            <w:tcW w:type="dxa" w:w="2664"/>
          </w:tcPr>
          <w:p>
            <w:pPr>
              <w:pStyle w:val="tablecopy"/>
            </w:pPr>
            <w:r>
              <w:t>√[ (1/24) Σ (Pt-i − P̄)² ] over 24 hours</w:t>
            </w:r>
          </w:p>
        </w:tc>
        <w:tc>
          <w:tcPr>
            <w:tcW w:type="dxa" w:w="1296"/>
          </w:tcPr>
          <w:p>
            <w:pPr>
              <w:pStyle w:val="tablecopy"/>
            </w:pPr>
            <w:r>
              <w:t>Rank 1 (0.284)</w:t>
            </w:r>
          </w:p>
        </w:tc>
      </w:tr>
      <w:tr>
        <w:tc>
          <w:tcPr>
            <w:tcW w:type="dxa" w:w="504"/>
          </w:tcPr>
          <w:p>
            <w:pPr>
              <w:pStyle w:val="tablecopy"/>
            </w:pPr>
            <w:r>
              <w:t>3</w:t>
            </w:r>
          </w:p>
        </w:tc>
        <w:tc>
          <w:tcPr>
            <w:tcW w:type="dxa" w:w="1512"/>
          </w:tcPr>
          <w:p>
            <w:pPr>
              <w:pStyle w:val="tablecopy"/>
            </w:pPr>
            <w:r>
              <w:t>RSI (14)</w:t>
            </w:r>
          </w:p>
        </w:tc>
        <w:tc>
          <w:tcPr>
            <w:tcW w:type="dxa" w:w="1224"/>
          </w:tcPr>
          <w:p>
            <w:pPr>
              <w:pStyle w:val="tablecopy"/>
            </w:pPr>
            <w:r>
              <w:t>Momentum</w:t>
            </w:r>
          </w:p>
        </w:tc>
        <w:tc>
          <w:tcPr>
            <w:tcW w:type="dxa" w:w="2664"/>
          </w:tcPr>
          <w:p>
            <w:pPr>
              <w:pStyle w:val="tablecopy"/>
            </w:pPr>
            <w:r>
              <w:t>100 − [100 / (1 + RS14)] over 14 hours</w:t>
            </w:r>
          </w:p>
        </w:tc>
        <w:tc>
          <w:tcPr>
            <w:tcW w:type="dxa" w:w="1296"/>
          </w:tcPr>
          <w:p>
            <w:pPr>
              <w:pStyle w:val="tablecopy"/>
            </w:pPr>
            <w:r>
              <w:t>Rank 2 (0.218)</w:t>
            </w:r>
          </w:p>
        </w:tc>
      </w:tr>
      <w:tr>
        <w:tc>
          <w:tcPr>
            <w:tcW w:type="dxa" w:w="504"/>
          </w:tcPr>
          <w:p>
            <w:pPr>
              <w:pStyle w:val="tablecopy"/>
            </w:pPr>
            <w:r>
              <w:t>4</w:t>
            </w:r>
          </w:p>
        </w:tc>
        <w:tc>
          <w:tcPr>
            <w:tcW w:type="dxa" w:w="1512"/>
          </w:tcPr>
          <w:p>
            <w:pPr>
              <w:pStyle w:val="tablecopy"/>
            </w:pPr>
            <w:r>
              <w:t>MACD</w:t>
            </w:r>
          </w:p>
        </w:tc>
        <w:tc>
          <w:tcPr>
            <w:tcW w:type="dxa" w:w="1224"/>
          </w:tcPr>
          <w:p>
            <w:pPr>
              <w:pStyle w:val="tablecopy"/>
            </w:pPr>
            <w:r>
              <w:t>Trend / Momentum</w:t>
            </w:r>
          </w:p>
        </w:tc>
        <w:tc>
          <w:tcPr>
            <w:tcW w:type="dxa" w:w="2664"/>
          </w:tcPr>
          <w:p>
            <w:pPr>
              <w:pStyle w:val="tablecopy"/>
            </w:pPr>
            <w:r>
              <w:t>EMA12(Pt) − EMA26(Pt)</w:t>
            </w:r>
          </w:p>
        </w:tc>
        <w:tc>
          <w:tcPr>
            <w:tcW w:type="dxa" w:w="1296"/>
          </w:tcPr>
          <w:p>
            <w:pPr>
              <w:pStyle w:val="tablecopy"/>
            </w:pPr>
            <w:r>
              <w:t>Rank 3 (0.176)</w:t>
            </w:r>
          </w:p>
        </w:tc>
      </w:tr>
      <w:tr>
        <w:tc>
          <w:tcPr>
            <w:tcW w:type="dxa" w:w="504"/>
          </w:tcPr>
          <w:p>
            <w:pPr>
              <w:pStyle w:val="tablecopy"/>
            </w:pPr>
            <w:r>
              <w:t>5</w:t>
            </w:r>
          </w:p>
        </w:tc>
        <w:tc>
          <w:tcPr>
            <w:tcW w:type="dxa" w:w="1512"/>
          </w:tcPr>
          <w:p>
            <w:pPr>
              <w:pStyle w:val="tablecopy"/>
            </w:pPr>
            <w:r>
              <w:t>Momentum (10)</w:t>
            </w:r>
          </w:p>
        </w:tc>
        <w:tc>
          <w:tcPr>
            <w:tcW w:type="dxa" w:w="1224"/>
          </w:tcPr>
          <w:p>
            <w:pPr>
              <w:pStyle w:val="tablecopy"/>
            </w:pPr>
            <w:r>
              <w:t>Velocity</w:t>
            </w:r>
          </w:p>
        </w:tc>
        <w:tc>
          <w:tcPr>
            <w:tcW w:type="dxa" w:w="2664"/>
          </w:tcPr>
          <w:p>
            <w:pPr>
              <w:pStyle w:val="tablecopy"/>
            </w:pPr>
            <w:r>
              <w:t>Pt − Pt-10 over 10 hours</w:t>
            </w:r>
          </w:p>
        </w:tc>
        <w:tc>
          <w:tcPr>
            <w:tcW w:type="dxa" w:w="1296"/>
          </w:tcPr>
          <w:p>
            <w:pPr>
              <w:pStyle w:val="tablecopy"/>
            </w:pPr>
            <w:r>
              <w:t>Rank 4 (0.112)</w:t>
            </w:r>
          </w:p>
        </w:tc>
      </w:tr>
      <w:tr>
        <w:tc>
          <w:tcPr>
            <w:tcW w:type="dxa" w:w="504"/>
          </w:tcPr>
          <w:p>
            <w:pPr>
              <w:pStyle w:val="tablecopy"/>
            </w:pPr>
            <w:r>
              <w:t>6</w:t>
            </w:r>
          </w:p>
        </w:tc>
        <w:tc>
          <w:tcPr>
            <w:tcW w:type="dxa" w:w="1512"/>
          </w:tcPr>
          <w:p>
            <w:pPr>
              <w:pStyle w:val="tablecopy"/>
            </w:pPr>
            <w:r>
              <w:t>Volume</w:t>
            </w:r>
          </w:p>
        </w:tc>
        <w:tc>
          <w:tcPr>
            <w:tcW w:type="dxa" w:w="1224"/>
          </w:tcPr>
          <w:p>
            <w:pPr>
              <w:pStyle w:val="tablecopy"/>
            </w:pPr>
            <w:r>
              <w:t>Liquidity</w:t>
            </w:r>
          </w:p>
        </w:tc>
        <w:tc>
          <w:tcPr>
            <w:tcW w:type="dxa" w:w="2664"/>
          </w:tcPr>
          <w:p>
            <w:pPr>
              <w:pStyle w:val="tablecopy"/>
            </w:pPr>
            <w:r>
              <w:t>Raw hourly transaction volume Vt</w:t>
            </w:r>
          </w:p>
        </w:tc>
        <w:tc>
          <w:tcPr>
            <w:tcW w:type="dxa" w:w="1296"/>
          </w:tcPr>
          <w:p>
            <w:pPr>
              <w:pStyle w:val="tablecopy"/>
            </w:pPr>
            <w:r>
              <w:t>Rank 5 (0.086)</w:t>
            </w:r>
          </w:p>
        </w:tc>
      </w:tr>
      <w:tr>
        <w:tc>
          <w:tcPr>
            <w:tcW w:type="dxa" w:w="504"/>
          </w:tcPr>
          <w:p>
            <w:pPr>
              <w:pStyle w:val="tablecopy"/>
            </w:pPr>
            <w:r>
              <w:t>7</w:t>
            </w:r>
          </w:p>
        </w:tc>
        <w:tc>
          <w:tcPr>
            <w:tcW w:type="dxa" w:w="1512"/>
          </w:tcPr>
          <w:p>
            <w:pPr>
              <w:pStyle w:val="tablecopy"/>
            </w:pPr>
            <w:r>
              <w:t>BB_Upper</w:t>
            </w:r>
          </w:p>
        </w:tc>
        <w:tc>
          <w:tcPr>
            <w:tcW w:type="dxa" w:w="1224"/>
          </w:tcPr>
          <w:p>
            <w:pPr>
              <w:pStyle w:val="tablecopy"/>
            </w:pPr>
            <w:r>
              <w:t>Volatility Band</w:t>
            </w:r>
          </w:p>
        </w:tc>
        <w:tc>
          <w:tcPr>
            <w:tcW w:type="dxa" w:w="2664"/>
          </w:tcPr>
          <w:p>
            <w:pPr>
              <w:pStyle w:val="tablecopy"/>
            </w:pPr>
            <w:r>
              <w:t>SMA20(Pt) + 2 × σ20</w:t>
            </w:r>
          </w:p>
        </w:tc>
        <w:tc>
          <w:tcPr>
            <w:tcW w:type="dxa" w:w="1296"/>
          </w:tcPr>
          <w:p>
            <w:pPr>
              <w:pStyle w:val="tablecopy"/>
            </w:pPr>
            <w:r>
              <w:t>Rank 6 (0.048)</w:t>
            </w:r>
          </w:p>
        </w:tc>
      </w:tr>
      <w:tr>
        <w:tc>
          <w:tcPr>
            <w:tcW w:type="dxa" w:w="504"/>
          </w:tcPr>
          <w:p>
            <w:pPr>
              <w:pStyle w:val="tablecopy"/>
            </w:pPr>
            <w:r>
              <w:t>8</w:t>
            </w:r>
          </w:p>
        </w:tc>
        <w:tc>
          <w:tcPr>
            <w:tcW w:type="dxa" w:w="1512"/>
          </w:tcPr>
          <w:p>
            <w:pPr>
              <w:pStyle w:val="tablecopy"/>
            </w:pPr>
            <w:r>
              <w:t>BB_Lower</w:t>
            </w:r>
          </w:p>
        </w:tc>
        <w:tc>
          <w:tcPr>
            <w:tcW w:type="dxa" w:w="1224"/>
          </w:tcPr>
          <w:p>
            <w:pPr>
              <w:pStyle w:val="tablecopy"/>
            </w:pPr>
            <w:r>
              <w:t>Volatility Band</w:t>
            </w:r>
          </w:p>
        </w:tc>
        <w:tc>
          <w:tcPr>
            <w:tcW w:type="dxa" w:w="2664"/>
          </w:tcPr>
          <w:p>
            <w:pPr>
              <w:pStyle w:val="tablecopy"/>
            </w:pPr>
            <w:r>
              <w:t>SMA20(Pt) − 2 × σ20</w:t>
            </w:r>
          </w:p>
        </w:tc>
        <w:tc>
          <w:tcPr>
            <w:tcW w:type="dxa" w:w="1296"/>
          </w:tcPr>
          <w:p>
            <w:pPr>
              <w:pStyle w:val="tablecopy"/>
            </w:pPr>
            <w:r>
              <w:t>Rank 7 (0.044)</w:t>
            </w:r>
          </w:p>
        </w:tc>
      </w:tr>
      <w:tr>
        <w:tc>
          <w:tcPr>
            <w:tcW w:type="dxa" w:w="504"/>
          </w:tcPr>
          <w:p>
            <w:pPr>
              <w:pStyle w:val="tablecopy"/>
            </w:pPr>
            <w:r>
              <w:t>9</w:t>
            </w:r>
          </w:p>
        </w:tc>
        <w:tc>
          <w:tcPr>
            <w:tcW w:type="dxa" w:w="1512"/>
          </w:tcPr>
          <w:p>
            <w:pPr>
              <w:pStyle w:val="tablecopy"/>
            </w:pPr>
            <w:r>
              <w:t>ROC (12)</w:t>
            </w:r>
          </w:p>
        </w:tc>
        <w:tc>
          <w:tcPr>
            <w:tcW w:type="dxa" w:w="1224"/>
          </w:tcPr>
          <w:p>
            <w:pPr>
              <w:pStyle w:val="tablecopy"/>
            </w:pPr>
            <w:r>
              <w:t>Rate of Change</w:t>
            </w:r>
          </w:p>
        </w:tc>
        <w:tc>
          <w:tcPr>
            <w:tcW w:type="dxa" w:w="2664"/>
          </w:tcPr>
          <w:p>
            <w:pPr>
              <w:pStyle w:val="tablecopy"/>
            </w:pPr>
            <w:r>
              <w:t>[(Pt − Pt-12) / Pt-12] × 100</w:t>
            </w:r>
          </w:p>
        </w:tc>
        <w:tc>
          <w:tcPr>
            <w:tcW w:type="dxa" w:w="1296"/>
          </w:tcPr>
          <w:p>
            <w:pPr>
              <w:pStyle w:val="tablecopy"/>
            </w:pPr>
            <w:r>
              <w:t>Rank 8 (0.032)</w:t>
            </w:r>
          </w:p>
        </w:tc>
      </w:tr>
      <w:tr>
        <w:tc>
          <w:tcPr>
            <w:tcW w:type="dxa" w:w="504"/>
          </w:tcPr>
          <w:p>
            <w:pPr>
              <w:pStyle w:val="tablecopy"/>
            </w:pPr>
            <w:r>
              <w:t>10</w:t>
            </w:r>
          </w:p>
        </w:tc>
        <w:tc>
          <w:tcPr>
            <w:tcW w:type="dxa" w:w="1512"/>
          </w:tcPr>
          <w:p>
            <w:pPr>
              <w:pStyle w:val="tablecopy"/>
            </w:pPr>
            <w:r>
              <w:t>EMA-20</w:t>
            </w:r>
          </w:p>
        </w:tc>
        <w:tc>
          <w:tcPr>
            <w:tcW w:type="dxa" w:w="1224"/>
          </w:tcPr>
          <w:p>
            <w:pPr>
              <w:pStyle w:val="tablecopy"/>
            </w:pPr>
            <w:r>
              <w:t>Responsive Trend</w:t>
            </w:r>
          </w:p>
        </w:tc>
        <w:tc>
          <w:tcPr>
            <w:tcW w:type="dxa" w:w="2664"/>
          </w:tcPr>
          <w:p>
            <w:pPr>
              <w:pStyle w:val="tablecopy"/>
            </w:pPr>
            <w:r>
              <w:t>α Pt + (1−α) EMA20,t-1 (α = 2/21)</w:t>
            </w:r>
          </w:p>
        </w:tc>
        <w:tc>
          <w:tcPr>
            <w:tcW w:type="dxa" w:w="1296"/>
          </w:tcPr>
          <w:p>
            <w:pPr>
              <w:pStyle w:val="tablecopy"/>
            </w:pPr>
            <w:r>
              <w:t>Rank 9 (0.028)</w:t>
            </w:r>
          </w:p>
        </w:tc>
      </w:tr>
      <w:tr>
        <w:tc>
          <w:tcPr>
            <w:tcW w:type="dxa" w:w="504"/>
          </w:tcPr>
          <w:p>
            <w:pPr>
              <w:pStyle w:val="tablecopy"/>
            </w:pPr>
            <w:r>
              <w:t>11</w:t>
            </w:r>
          </w:p>
        </w:tc>
        <w:tc>
          <w:tcPr>
            <w:tcW w:type="dxa" w:w="1512"/>
          </w:tcPr>
          <w:p>
            <w:pPr>
              <w:pStyle w:val="tablecopy"/>
            </w:pPr>
            <w:r>
              <w:t>SMA-50</w:t>
            </w:r>
          </w:p>
        </w:tc>
        <w:tc>
          <w:tcPr>
            <w:tcW w:type="dxa" w:w="1224"/>
          </w:tcPr>
          <w:p>
            <w:pPr>
              <w:pStyle w:val="tablecopy"/>
            </w:pPr>
            <w:r>
              <w:t>Medium Trend</w:t>
            </w:r>
          </w:p>
        </w:tc>
        <w:tc>
          <w:tcPr>
            <w:tcW w:type="dxa" w:w="2664"/>
          </w:tcPr>
          <w:p>
            <w:pPr>
              <w:pStyle w:val="tablecopy"/>
            </w:pPr>
            <w:r>
              <w:t>(1/50) Σ Pt-i over 50 hours</w:t>
            </w:r>
          </w:p>
        </w:tc>
        <w:tc>
          <w:tcPr>
            <w:tcW w:type="dxa" w:w="1296"/>
          </w:tcPr>
          <w:p>
            <w:pPr>
              <w:pStyle w:val="tablecopy"/>
            </w:pPr>
            <w:r>
              <w:t>Rank 10 (0.024)</w:t>
            </w:r>
          </w:p>
        </w:tc>
      </w:tr>
      <w:tr>
        <w:tc>
          <w:tcPr>
            <w:tcW w:type="dxa" w:w="504"/>
          </w:tcPr>
          <w:p>
            <w:pPr>
              <w:pStyle w:val="tablecopy"/>
            </w:pPr>
            <w:r>
              <w:t>12</w:t>
            </w:r>
          </w:p>
        </w:tc>
        <w:tc>
          <w:tcPr>
            <w:tcW w:type="dxa" w:w="1512"/>
          </w:tcPr>
          <w:p>
            <w:pPr>
              <w:pStyle w:val="tablecopy"/>
            </w:pPr>
            <w:r>
              <w:t>ATR (14)</w:t>
            </w:r>
          </w:p>
        </w:tc>
        <w:tc>
          <w:tcPr>
            <w:tcW w:type="dxa" w:w="1224"/>
          </w:tcPr>
          <w:p>
            <w:pPr>
              <w:pStyle w:val="tablecopy"/>
            </w:pPr>
            <w:r>
              <w:t>Range Volatility</w:t>
            </w:r>
          </w:p>
        </w:tc>
        <w:tc>
          <w:tcPr>
            <w:tcW w:type="dxa" w:w="2664"/>
          </w:tcPr>
          <w:p>
            <w:pPr>
              <w:pStyle w:val="tablecopy"/>
            </w:pPr>
            <w:r>
              <w:t>(1/14) Σ TrueRange14 over 14 hours</w:t>
            </w:r>
          </w:p>
        </w:tc>
        <w:tc>
          <w:tcPr>
            <w:tcW w:type="dxa" w:w="1296"/>
          </w:tcPr>
          <w:p>
            <w:pPr>
              <w:pStyle w:val="tablecopy"/>
            </w:pPr>
            <w:r>
              <w:t>Rank 11 (0.019)</w:t>
            </w:r>
          </w:p>
        </w:tc>
      </w:tr>
      <w:tr>
        <w:tc>
          <w:tcPr>
            <w:tcW w:type="dxa" w:w="504"/>
          </w:tcPr>
          <w:p>
            <w:pPr>
              <w:pStyle w:val="tablecopy"/>
            </w:pPr>
            <w:r>
              <w:t>13</w:t>
            </w:r>
          </w:p>
        </w:tc>
        <w:tc>
          <w:tcPr>
            <w:tcW w:type="dxa" w:w="1512"/>
          </w:tcPr>
          <w:p>
            <w:pPr>
              <w:pStyle w:val="tablecopy"/>
            </w:pPr>
            <w:r>
              <w:t>Stochastic %K</w:t>
            </w:r>
          </w:p>
        </w:tc>
        <w:tc>
          <w:tcPr>
            <w:tcW w:type="dxa" w:w="1224"/>
          </w:tcPr>
          <w:p>
            <w:pPr>
              <w:pStyle w:val="tablecopy"/>
            </w:pPr>
            <w:r>
              <w:t>Range Position</w:t>
            </w:r>
          </w:p>
        </w:tc>
        <w:tc>
          <w:tcPr>
            <w:tcW w:type="dxa" w:w="2664"/>
          </w:tcPr>
          <w:p>
            <w:pPr>
              <w:pStyle w:val="tablecopy"/>
            </w:pPr>
            <w:r>
              <w:t>[(Ct − L14) / (H14 − L14)] × 100</w:t>
            </w:r>
          </w:p>
        </w:tc>
        <w:tc>
          <w:tcPr>
            <w:tcW w:type="dxa" w:w="1296"/>
          </w:tcPr>
          <w:p>
            <w:pPr>
              <w:pStyle w:val="tablecopy"/>
            </w:pPr>
            <w:r>
              <w:t>Rank 12 (0.015)</w:t>
            </w:r>
          </w:p>
        </w:tc>
      </w:tr>
      <w:tr>
        <w:tc>
          <w:tcPr>
            <w:tcW w:type="dxa" w:w="504"/>
          </w:tcPr>
          <w:p>
            <w:pPr>
              <w:pStyle w:val="tablecopy"/>
            </w:pPr>
            <w:r>
              <w:t>14</w:t>
            </w:r>
          </w:p>
        </w:tc>
        <w:tc>
          <w:tcPr>
            <w:tcW w:type="dxa" w:w="1512"/>
          </w:tcPr>
          <w:p>
            <w:pPr>
              <w:pStyle w:val="tablecopy"/>
            </w:pPr>
            <w:r>
              <w:t>CCI (20)</w:t>
            </w:r>
          </w:p>
        </w:tc>
        <w:tc>
          <w:tcPr>
            <w:tcW w:type="dxa" w:w="1224"/>
          </w:tcPr>
          <w:p>
            <w:pPr>
              <w:pStyle w:val="tablecopy"/>
            </w:pPr>
            <w:r>
              <w:t>Cyclical Oscillator</w:t>
            </w:r>
          </w:p>
        </w:tc>
        <w:tc>
          <w:tcPr>
            <w:tcW w:type="dxa" w:w="2664"/>
          </w:tcPr>
          <w:p>
            <w:pPr>
              <w:pStyle w:val="tablecopy"/>
            </w:pPr>
            <w:r>
              <w:t>(TPt − SMA20(TP)) / (0.015 × MD20)</w:t>
            </w:r>
          </w:p>
        </w:tc>
        <w:tc>
          <w:tcPr>
            <w:tcW w:type="dxa" w:w="1296"/>
          </w:tcPr>
          <w:p>
            <w:pPr>
              <w:pStyle w:val="tablecopy"/>
            </w:pPr>
            <w:r>
              <w:t>Rank 13 (0.012)</w:t>
            </w:r>
          </w:p>
        </w:tc>
      </w:tr>
      <w:tr>
        <w:tc>
          <w:tcPr>
            <w:tcW w:type="dxa" w:w="504"/>
          </w:tcPr>
          <w:p>
            <w:pPr>
              <w:pStyle w:val="tablecopy"/>
            </w:pPr>
            <w:r>
              <w:t>15</w:t>
            </w:r>
          </w:p>
        </w:tc>
        <w:tc>
          <w:tcPr>
            <w:tcW w:type="dxa" w:w="1512"/>
          </w:tcPr>
          <w:p>
            <w:pPr>
              <w:pStyle w:val="tablecopy"/>
            </w:pPr>
            <w:r>
              <w:t>Stochastic %D</w:t>
            </w:r>
          </w:p>
        </w:tc>
        <w:tc>
          <w:tcPr>
            <w:tcW w:type="dxa" w:w="1224"/>
          </w:tcPr>
          <w:p>
            <w:pPr>
              <w:pStyle w:val="tablecopy"/>
            </w:pPr>
            <w:r>
              <w:t>Signal Smoothing</w:t>
            </w:r>
          </w:p>
        </w:tc>
        <w:tc>
          <w:tcPr>
            <w:tcW w:type="dxa" w:w="2664"/>
          </w:tcPr>
          <w:p>
            <w:pPr>
              <w:pStyle w:val="tablecopy"/>
            </w:pPr>
            <w:r>
              <w:t>SMA3(Stochastic %K)</w:t>
            </w:r>
          </w:p>
        </w:tc>
        <w:tc>
          <w:tcPr>
            <w:tcW w:type="dxa" w:w="1296"/>
          </w:tcPr>
          <w:p>
            <w:pPr>
              <w:pStyle w:val="tablecopy"/>
            </w:pPr>
            <w:r>
              <w:t>Rank 14 (0.010)</w:t>
            </w:r>
          </w:p>
        </w:tc>
      </w:tr>
    </w:tbl>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spanning the 43,800-hour corpus. The 24 folds encompass 4,032 out-of-sample test hours (~9.21% of the multi-year history), structured as quarterly-anchored evaluation windows scheduled across March 2021 to March 2026 (Table V). As detailed in Table V, the test windows capture diverse empirical market regimes—including parabolic bull expansions (Fold 7, 13, 15, 20), severe bear contractions (Fold 1, 3, 4, 9, 10, 11, 16, 17, 22, 24), acute liquidity crashes (Fold 2, return −12.0%), and prolonged consolidations (Fold 5, 6, 8, 12, 14, 18, 19, 21, 23). For each fold, the predictive horizon is formulated as a recursive 1-hour-ahead rolling forecast (h = 1 hour, predicting Pt+1 given lookback T = 24 hours of technical features) evaluated across the 168-hour (7-day) test window. Within each 720-hour (30-day) training block, an inner chronological split reserves the first 576 hours (80%) for training and the final 144 hours (20%) for validation (early stopping patience = 10 epochs), ensuring zero forward-looking leakage (Ttrain → Tval → Ttest).</w:t>
      </w:r>
    </w:p>
    <w:p>
      <w:pPr>
        <w:pStyle w:val="tablehead"/>
      </w:pPr>
      <w:r>
        <w:t>TABLE V: CHRONOLOGICAL 24-FOLD WALK-FORWARD EVALUATION SCHEDULE &amp; REALIZED MARKET REGIMES (LAYER 3)</w:t>
      </w:r>
    </w:p>
    <w:tbl>
      <w:tblPr>
        <w:tblW w:type="auto" w:w="0"/>
        <w:tblLook w:firstColumn="1" w:firstRow="1" w:lastColumn="0" w:lastRow="0" w:noHBand="0" w:noVBand="1" w:val="04A0"/>
      </w:tblPr>
      <w:tblGrid>
        <w:gridCol w:w="1446"/>
        <w:gridCol w:w="1446"/>
        <w:gridCol w:w="1446"/>
        <w:gridCol w:w="1446"/>
        <w:gridCol w:w="1446"/>
        <w:gridCol w:w="1446"/>
        <w:gridCol w:w="1446"/>
      </w:tblGrid>
      <w:tr>
        <w:tc>
          <w:tcPr>
            <w:tcW w:type="dxa" w:w="576"/>
          </w:tcPr>
          <w:p>
            <w:pPr>
              <w:pStyle w:val="tablecolhead"/>
            </w:pPr>
            <w:r>
              <w:t>Fold</w:t>
            </w:r>
          </w:p>
        </w:tc>
        <w:tc>
          <w:tcPr>
            <w:tcW w:type="dxa" w:w="1224"/>
          </w:tcPr>
          <w:p>
            <w:pPr>
              <w:pStyle w:val="tablecolhead"/>
            </w:pPr>
            <w:r>
              <w:t>Test Start</w:t>
            </w:r>
          </w:p>
        </w:tc>
        <w:tc>
          <w:tcPr>
            <w:tcW w:type="dxa" w:w="1224"/>
          </w:tcPr>
          <w:p>
            <w:pPr>
              <w:pStyle w:val="tablecolhead"/>
            </w:pPr>
            <w:r>
              <w:t>Test End</w:t>
            </w:r>
          </w:p>
        </w:tc>
        <w:tc>
          <w:tcPr>
            <w:tcW w:type="dxa" w:w="1080"/>
          </w:tcPr>
          <w:p>
            <w:pPr>
              <w:pStyle w:val="tablecolhead"/>
            </w:pPr>
            <w:r>
              <w:t>Start Price</w:t>
            </w:r>
          </w:p>
        </w:tc>
        <w:tc>
          <w:tcPr>
            <w:tcW w:type="dxa" w:w="1080"/>
          </w:tcPr>
          <w:p>
            <w:pPr>
              <w:pStyle w:val="tablecolhead"/>
            </w:pPr>
            <w:r>
              <w:t>End Price</w:t>
            </w:r>
          </w:p>
        </w:tc>
        <w:tc>
          <w:tcPr>
            <w:tcW w:type="dxa" w:w="864"/>
          </w:tcPr>
          <w:p>
            <w:pPr>
              <w:pStyle w:val="tablecolhead"/>
            </w:pPr>
            <w:r>
              <w:t>Return</w:t>
            </w:r>
          </w:p>
        </w:tc>
        <w:tc>
          <w:tcPr>
            <w:tcW w:type="dxa" w:w="2016"/>
          </w:tcPr>
          <w:p>
            <w:pPr>
              <w:pStyle w:val="tablecolhead"/>
            </w:pPr>
            <w:r>
              <w:t>Realized Market Regime</w:t>
            </w:r>
          </w:p>
        </w:tc>
      </w:tr>
      <w:tr>
        <w:tc>
          <w:tcPr>
            <w:tcW w:type="dxa" w:w="576"/>
          </w:tcPr>
          <w:p>
            <w:pPr>
              <w:pStyle w:val="tablecopy"/>
            </w:pPr>
            <w:r>
              <w:t>1</w:t>
            </w:r>
          </w:p>
        </w:tc>
        <w:tc>
          <w:tcPr>
            <w:tcW w:type="dxa" w:w="1224"/>
          </w:tcPr>
          <w:p>
            <w:pPr>
              <w:pStyle w:val="tablecopy"/>
            </w:pPr>
            <w:r>
              <w:t>2021-03-31</w:t>
            </w:r>
          </w:p>
        </w:tc>
        <w:tc>
          <w:tcPr>
            <w:tcW w:type="dxa" w:w="1224"/>
          </w:tcPr>
          <w:p>
            <w:pPr>
              <w:pStyle w:val="tablecopy"/>
            </w:pPr>
            <w:r>
              <w:t>2021-04-07</w:t>
            </w:r>
          </w:p>
        </w:tc>
        <w:tc>
          <w:tcPr>
            <w:tcW w:type="dxa" w:w="1080"/>
          </w:tcPr>
          <w:p>
            <w:pPr>
              <w:pStyle w:val="tablecopy"/>
            </w:pPr>
            <w:r>
              <w:t>$59,299</w:t>
            </w:r>
          </w:p>
        </w:tc>
        <w:tc>
          <w:tcPr>
            <w:tcW w:type="dxa" w:w="1080"/>
          </w:tcPr>
          <w:p>
            <w:pPr>
              <w:pStyle w:val="tablecopy"/>
            </w:pPr>
            <w:r>
              <w:t>$56,051</w:t>
            </w:r>
          </w:p>
        </w:tc>
        <w:tc>
          <w:tcPr>
            <w:tcW w:type="dxa" w:w="864"/>
          </w:tcPr>
          <w:p>
            <w:pPr>
              <w:pStyle w:val="tablecopy"/>
            </w:pPr>
            <w:r>
              <w:t>-5.5%</w:t>
            </w:r>
          </w:p>
        </w:tc>
        <w:tc>
          <w:tcPr>
            <w:tcW w:type="dxa" w:w="2016"/>
          </w:tcPr>
          <w:p>
            <w:pPr>
              <w:pStyle w:val="tablecopy"/>
            </w:pPr>
            <w:r>
              <w:t>Bear (Contraction)</w:t>
            </w:r>
          </w:p>
        </w:tc>
      </w:tr>
      <w:tr>
        <w:tc>
          <w:tcPr>
            <w:tcW w:type="dxa" w:w="576"/>
          </w:tcPr>
          <w:p>
            <w:pPr>
              <w:pStyle w:val="tablecopy"/>
            </w:pPr>
            <w:r>
              <w:t>2</w:t>
            </w:r>
          </w:p>
        </w:tc>
        <w:tc>
          <w:tcPr>
            <w:tcW w:type="dxa" w:w="1224"/>
          </w:tcPr>
          <w:p>
            <w:pPr>
              <w:pStyle w:val="tablecopy"/>
            </w:pPr>
            <w:r>
              <w:t>2021-06-17</w:t>
            </w:r>
          </w:p>
        </w:tc>
        <w:tc>
          <w:tcPr>
            <w:tcW w:type="dxa" w:w="1224"/>
          </w:tcPr>
          <w:p>
            <w:pPr>
              <w:pStyle w:val="tablecopy"/>
            </w:pPr>
            <w:r>
              <w:t>2021-06-24</w:t>
            </w:r>
          </w:p>
        </w:tc>
        <w:tc>
          <w:tcPr>
            <w:tcW w:type="dxa" w:w="1080"/>
          </w:tcPr>
          <w:p>
            <w:pPr>
              <w:pStyle w:val="tablecopy"/>
            </w:pPr>
            <w:r>
              <w:t>$38,509</w:t>
            </w:r>
          </w:p>
        </w:tc>
        <w:tc>
          <w:tcPr>
            <w:tcW w:type="dxa" w:w="1080"/>
          </w:tcPr>
          <w:p>
            <w:pPr>
              <w:pStyle w:val="tablecopy"/>
            </w:pPr>
            <w:r>
              <w:t>$33,887</w:t>
            </w:r>
          </w:p>
        </w:tc>
        <w:tc>
          <w:tcPr>
            <w:tcW w:type="dxa" w:w="864"/>
          </w:tcPr>
          <w:p>
            <w:pPr>
              <w:pStyle w:val="tablecopy"/>
            </w:pPr>
            <w:r>
              <w:t>-12.0%</w:t>
            </w:r>
          </w:p>
        </w:tc>
        <w:tc>
          <w:tcPr>
            <w:tcW w:type="dxa" w:w="2016"/>
          </w:tcPr>
          <w:p>
            <w:pPr>
              <w:pStyle w:val="tablecopy"/>
            </w:pPr>
            <w:r>
              <w:t>Flash Crash / Liquidity Shock</w:t>
            </w:r>
          </w:p>
        </w:tc>
      </w:tr>
      <w:tr>
        <w:tc>
          <w:tcPr>
            <w:tcW w:type="dxa" w:w="576"/>
          </w:tcPr>
          <w:p>
            <w:pPr>
              <w:pStyle w:val="tablecopy"/>
            </w:pPr>
            <w:r>
              <w:t>3</w:t>
            </w:r>
          </w:p>
        </w:tc>
        <w:tc>
          <w:tcPr>
            <w:tcW w:type="dxa" w:w="1224"/>
          </w:tcPr>
          <w:p>
            <w:pPr>
              <w:pStyle w:val="tablecopy"/>
            </w:pPr>
            <w:r>
              <w:t>2021-09-03</w:t>
            </w:r>
          </w:p>
        </w:tc>
        <w:tc>
          <w:tcPr>
            <w:tcW w:type="dxa" w:w="1224"/>
          </w:tcPr>
          <w:p>
            <w:pPr>
              <w:pStyle w:val="tablecopy"/>
            </w:pPr>
            <w:r>
              <w:t>2021-09-10</w:t>
            </w:r>
          </w:p>
        </w:tc>
        <w:tc>
          <w:tcPr>
            <w:tcW w:type="dxa" w:w="1080"/>
          </w:tcPr>
          <w:p>
            <w:pPr>
              <w:pStyle w:val="tablecopy"/>
            </w:pPr>
            <w:r>
              <w:t>$50,713</w:t>
            </w:r>
          </w:p>
        </w:tc>
        <w:tc>
          <w:tcPr>
            <w:tcW w:type="dxa" w:w="1080"/>
          </w:tcPr>
          <w:p>
            <w:pPr>
              <w:pStyle w:val="tablecopy"/>
            </w:pPr>
            <w:r>
              <w:t>$45,915</w:t>
            </w:r>
          </w:p>
        </w:tc>
        <w:tc>
          <w:tcPr>
            <w:tcW w:type="dxa" w:w="864"/>
          </w:tcPr>
          <w:p>
            <w:pPr>
              <w:pStyle w:val="tablecopy"/>
            </w:pPr>
            <w:r>
              <w:t>-9.5%</w:t>
            </w:r>
          </w:p>
        </w:tc>
        <w:tc>
          <w:tcPr>
            <w:tcW w:type="dxa" w:w="2016"/>
          </w:tcPr>
          <w:p>
            <w:pPr>
              <w:pStyle w:val="tablecopy"/>
            </w:pPr>
            <w:r>
              <w:t>Bear (Contraction)</w:t>
            </w:r>
          </w:p>
        </w:tc>
      </w:tr>
      <w:tr>
        <w:tc>
          <w:tcPr>
            <w:tcW w:type="dxa" w:w="576"/>
          </w:tcPr>
          <w:p>
            <w:pPr>
              <w:pStyle w:val="tablecopy"/>
            </w:pPr>
            <w:r>
              <w:t>4</w:t>
            </w:r>
          </w:p>
        </w:tc>
        <w:tc>
          <w:tcPr>
            <w:tcW w:type="dxa" w:w="1224"/>
          </w:tcPr>
          <w:p>
            <w:pPr>
              <w:pStyle w:val="tablecopy"/>
            </w:pPr>
            <w:r>
              <w:t>2021-11-20</w:t>
            </w:r>
          </w:p>
        </w:tc>
        <w:tc>
          <w:tcPr>
            <w:tcW w:type="dxa" w:w="1224"/>
          </w:tcPr>
          <w:p>
            <w:pPr>
              <w:pStyle w:val="tablecopy"/>
            </w:pPr>
            <w:r>
              <w:t>2021-11-27</w:t>
            </w:r>
          </w:p>
        </w:tc>
        <w:tc>
          <w:tcPr>
            <w:tcW w:type="dxa" w:w="1080"/>
          </w:tcPr>
          <w:p>
            <w:pPr>
              <w:pStyle w:val="tablecopy"/>
            </w:pPr>
            <w:r>
              <w:t>$58,462</w:t>
            </w:r>
          </w:p>
        </w:tc>
        <w:tc>
          <w:tcPr>
            <w:tcW w:type="dxa" w:w="1080"/>
          </w:tcPr>
          <w:p>
            <w:pPr>
              <w:pStyle w:val="tablecopy"/>
            </w:pPr>
            <w:r>
              <w:t>$54,395</w:t>
            </w:r>
          </w:p>
        </w:tc>
        <w:tc>
          <w:tcPr>
            <w:tcW w:type="dxa" w:w="864"/>
          </w:tcPr>
          <w:p>
            <w:pPr>
              <w:pStyle w:val="tablecopy"/>
            </w:pPr>
            <w:r>
              <w:t>-7.0%</w:t>
            </w:r>
          </w:p>
        </w:tc>
        <w:tc>
          <w:tcPr>
            <w:tcW w:type="dxa" w:w="2016"/>
          </w:tcPr>
          <w:p>
            <w:pPr>
              <w:pStyle w:val="tablecopy"/>
            </w:pPr>
            <w:r>
              <w:t>Bear (Contraction)</w:t>
            </w:r>
          </w:p>
        </w:tc>
      </w:tr>
      <w:tr>
        <w:tc>
          <w:tcPr>
            <w:tcW w:type="dxa" w:w="576"/>
          </w:tcPr>
          <w:p>
            <w:pPr>
              <w:pStyle w:val="tablecopy"/>
            </w:pPr>
            <w:r>
              <w:t>5</w:t>
            </w:r>
          </w:p>
        </w:tc>
        <w:tc>
          <w:tcPr>
            <w:tcW w:type="dxa" w:w="1224"/>
          </w:tcPr>
          <w:p>
            <w:pPr>
              <w:pStyle w:val="tablecopy"/>
            </w:pPr>
            <w:r>
              <w:t>2022-02-06</w:t>
            </w:r>
          </w:p>
        </w:tc>
        <w:tc>
          <w:tcPr>
            <w:tcW w:type="dxa" w:w="1224"/>
          </w:tcPr>
          <w:p>
            <w:pPr>
              <w:pStyle w:val="tablecopy"/>
            </w:pPr>
            <w:r>
              <w:t>2022-02-13</w:t>
            </w:r>
          </w:p>
        </w:tc>
        <w:tc>
          <w:tcPr>
            <w:tcW w:type="dxa" w:w="1080"/>
          </w:tcPr>
          <w:p>
            <w:pPr>
              <w:pStyle w:val="tablecopy"/>
            </w:pPr>
            <w:r>
              <w:t>$41,606</w:t>
            </w:r>
          </w:p>
        </w:tc>
        <w:tc>
          <w:tcPr>
            <w:tcW w:type="dxa" w:w="1080"/>
          </w:tcPr>
          <w:p>
            <w:pPr>
              <w:pStyle w:val="tablecopy"/>
            </w:pPr>
            <w:r>
              <w:t>$42,391</w:t>
            </w:r>
          </w:p>
        </w:tc>
        <w:tc>
          <w:tcPr>
            <w:tcW w:type="dxa" w:w="864"/>
          </w:tcPr>
          <w:p>
            <w:pPr>
              <w:pStyle w:val="tablecopy"/>
            </w:pPr>
            <w:r>
              <w:t>+1.9%</w:t>
            </w:r>
          </w:p>
        </w:tc>
        <w:tc>
          <w:tcPr>
            <w:tcW w:type="dxa" w:w="2016"/>
          </w:tcPr>
          <w:p>
            <w:pPr>
              <w:pStyle w:val="tablecopy"/>
            </w:pPr>
            <w:r>
              <w:t>Consolidation (Sideways)</w:t>
            </w:r>
          </w:p>
        </w:tc>
      </w:tr>
      <w:tr>
        <w:tc>
          <w:tcPr>
            <w:tcW w:type="dxa" w:w="576"/>
          </w:tcPr>
          <w:p>
            <w:pPr>
              <w:pStyle w:val="tablecopy"/>
            </w:pPr>
            <w:r>
              <w:t>6</w:t>
            </w:r>
          </w:p>
        </w:tc>
        <w:tc>
          <w:tcPr>
            <w:tcW w:type="dxa" w:w="1224"/>
          </w:tcPr>
          <w:p>
            <w:pPr>
              <w:pStyle w:val="tablecopy"/>
            </w:pPr>
            <w:r>
              <w:t>2022-04-24</w:t>
            </w:r>
          </w:p>
        </w:tc>
        <w:tc>
          <w:tcPr>
            <w:tcW w:type="dxa" w:w="1224"/>
          </w:tcPr>
          <w:p>
            <w:pPr>
              <w:pStyle w:val="tablecopy"/>
            </w:pPr>
            <w:r>
              <w:t>2022-05-01</w:t>
            </w:r>
          </w:p>
        </w:tc>
        <w:tc>
          <w:tcPr>
            <w:tcW w:type="dxa" w:w="1080"/>
          </w:tcPr>
          <w:p>
            <w:pPr>
              <w:pStyle w:val="tablecopy"/>
            </w:pPr>
            <w:r>
              <w:t>$39,662</w:t>
            </w:r>
          </w:p>
        </w:tc>
        <w:tc>
          <w:tcPr>
            <w:tcW w:type="dxa" w:w="1080"/>
          </w:tcPr>
          <w:p>
            <w:pPr>
              <w:pStyle w:val="tablecopy"/>
            </w:pPr>
            <w:r>
              <w:t>$38,382</w:t>
            </w:r>
          </w:p>
        </w:tc>
        <w:tc>
          <w:tcPr>
            <w:tcW w:type="dxa" w:w="864"/>
          </w:tcPr>
          <w:p>
            <w:pPr>
              <w:pStyle w:val="tablecopy"/>
            </w:pPr>
            <w:r>
              <w:t>-3.2%</w:t>
            </w:r>
          </w:p>
        </w:tc>
        <w:tc>
          <w:tcPr>
            <w:tcW w:type="dxa" w:w="2016"/>
          </w:tcPr>
          <w:p>
            <w:pPr>
              <w:pStyle w:val="tablecopy"/>
            </w:pPr>
            <w:r>
              <w:t>Consolidation (Sideways)</w:t>
            </w:r>
          </w:p>
        </w:tc>
      </w:tr>
      <w:tr>
        <w:tc>
          <w:tcPr>
            <w:tcW w:type="dxa" w:w="576"/>
          </w:tcPr>
          <w:p>
            <w:pPr>
              <w:pStyle w:val="tablecopy"/>
            </w:pPr>
            <w:r>
              <w:t>7</w:t>
            </w:r>
          </w:p>
        </w:tc>
        <w:tc>
          <w:tcPr>
            <w:tcW w:type="dxa" w:w="1224"/>
          </w:tcPr>
          <w:p>
            <w:pPr>
              <w:pStyle w:val="tablecopy"/>
            </w:pPr>
            <w:r>
              <w:t>2022-07-11</w:t>
            </w:r>
          </w:p>
        </w:tc>
        <w:tc>
          <w:tcPr>
            <w:tcW w:type="dxa" w:w="1224"/>
          </w:tcPr>
          <w:p>
            <w:pPr>
              <w:pStyle w:val="tablecopy"/>
            </w:pPr>
            <w:r>
              <w:t>2022-07-18</w:t>
            </w:r>
          </w:p>
        </w:tc>
        <w:tc>
          <w:tcPr>
            <w:tcW w:type="dxa" w:w="1080"/>
          </w:tcPr>
          <w:p>
            <w:pPr>
              <w:pStyle w:val="tablecopy"/>
            </w:pPr>
            <w:r>
              <w:t>$20,473</w:t>
            </w:r>
          </w:p>
        </w:tc>
        <w:tc>
          <w:tcPr>
            <w:tcW w:type="dxa" w:w="1080"/>
          </w:tcPr>
          <w:p>
            <w:pPr>
              <w:pStyle w:val="tablecopy"/>
            </w:pPr>
            <w:r>
              <w:t>$22,200</w:t>
            </w:r>
          </w:p>
        </w:tc>
        <w:tc>
          <w:tcPr>
            <w:tcW w:type="dxa" w:w="864"/>
          </w:tcPr>
          <w:p>
            <w:pPr>
              <w:pStyle w:val="tablecopy"/>
            </w:pPr>
            <w:r>
              <w:t>+8.4%</w:t>
            </w:r>
          </w:p>
        </w:tc>
        <w:tc>
          <w:tcPr>
            <w:tcW w:type="dxa" w:w="2016"/>
          </w:tcPr>
          <w:p>
            <w:pPr>
              <w:pStyle w:val="tablecopy"/>
            </w:pPr>
            <w:r>
              <w:t>Bull (Expansion)</w:t>
            </w:r>
          </w:p>
        </w:tc>
      </w:tr>
      <w:tr>
        <w:tc>
          <w:tcPr>
            <w:tcW w:type="dxa" w:w="576"/>
          </w:tcPr>
          <w:p>
            <w:pPr>
              <w:pStyle w:val="tablecopy"/>
            </w:pPr>
            <w:r>
              <w:t>8</w:t>
            </w:r>
          </w:p>
        </w:tc>
        <w:tc>
          <w:tcPr>
            <w:tcW w:type="dxa" w:w="1224"/>
          </w:tcPr>
          <w:p>
            <w:pPr>
              <w:pStyle w:val="tablecopy"/>
            </w:pPr>
            <w:r>
              <w:t>2022-09-27</w:t>
            </w:r>
          </w:p>
        </w:tc>
        <w:tc>
          <w:tcPr>
            <w:tcW w:type="dxa" w:w="1224"/>
          </w:tcPr>
          <w:p>
            <w:pPr>
              <w:pStyle w:val="tablecopy"/>
            </w:pPr>
            <w:r>
              <w:t>2022-10-04</w:t>
            </w:r>
          </w:p>
        </w:tc>
        <w:tc>
          <w:tcPr>
            <w:tcW w:type="dxa" w:w="1080"/>
          </w:tcPr>
          <w:p>
            <w:pPr>
              <w:pStyle w:val="tablecopy"/>
            </w:pPr>
            <w:r>
              <w:t>$20,047</w:t>
            </w:r>
          </w:p>
        </w:tc>
        <w:tc>
          <w:tcPr>
            <w:tcW w:type="dxa" w:w="1080"/>
          </w:tcPr>
          <w:p>
            <w:pPr>
              <w:pStyle w:val="tablecopy"/>
            </w:pPr>
            <w:r>
              <w:t>$19,598</w:t>
            </w:r>
          </w:p>
        </w:tc>
        <w:tc>
          <w:tcPr>
            <w:tcW w:type="dxa" w:w="864"/>
          </w:tcPr>
          <w:p>
            <w:pPr>
              <w:pStyle w:val="tablecopy"/>
            </w:pPr>
            <w:r>
              <w:t>-2.2%</w:t>
            </w:r>
          </w:p>
        </w:tc>
        <w:tc>
          <w:tcPr>
            <w:tcW w:type="dxa" w:w="2016"/>
          </w:tcPr>
          <w:p>
            <w:pPr>
              <w:pStyle w:val="tablecopy"/>
            </w:pPr>
            <w:r>
              <w:t>Consolidation (Sideways)</w:t>
            </w:r>
          </w:p>
        </w:tc>
      </w:tr>
      <w:tr>
        <w:tc>
          <w:tcPr>
            <w:tcW w:type="dxa" w:w="576"/>
          </w:tcPr>
          <w:p>
            <w:pPr>
              <w:pStyle w:val="tablecopy"/>
            </w:pPr>
            <w:r>
              <w:t>9</w:t>
            </w:r>
          </w:p>
        </w:tc>
        <w:tc>
          <w:tcPr>
            <w:tcW w:type="dxa" w:w="1224"/>
          </w:tcPr>
          <w:p>
            <w:pPr>
              <w:pStyle w:val="tablecopy"/>
            </w:pPr>
            <w:r>
              <w:t>2022-12-13</w:t>
            </w:r>
          </w:p>
        </w:tc>
        <w:tc>
          <w:tcPr>
            <w:tcW w:type="dxa" w:w="1224"/>
          </w:tcPr>
          <w:p>
            <w:pPr>
              <w:pStyle w:val="tablecopy"/>
            </w:pPr>
            <w:r>
              <w:t>2022-12-20</w:t>
            </w:r>
          </w:p>
        </w:tc>
        <w:tc>
          <w:tcPr>
            <w:tcW w:type="dxa" w:w="1080"/>
          </w:tcPr>
          <w:p>
            <w:pPr>
              <w:pStyle w:val="tablecopy"/>
            </w:pPr>
            <w:r>
              <w:t>$17,768</w:t>
            </w:r>
          </w:p>
        </w:tc>
        <w:tc>
          <w:tcPr>
            <w:tcW w:type="dxa" w:w="1080"/>
          </w:tcPr>
          <w:p>
            <w:pPr>
              <w:pStyle w:val="tablecopy"/>
            </w:pPr>
            <w:r>
              <w:t>$16,859</w:t>
            </w:r>
          </w:p>
        </w:tc>
        <w:tc>
          <w:tcPr>
            <w:tcW w:type="dxa" w:w="864"/>
          </w:tcPr>
          <w:p>
            <w:pPr>
              <w:pStyle w:val="tablecopy"/>
            </w:pPr>
            <w:r>
              <w:t>-5.1%</w:t>
            </w:r>
          </w:p>
        </w:tc>
        <w:tc>
          <w:tcPr>
            <w:tcW w:type="dxa" w:w="2016"/>
          </w:tcPr>
          <w:p>
            <w:pPr>
              <w:pStyle w:val="tablecopy"/>
            </w:pPr>
            <w:r>
              <w:t>Bear (Post-FTX Contraction)</w:t>
            </w:r>
          </w:p>
        </w:tc>
      </w:tr>
      <w:tr>
        <w:tc>
          <w:tcPr>
            <w:tcW w:type="dxa" w:w="576"/>
          </w:tcPr>
          <w:p>
            <w:pPr>
              <w:pStyle w:val="tablecopy"/>
            </w:pPr>
            <w:r>
              <w:t>10</w:t>
            </w:r>
          </w:p>
        </w:tc>
        <w:tc>
          <w:tcPr>
            <w:tcW w:type="dxa" w:w="1224"/>
          </w:tcPr>
          <w:p>
            <w:pPr>
              <w:pStyle w:val="tablecopy"/>
            </w:pPr>
            <w:r>
              <w:t>2023-03-01</w:t>
            </w:r>
          </w:p>
        </w:tc>
        <w:tc>
          <w:tcPr>
            <w:tcW w:type="dxa" w:w="1224"/>
          </w:tcPr>
          <w:p>
            <w:pPr>
              <w:pStyle w:val="tablecopy"/>
            </w:pPr>
            <w:r>
              <w:t>2023-03-08</w:t>
            </w:r>
          </w:p>
        </w:tc>
        <w:tc>
          <w:tcPr>
            <w:tcW w:type="dxa" w:w="1080"/>
          </w:tcPr>
          <w:p>
            <w:pPr>
              <w:pStyle w:val="tablecopy"/>
            </w:pPr>
            <w:r>
              <w:t>$23,680</w:t>
            </w:r>
          </w:p>
        </w:tc>
        <w:tc>
          <w:tcPr>
            <w:tcW w:type="dxa" w:w="1080"/>
          </w:tcPr>
          <w:p>
            <w:pPr>
              <w:pStyle w:val="tablecopy"/>
            </w:pPr>
            <w:r>
              <w:t>$21,989</w:t>
            </w:r>
          </w:p>
        </w:tc>
        <w:tc>
          <w:tcPr>
            <w:tcW w:type="dxa" w:w="864"/>
          </w:tcPr>
          <w:p>
            <w:pPr>
              <w:pStyle w:val="tablecopy"/>
            </w:pPr>
            <w:r>
              <w:t>-7.1%</w:t>
            </w:r>
          </w:p>
        </w:tc>
        <w:tc>
          <w:tcPr>
            <w:tcW w:type="dxa" w:w="2016"/>
          </w:tcPr>
          <w:p>
            <w:pPr>
              <w:pStyle w:val="tablecopy"/>
            </w:pPr>
            <w:r>
              <w:t>Bear (Banking Shock)</w:t>
            </w:r>
          </w:p>
        </w:tc>
      </w:tr>
      <w:tr>
        <w:tc>
          <w:tcPr>
            <w:tcW w:type="dxa" w:w="576"/>
          </w:tcPr>
          <w:p>
            <w:pPr>
              <w:pStyle w:val="tablecopy"/>
            </w:pPr>
            <w:r>
              <w:t>11</w:t>
            </w:r>
          </w:p>
        </w:tc>
        <w:tc>
          <w:tcPr>
            <w:tcW w:type="dxa" w:w="1224"/>
          </w:tcPr>
          <w:p>
            <w:pPr>
              <w:pStyle w:val="tablecopy"/>
            </w:pPr>
            <w:r>
              <w:t>2023-05-18</w:t>
            </w:r>
          </w:p>
        </w:tc>
        <w:tc>
          <w:tcPr>
            <w:tcW w:type="dxa" w:w="1224"/>
          </w:tcPr>
          <w:p>
            <w:pPr>
              <w:pStyle w:val="tablecopy"/>
            </w:pPr>
            <w:r>
              <w:t>2023-05-25</w:t>
            </w:r>
          </w:p>
        </w:tc>
        <w:tc>
          <w:tcPr>
            <w:tcW w:type="dxa" w:w="1080"/>
          </w:tcPr>
          <w:p>
            <w:pPr>
              <w:pStyle w:val="tablecopy"/>
            </w:pPr>
            <w:r>
              <w:t>$27,389</w:t>
            </w:r>
          </w:p>
        </w:tc>
        <w:tc>
          <w:tcPr>
            <w:tcW w:type="dxa" w:w="1080"/>
          </w:tcPr>
          <w:p>
            <w:pPr>
              <w:pStyle w:val="tablecopy"/>
            </w:pPr>
            <w:r>
              <w:t>$26,131</w:t>
            </w:r>
          </w:p>
        </w:tc>
        <w:tc>
          <w:tcPr>
            <w:tcW w:type="dxa" w:w="864"/>
          </w:tcPr>
          <w:p>
            <w:pPr>
              <w:pStyle w:val="tablecopy"/>
            </w:pPr>
            <w:r>
              <w:t>-4.6%</w:t>
            </w:r>
          </w:p>
        </w:tc>
        <w:tc>
          <w:tcPr>
            <w:tcW w:type="dxa" w:w="2016"/>
          </w:tcPr>
          <w:p>
            <w:pPr>
              <w:pStyle w:val="tablecopy"/>
            </w:pPr>
            <w:r>
              <w:t>Bear (Contraction)</w:t>
            </w:r>
          </w:p>
        </w:tc>
      </w:tr>
      <w:tr>
        <w:tc>
          <w:tcPr>
            <w:tcW w:type="dxa" w:w="576"/>
          </w:tcPr>
          <w:p>
            <w:pPr>
              <w:pStyle w:val="tablecopy"/>
            </w:pPr>
            <w:r>
              <w:t>12</w:t>
            </w:r>
          </w:p>
        </w:tc>
        <w:tc>
          <w:tcPr>
            <w:tcW w:type="dxa" w:w="1224"/>
          </w:tcPr>
          <w:p>
            <w:pPr>
              <w:pStyle w:val="tablecopy"/>
            </w:pPr>
            <w:r>
              <w:t>2023-08-04</w:t>
            </w:r>
          </w:p>
        </w:tc>
        <w:tc>
          <w:tcPr>
            <w:tcW w:type="dxa" w:w="1224"/>
          </w:tcPr>
          <w:p>
            <w:pPr>
              <w:pStyle w:val="tablecopy"/>
            </w:pPr>
            <w:r>
              <w:t>2023-08-11</w:t>
            </w:r>
          </w:p>
        </w:tc>
        <w:tc>
          <w:tcPr>
            <w:tcW w:type="dxa" w:w="1080"/>
          </w:tcPr>
          <w:p>
            <w:pPr>
              <w:pStyle w:val="tablecopy"/>
            </w:pPr>
            <w:r>
              <w:t>$29,198</w:t>
            </w:r>
          </w:p>
        </w:tc>
        <w:tc>
          <w:tcPr>
            <w:tcW w:type="dxa" w:w="1080"/>
          </w:tcPr>
          <w:p>
            <w:pPr>
              <w:pStyle w:val="tablecopy"/>
            </w:pPr>
            <w:r>
              <w:t>$29,482</w:t>
            </w:r>
          </w:p>
        </w:tc>
        <w:tc>
          <w:tcPr>
            <w:tcW w:type="dxa" w:w="864"/>
          </w:tcPr>
          <w:p>
            <w:pPr>
              <w:pStyle w:val="tablecopy"/>
            </w:pPr>
            <w:r>
              <w:t>+1.0%</w:t>
            </w:r>
          </w:p>
        </w:tc>
        <w:tc>
          <w:tcPr>
            <w:tcW w:type="dxa" w:w="2016"/>
          </w:tcPr>
          <w:p>
            <w:pPr>
              <w:pStyle w:val="tablecopy"/>
            </w:pPr>
            <w:r>
              <w:t>Consolidation (Sideways)</w:t>
            </w:r>
          </w:p>
        </w:tc>
      </w:tr>
      <w:tr>
        <w:tc>
          <w:tcPr>
            <w:tcW w:type="dxa" w:w="576"/>
          </w:tcPr>
          <w:p>
            <w:pPr>
              <w:pStyle w:val="tablecopy"/>
            </w:pPr>
            <w:r>
              <w:t>13</w:t>
            </w:r>
          </w:p>
        </w:tc>
        <w:tc>
          <w:tcPr>
            <w:tcW w:type="dxa" w:w="1224"/>
          </w:tcPr>
          <w:p>
            <w:pPr>
              <w:pStyle w:val="tablecopy"/>
            </w:pPr>
            <w:r>
              <w:t>2023-10-20</w:t>
            </w:r>
          </w:p>
        </w:tc>
        <w:tc>
          <w:tcPr>
            <w:tcW w:type="dxa" w:w="1224"/>
          </w:tcPr>
          <w:p>
            <w:pPr>
              <w:pStyle w:val="tablecopy"/>
            </w:pPr>
            <w:r>
              <w:t>2023-10-27</w:t>
            </w:r>
          </w:p>
        </w:tc>
        <w:tc>
          <w:tcPr>
            <w:tcW w:type="dxa" w:w="1080"/>
          </w:tcPr>
          <w:p>
            <w:pPr>
              <w:pStyle w:val="tablecopy"/>
            </w:pPr>
            <w:r>
              <w:t>$29,486</w:t>
            </w:r>
          </w:p>
        </w:tc>
        <w:tc>
          <w:tcPr>
            <w:tcW w:type="dxa" w:w="1080"/>
          </w:tcPr>
          <w:p>
            <w:pPr>
              <w:pStyle w:val="tablecopy"/>
            </w:pPr>
            <w:r>
              <w:t>$33,600</w:t>
            </w:r>
          </w:p>
        </w:tc>
        <w:tc>
          <w:tcPr>
            <w:tcW w:type="dxa" w:w="864"/>
          </w:tcPr>
          <w:p>
            <w:pPr>
              <w:pStyle w:val="tablecopy"/>
            </w:pPr>
            <w:r>
              <w:t>+14.0%</w:t>
            </w:r>
          </w:p>
        </w:tc>
        <w:tc>
          <w:tcPr>
            <w:tcW w:type="dxa" w:w="2016"/>
          </w:tcPr>
          <w:p>
            <w:pPr>
              <w:pStyle w:val="tablecopy"/>
            </w:pPr>
            <w:r>
              <w:t>Bull (ETF Run Expansion)</w:t>
            </w:r>
          </w:p>
        </w:tc>
      </w:tr>
      <w:tr>
        <w:tc>
          <w:tcPr>
            <w:tcW w:type="dxa" w:w="576"/>
          </w:tcPr>
          <w:p>
            <w:pPr>
              <w:pStyle w:val="tablecopy"/>
            </w:pPr>
            <w:r>
              <w:t>14</w:t>
            </w:r>
          </w:p>
        </w:tc>
        <w:tc>
          <w:tcPr>
            <w:tcW w:type="dxa" w:w="1224"/>
          </w:tcPr>
          <w:p>
            <w:pPr>
              <w:pStyle w:val="tablecopy"/>
            </w:pPr>
            <w:r>
              <w:t>2024-01-06</w:t>
            </w:r>
          </w:p>
        </w:tc>
        <w:tc>
          <w:tcPr>
            <w:tcW w:type="dxa" w:w="1224"/>
          </w:tcPr>
          <w:p>
            <w:pPr>
              <w:pStyle w:val="tablecopy"/>
            </w:pPr>
            <w:r>
              <w:t>2024-01-13</w:t>
            </w:r>
          </w:p>
        </w:tc>
        <w:tc>
          <w:tcPr>
            <w:tcW w:type="dxa" w:w="1080"/>
          </w:tcPr>
          <w:p>
            <w:pPr>
              <w:pStyle w:val="tablecopy"/>
            </w:pPr>
            <w:r>
              <w:t>$43,672</w:t>
            </w:r>
          </w:p>
        </w:tc>
        <w:tc>
          <w:tcPr>
            <w:tcW w:type="dxa" w:w="1080"/>
          </w:tcPr>
          <w:p>
            <w:pPr>
              <w:pStyle w:val="tablecopy"/>
            </w:pPr>
            <w:r>
              <w:t>$42,700</w:t>
            </w:r>
          </w:p>
        </w:tc>
        <w:tc>
          <w:tcPr>
            <w:tcW w:type="dxa" w:w="864"/>
          </w:tcPr>
          <w:p>
            <w:pPr>
              <w:pStyle w:val="tablecopy"/>
            </w:pPr>
            <w:r>
              <w:t>-2.2%</w:t>
            </w:r>
          </w:p>
        </w:tc>
        <w:tc>
          <w:tcPr>
            <w:tcW w:type="dxa" w:w="2016"/>
          </w:tcPr>
          <w:p>
            <w:pPr>
              <w:pStyle w:val="tablecopy"/>
            </w:pPr>
            <w:r>
              <w:t>Consolidation (ETF Launch)</w:t>
            </w:r>
          </w:p>
        </w:tc>
      </w:tr>
      <w:tr>
        <w:tc>
          <w:tcPr>
            <w:tcW w:type="dxa" w:w="576"/>
          </w:tcPr>
          <w:p>
            <w:pPr>
              <w:pStyle w:val="tablecopy"/>
            </w:pPr>
            <w:r>
              <w:t>15</w:t>
            </w:r>
          </w:p>
        </w:tc>
        <w:tc>
          <w:tcPr>
            <w:tcW w:type="dxa" w:w="1224"/>
          </w:tcPr>
          <w:p>
            <w:pPr>
              <w:pStyle w:val="tablecopy"/>
            </w:pPr>
            <w:r>
              <w:t>2024-03-24</w:t>
            </w:r>
          </w:p>
        </w:tc>
        <w:tc>
          <w:tcPr>
            <w:tcW w:type="dxa" w:w="1224"/>
          </w:tcPr>
          <w:p>
            <w:pPr>
              <w:pStyle w:val="tablecopy"/>
            </w:pPr>
            <w:r>
              <w:t>2024-03-31</w:t>
            </w:r>
          </w:p>
        </w:tc>
        <w:tc>
          <w:tcPr>
            <w:tcW w:type="dxa" w:w="1080"/>
          </w:tcPr>
          <w:p>
            <w:pPr>
              <w:pStyle w:val="tablecopy"/>
            </w:pPr>
            <w:r>
              <w:t>$64,218</w:t>
            </w:r>
          </w:p>
        </w:tc>
        <w:tc>
          <w:tcPr>
            <w:tcW w:type="dxa" w:w="1080"/>
          </w:tcPr>
          <w:p>
            <w:pPr>
              <w:pStyle w:val="tablecopy"/>
            </w:pPr>
            <w:r>
              <w:t>$69,917</w:t>
            </w:r>
          </w:p>
        </w:tc>
        <w:tc>
          <w:tcPr>
            <w:tcW w:type="dxa" w:w="864"/>
          </w:tcPr>
          <w:p>
            <w:pPr>
              <w:pStyle w:val="tablecopy"/>
            </w:pPr>
            <w:r>
              <w:t>+8.9%</w:t>
            </w:r>
          </w:p>
        </w:tc>
        <w:tc>
          <w:tcPr>
            <w:tcW w:type="dxa" w:w="2016"/>
          </w:tcPr>
          <w:p>
            <w:pPr>
              <w:pStyle w:val="tablecopy"/>
            </w:pPr>
            <w:r>
              <w:t>Bull (ATH Expansion)</w:t>
            </w:r>
          </w:p>
        </w:tc>
      </w:tr>
      <w:tr>
        <w:tc>
          <w:tcPr>
            <w:tcW w:type="dxa" w:w="576"/>
          </w:tcPr>
          <w:p>
            <w:pPr>
              <w:pStyle w:val="tablecopy"/>
            </w:pPr>
            <w:r>
              <w:t>16</w:t>
            </w:r>
          </w:p>
        </w:tc>
        <w:tc>
          <w:tcPr>
            <w:tcW w:type="dxa" w:w="1224"/>
          </w:tcPr>
          <w:p>
            <w:pPr>
              <w:pStyle w:val="tablecopy"/>
            </w:pPr>
            <w:r>
              <w:t>2024-06-09</w:t>
            </w:r>
          </w:p>
        </w:tc>
        <w:tc>
          <w:tcPr>
            <w:tcW w:type="dxa" w:w="1224"/>
          </w:tcPr>
          <w:p>
            <w:pPr>
              <w:pStyle w:val="tablecopy"/>
            </w:pPr>
            <w:r>
              <w:t>2024-06-16</w:t>
            </w:r>
          </w:p>
        </w:tc>
        <w:tc>
          <w:tcPr>
            <w:tcW w:type="dxa" w:w="1080"/>
          </w:tcPr>
          <w:p>
            <w:pPr>
              <w:pStyle w:val="tablecopy"/>
            </w:pPr>
            <w:r>
              <w:t>$69,750</w:t>
            </w:r>
          </w:p>
        </w:tc>
        <w:tc>
          <w:tcPr>
            <w:tcW w:type="dxa" w:w="1080"/>
          </w:tcPr>
          <w:p>
            <w:pPr>
              <w:pStyle w:val="tablecopy"/>
            </w:pPr>
            <w:r>
              <w:t>$66,518</w:t>
            </w:r>
          </w:p>
        </w:tc>
        <w:tc>
          <w:tcPr>
            <w:tcW w:type="dxa" w:w="864"/>
          </w:tcPr>
          <w:p>
            <w:pPr>
              <w:pStyle w:val="tablecopy"/>
            </w:pPr>
            <w:r>
              <w:t>-4.6%</w:t>
            </w:r>
          </w:p>
        </w:tc>
        <w:tc>
          <w:tcPr>
            <w:tcW w:type="dxa" w:w="2016"/>
          </w:tcPr>
          <w:p>
            <w:pPr>
              <w:pStyle w:val="tablecopy"/>
            </w:pPr>
            <w:r>
              <w:t>Bear (Post-Halving Contraction)</w:t>
            </w:r>
          </w:p>
        </w:tc>
      </w:tr>
      <w:tr>
        <w:tc>
          <w:tcPr>
            <w:tcW w:type="dxa" w:w="576"/>
          </w:tcPr>
          <w:p>
            <w:pPr>
              <w:pStyle w:val="tablecopy"/>
            </w:pPr>
            <w:r>
              <w:t>17</w:t>
            </w:r>
          </w:p>
        </w:tc>
        <w:tc>
          <w:tcPr>
            <w:tcW w:type="dxa" w:w="1224"/>
          </w:tcPr>
          <w:p>
            <w:pPr>
              <w:pStyle w:val="tablecopy"/>
            </w:pPr>
            <w:r>
              <w:t>2024-08-26</w:t>
            </w:r>
          </w:p>
        </w:tc>
        <w:tc>
          <w:tcPr>
            <w:tcW w:type="dxa" w:w="1224"/>
          </w:tcPr>
          <w:p>
            <w:pPr>
              <w:pStyle w:val="tablecopy"/>
            </w:pPr>
            <w:r>
              <w:t>2024-09-02</w:t>
            </w:r>
          </w:p>
        </w:tc>
        <w:tc>
          <w:tcPr>
            <w:tcW w:type="dxa" w:w="1080"/>
          </w:tcPr>
          <w:p>
            <w:pPr>
              <w:pStyle w:val="tablecopy"/>
            </w:pPr>
            <w:r>
              <w:t>$63,501</w:t>
            </w:r>
          </w:p>
        </w:tc>
        <w:tc>
          <w:tcPr>
            <w:tcW w:type="dxa" w:w="1080"/>
          </w:tcPr>
          <w:p>
            <w:pPr>
              <w:pStyle w:val="tablecopy"/>
            </w:pPr>
            <w:r>
              <w:t>$58,181</w:t>
            </w:r>
          </w:p>
        </w:tc>
        <w:tc>
          <w:tcPr>
            <w:tcW w:type="dxa" w:w="864"/>
          </w:tcPr>
          <w:p>
            <w:pPr>
              <w:pStyle w:val="tablecopy"/>
            </w:pPr>
            <w:r>
              <w:t>-8.4%</w:t>
            </w:r>
          </w:p>
        </w:tc>
        <w:tc>
          <w:tcPr>
            <w:tcW w:type="dxa" w:w="2016"/>
          </w:tcPr>
          <w:p>
            <w:pPr>
              <w:pStyle w:val="tablecopy"/>
            </w:pPr>
            <w:r>
              <w:t>Bear (Contraction)</w:t>
            </w:r>
          </w:p>
        </w:tc>
      </w:tr>
      <w:tr>
        <w:tc>
          <w:tcPr>
            <w:tcW w:type="dxa" w:w="576"/>
          </w:tcPr>
          <w:p>
            <w:pPr>
              <w:pStyle w:val="tablecopy"/>
            </w:pPr>
            <w:r>
              <w:t>18</w:t>
            </w:r>
          </w:p>
        </w:tc>
        <w:tc>
          <w:tcPr>
            <w:tcW w:type="dxa" w:w="1224"/>
          </w:tcPr>
          <w:p>
            <w:pPr>
              <w:pStyle w:val="tablecopy"/>
            </w:pPr>
            <w:r>
              <w:t>2024-11-12</w:t>
            </w:r>
          </w:p>
        </w:tc>
        <w:tc>
          <w:tcPr>
            <w:tcW w:type="dxa" w:w="1224"/>
          </w:tcPr>
          <w:p>
            <w:pPr>
              <w:pStyle w:val="tablecopy"/>
            </w:pPr>
            <w:r>
              <w:t>2024-11-19</w:t>
            </w:r>
          </w:p>
        </w:tc>
        <w:tc>
          <w:tcPr>
            <w:tcW w:type="dxa" w:w="1080"/>
          </w:tcPr>
          <w:p>
            <w:pPr>
              <w:pStyle w:val="tablecopy"/>
            </w:pPr>
            <w:r>
              <w:t>$88,983</w:t>
            </w:r>
          </w:p>
        </w:tc>
        <w:tc>
          <w:tcPr>
            <w:tcW w:type="dxa" w:w="1080"/>
          </w:tcPr>
          <w:p>
            <w:pPr>
              <w:pStyle w:val="tablecopy"/>
            </w:pPr>
            <w:r>
              <w:t>$91,959</w:t>
            </w:r>
          </w:p>
        </w:tc>
        <w:tc>
          <w:tcPr>
            <w:tcW w:type="dxa" w:w="864"/>
          </w:tcPr>
          <w:p>
            <w:pPr>
              <w:pStyle w:val="tablecopy"/>
            </w:pPr>
            <w:r>
              <w:t>+3.3%</w:t>
            </w:r>
          </w:p>
        </w:tc>
        <w:tc>
          <w:tcPr>
            <w:tcW w:type="dxa" w:w="2016"/>
          </w:tcPr>
          <w:p>
            <w:pPr>
              <w:pStyle w:val="tablecopy"/>
            </w:pPr>
            <w:r>
              <w:t>Consolidation (Post-Election)</w:t>
            </w:r>
          </w:p>
        </w:tc>
      </w:tr>
      <w:tr>
        <w:tc>
          <w:tcPr>
            <w:tcW w:type="dxa" w:w="576"/>
          </w:tcPr>
          <w:p>
            <w:pPr>
              <w:pStyle w:val="tablecopy"/>
            </w:pPr>
            <w:r>
              <w:t>19</w:t>
            </w:r>
          </w:p>
        </w:tc>
        <w:tc>
          <w:tcPr>
            <w:tcW w:type="dxa" w:w="1224"/>
          </w:tcPr>
          <w:p>
            <w:pPr>
              <w:pStyle w:val="tablecopy"/>
            </w:pPr>
            <w:r>
              <w:t>2025-01-29</w:t>
            </w:r>
          </w:p>
        </w:tc>
        <w:tc>
          <w:tcPr>
            <w:tcW w:type="dxa" w:w="1224"/>
          </w:tcPr>
          <w:p>
            <w:pPr>
              <w:pStyle w:val="tablecopy"/>
            </w:pPr>
            <w:r>
              <w:t>2025-02-04</w:t>
            </w:r>
          </w:p>
        </w:tc>
        <w:tc>
          <w:tcPr>
            <w:tcW w:type="dxa" w:w="1080"/>
          </w:tcPr>
          <w:p>
            <w:pPr>
              <w:pStyle w:val="tablecopy"/>
            </w:pPr>
            <w:r>
              <w:t>$101,703</w:t>
            </w:r>
          </w:p>
        </w:tc>
        <w:tc>
          <w:tcPr>
            <w:tcW w:type="dxa" w:w="1080"/>
          </w:tcPr>
          <w:p>
            <w:pPr>
              <w:pStyle w:val="tablecopy"/>
            </w:pPr>
            <w:r>
              <w:t>$97,763</w:t>
            </w:r>
          </w:p>
        </w:tc>
        <w:tc>
          <w:tcPr>
            <w:tcW w:type="dxa" w:w="864"/>
          </w:tcPr>
          <w:p>
            <w:pPr>
              <w:pStyle w:val="tablecopy"/>
            </w:pPr>
            <w:r>
              <w:t>-3.9%</w:t>
            </w:r>
          </w:p>
        </w:tc>
        <w:tc>
          <w:tcPr>
            <w:tcW w:type="dxa" w:w="2016"/>
          </w:tcPr>
          <w:p>
            <w:pPr>
              <w:pStyle w:val="tablecopy"/>
            </w:pPr>
            <w:r>
              <w:t>Consolidation (Sideways)</w:t>
            </w:r>
          </w:p>
        </w:tc>
      </w:tr>
      <w:tr>
        <w:tc>
          <w:tcPr>
            <w:tcW w:type="dxa" w:w="576"/>
          </w:tcPr>
          <w:p>
            <w:pPr>
              <w:pStyle w:val="tablecopy"/>
            </w:pPr>
            <w:r>
              <w:t>20</w:t>
            </w:r>
          </w:p>
        </w:tc>
        <w:tc>
          <w:tcPr>
            <w:tcW w:type="dxa" w:w="1224"/>
          </w:tcPr>
          <w:p>
            <w:pPr>
              <w:pStyle w:val="tablecopy"/>
            </w:pPr>
            <w:r>
              <w:t>2025-04-16</w:t>
            </w:r>
          </w:p>
        </w:tc>
        <w:tc>
          <w:tcPr>
            <w:tcW w:type="dxa" w:w="1224"/>
          </w:tcPr>
          <w:p>
            <w:pPr>
              <w:pStyle w:val="tablecopy"/>
            </w:pPr>
            <w:r>
              <w:t>2025-04-23</w:t>
            </w:r>
          </w:p>
        </w:tc>
        <w:tc>
          <w:tcPr>
            <w:tcW w:type="dxa" w:w="1080"/>
          </w:tcPr>
          <w:p>
            <w:pPr>
              <w:pStyle w:val="tablecopy"/>
            </w:pPr>
            <w:r>
              <w:t>$83,281</w:t>
            </w:r>
          </w:p>
        </w:tc>
        <w:tc>
          <w:tcPr>
            <w:tcW w:type="dxa" w:w="1080"/>
          </w:tcPr>
          <w:p>
            <w:pPr>
              <w:pStyle w:val="tablecopy"/>
            </w:pPr>
            <w:r>
              <w:t>$93,642</w:t>
            </w:r>
          </w:p>
        </w:tc>
        <w:tc>
          <w:tcPr>
            <w:tcW w:type="dxa" w:w="864"/>
          </w:tcPr>
          <w:p>
            <w:pPr>
              <w:pStyle w:val="tablecopy"/>
            </w:pPr>
            <w:r>
              <w:t>+12.4%</w:t>
            </w:r>
          </w:p>
        </w:tc>
        <w:tc>
          <w:tcPr>
            <w:tcW w:type="dxa" w:w="2016"/>
          </w:tcPr>
          <w:p>
            <w:pPr>
              <w:pStyle w:val="tablecopy"/>
            </w:pPr>
            <w:r>
              <w:t>Bull (Expansion)</w:t>
            </w:r>
          </w:p>
        </w:tc>
      </w:tr>
      <w:tr>
        <w:tc>
          <w:tcPr>
            <w:tcW w:type="dxa" w:w="576"/>
          </w:tcPr>
          <w:p>
            <w:pPr>
              <w:pStyle w:val="tablecopy"/>
            </w:pPr>
            <w:r>
              <w:t>21</w:t>
            </w:r>
          </w:p>
        </w:tc>
        <w:tc>
          <w:tcPr>
            <w:tcW w:type="dxa" w:w="1224"/>
          </w:tcPr>
          <w:p>
            <w:pPr>
              <w:pStyle w:val="tablecopy"/>
            </w:pPr>
            <w:r>
              <w:t>2025-07-03</w:t>
            </w:r>
          </w:p>
        </w:tc>
        <w:tc>
          <w:tcPr>
            <w:tcW w:type="dxa" w:w="1224"/>
          </w:tcPr>
          <w:p>
            <w:pPr>
              <w:pStyle w:val="tablecopy"/>
            </w:pPr>
            <w:r>
              <w:t>2025-07-10</w:t>
            </w:r>
          </w:p>
        </w:tc>
        <w:tc>
          <w:tcPr>
            <w:tcW w:type="dxa" w:w="1080"/>
          </w:tcPr>
          <w:p>
            <w:pPr>
              <w:pStyle w:val="tablecopy"/>
            </w:pPr>
            <w:r>
              <w:t>$109,839</w:t>
            </w:r>
          </w:p>
        </w:tc>
        <w:tc>
          <w:tcPr>
            <w:tcW w:type="dxa" w:w="1080"/>
          </w:tcPr>
          <w:p>
            <w:pPr>
              <w:pStyle w:val="tablecopy"/>
            </w:pPr>
            <w:r>
              <w:t>$111,041</w:t>
            </w:r>
          </w:p>
        </w:tc>
        <w:tc>
          <w:tcPr>
            <w:tcW w:type="dxa" w:w="864"/>
          </w:tcPr>
          <w:p>
            <w:pPr>
              <w:pStyle w:val="tablecopy"/>
            </w:pPr>
            <w:r>
              <w:t>+1.1%</w:t>
            </w:r>
          </w:p>
        </w:tc>
        <w:tc>
          <w:tcPr>
            <w:tcW w:type="dxa" w:w="2016"/>
          </w:tcPr>
          <w:p>
            <w:pPr>
              <w:pStyle w:val="tablecopy"/>
            </w:pPr>
            <w:r>
              <w:t>Consolidation (Sideways)</w:t>
            </w:r>
          </w:p>
        </w:tc>
      </w:tr>
      <w:tr>
        <w:tc>
          <w:tcPr>
            <w:tcW w:type="dxa" w:w="576"/>
          </w:tcPr>
          <w:p>
            <w:pPr>
              <w:pStyle w:val="tablecopy"/>
            </w:pPr>
            <w:r>
              <w:t>22</w:t>
            </w:r>
          </w:p>
        </w:tc>
        <w:tc>
          <w:tcPr>
            <w:tcW w:type="dxa" w:w="1224"/>
          </w:tcPr>
          <w:p>
            <w:pPr>
              <w:pStyle w:val="tablecopy"/>
            </w:pPr>
            <w:r>
              <w:t>2025-09-19</w:t>
            </w:r>
          </w:p>
        </w:tc>
        <w:tc>
          <w:tcPr>
            <w:tcW w:type="dxa" w:w="1224"/>
          </w:tcPr>
          <w:p>
            <w:pPr>
              <w:pStyle w:val="tablecopy"/>
            </w:pPr>
            <w:r>
              <w:t>2025-09-26</w:t>
            </w:r>
          </w:p>
        </w:tc>
        <w:tc>
          <w:tcPr>
            <w:tcW w:type="dxa" w:w="1080"/>
          </w:tcPr>
          <w:p>
            <w:pPr>
              <w:pStyle w:val="tablecopy"/>
            </w:pPr>
            <w:r>
              <w:t>$116,978</w:t>
            </w:r>
          </w:p>
        </w:tc>
        <w:tc>
          <w:tcPr>
            <w:tcW w:type="dxa" w:w="1080"/>
          </w:tcPr>
          <w:p>
            <w:pPr>
              <w:pStyle w:val="tablecopy"/>
            </w:pPr>
            <w:r>
              <w:t>$109,622</w:t>
            </w:r>
          </w:p>
        </w:tc>
        <w:tc>
          <w:tcPr>
            <w:tcW w:type="dxa" w:w="864"/>
          </w:tcPr>
          <w:p>
            <w:pPr>
              <w:pStyle w:val="tablecopy"/>
            </w:pPr>
            <w:r>
              <w:t>-6.3%</w:t>
            </w:r>
          </w:p>
        </w:tc>
        <w:tc>
          <w:tcPr>
            <w:tcW w:type="dxa" w:w="2016"/>
          </w:tcPr>
          <w:p>
            <w:pPr>
              <w:pStyle w:val="tablecopy"/>
            </w:pPr>
            <w:r>
              <w:t>Bear (Contraction)</w:t>
            </w:r>
          </w:p>
        </w:tc>
      </w:tr>
      <w:tr>
        <w:tc>
          <w:tcPr>
            <w:tcW w:type="dxa" w:w="576"/>
          </w:tcPr>
          <w:p>
            <w:pPr>
              <w:pStyle w:val="tablecopy"/>
            </w:pPr>
            <w:r>
              <w:t>23</w:t>
            </w:r>
          </w:p>
        </w:tc>
        <w:tc>
          <w:tcPr>
            <w:tcW w:type="dxa" w:w="1224"/>
          </w:tcPr>
          <w:p>
            <w:pPr>
              <w:pStyle w:val="tablecopy"/>
            </w:pPr>
            <w:r>
              <w:t>2025-12-05</w:t>
            </w:r>
          </w:p>
        </w:tc>
        <w:tc>
          <w:tcPr>
            <w:tcW w:type="dxa" w:w="1224"/>
          </w:tcPr>
          <w:p>
            <w:pPr>
              <w:pStyle w:val="tablecopy"/>
            </w:pPr>
            <w:r>
              <w:t>2025-12-12</w:t>
            </w:r>
          </w:p>
        </w:tc>
        <w:tc>
          <w:tcPr>
            <w:tcW w:type="dxa" w:w="1080"/>
          </w:tcPr>
          <w:p>
            <w:pPr>
              <w:pStyle w:val="tablecopy"/>
            </w:pPr>
            <w:r>
              <w:t>$89,302</w:t>
            </w:r>
          </w:p>
        </w:tc>
        <w:tc>
          <w:tcPr>
            <w:tcW w:type="dxa" w:w="1080"/>
          </w:tcPr>
          <w:p>
            <w:pPr>
              <w:pStyle w:val="tablecopy"/>
            </w:pPr>
            <w:r>
              <w:t>$90,198</w:t>
            </w:r>
          </w:p>
        </w:tc>
        <w:tc>
          <w:tcPr>
            <w:tcW w:type="dxa" w:w="864"/>
          </w:tcPr>
          <w:p>
            <w:pPr>
              <w:pStyle w:val="tablecopy"/>
            </w:pPr>
            <w:r>
              <w:t>+1.0%</w:t>
            </w:r>
          </w:p>
        </w:tc>
        <w:tc>
          <w:tcPr>
            <w:tcW w:type="dxa" w:w="2016"/>
          </w:tcPr>
          <w:p>
            <w:pPr>
              <w:pStyle w:val="tablecopy"/>
            </w:pPr>
            <w:r>
              <w:t>Consolidation (Sideways)</w:t>
            </w:r>
          </w:p>
        </w:tc>
      </w:tr>
      <w:tr>
        <w:tc>
          <w:tcPr>
            <w:tcW w:type="dxa" w:w="576"/>
          </w:tcPr>
          <w:p>
            <w:pPr>
              <w:pStyle w:val="tablecopy"/>
            </w:pPr>
            <w:r>
              <w:t>24</w:t>
            </w:r>
          </w:p>
        </w:tc>
        <w:tc>
          <w:tcPr>
            <w:tcW w:type="dxa" w:w="1224"/>
          </w:tcPr>
          <w:p>
            <w:pPr>
              <w:pStyle w:val="tablecopy"/>
            </w:pPr>
            <w:r>
              <w:t>2026-02-21</w:t>
            </w:r>
          </w:p>
        </w:tc>
        <w:tc>
          <w:tcPr>
            <w:tcW w:type="dxa" w:w="1224"/>
          </w:tcPr>
          <w:p>
            <w:pPr>
              <w:pStyle w:val="tablecopy"/>
            </w:pPr>
            <w:r>
              <w:t>2026-02-28</w:t>
            </w:r>
          </w:p>
        </w:tc>
        <w:tc>
          <w:tcPr>
            <w:tcW w:type="dxa" w:w="1080"/>
          </w:tcPr>
          <w:p>
            <w:pPr>
              <w:pStyle w:val="tablecopy"/>
            </w:pPr>
            <w:r>
              <w:t>$68,260</w:t>
            </w:r>
          </w:p>
        </w:tc>
        <w:tc>
          <w:tcPr>
            <w:tcW w:type="dxa" w:w="1080"/>
          </w:tcPr>
          <w:p>
            <w:pPr>
              <w:pStyle w:val="tablecopy"/>
            </w:pPr>
            <w:r>
              <w:t>$64,017</w:t>
            </w:r>
          </w:p>
        </w:tc>
        <w:tc>
          <w:tcPr>
            <w:tcW w:type="dxa" w:w="864"/>
          </w:tcPr>
          <w:p>
            <w:pPr>
              <w:pStyle w:val="tablecopy"/>
            </w:pPr>
            <w:r>
              <w:t>-6.2%</w:t>
            </w:r>
          </w:p>
        </w:tc>
        <w:tc>
          <w:tcPr>
            <w:tcW w:type="dxa" w:w="2016"/>
          </w:tcPr>
          <w:p>
            <w:pPr>
              <w:pStyle w:val="tablecopy"/>
            </w:pPr>
            <w:r>
              <w:t>Bear (Contraction)</w:t>
            </w:r>
          </w:p>
        </w:tc>
      </w:tr>
    </w:tbl>
    <w:p w14:paraId="2D97017F" w14:textId="77777777" w:rsidR="008A78AA" w:rsidRDefault="00000000">
      <w:pPr>
        <w:pStyle w:val="BodyText"/>
      </w:pPr>
      <w:r>
        <w:t xml:space="preserve">For the XGBoost baseline, hyperparameter tuning was conducted via Grid Search using a time-series-aware cross-validation scheme (TimeSeriesSplit, n = 5 folds). The search space comprised: n_estimators ∈ {100, 300, 500}, max_depth ∈ {3, 5, 7}, learning_rate ∈ {0.01, 0.05, 0.10}, subsample ∈ {0.70, 0.85, 1.00}, and colsample_bytree ∈ {0.70, 0.85, 1.00}. Sequential 3D arrays (shape: N × 24 × 15) were flattened into 2D tabular feature vectors (N × 360) prior to fitting. The optimal configuration (n_estimators = 300, max_depth = 5, learning_rate = 0.05, subsample = 0.85, colsample_bytree = 0.85) was regularized via L1/L2 penalties. Unlike neural networks, XGBoost relies on gradient-boosted decision trees rather than Adam optimization or dropout regularization.</w:t>
      </w:r>
    </w:p>
    <w:p w14:paraId="15213384" w14:textId="77777777" w:rsidR="008A78AA" w:rsidRDefault="00000000">
      <w:pPr>
        <w:pStyle w:val="BodyText"/>
        <w:rPr>
          <w:lang w:val="en-US"/>
        </w:rPr>
      </w:pPr>
      <w:r>
        <w:t>For the neural network architectures, sequence lookback was fixed at T = 24 hours across all 15 feature dimensions. The LSTM network comprises 2 stacked recurrent layers (hidden dimension d = 50, dropout rate p = 0.20) and a linear output head (50 → 1). The GRU architecture utilizes an identical 2-layer topology (d = 50, p = 0.20, 50 → 1), minimizing structural discrepancy. Both recurrent models were trained using the Adam optimizer with initial learning rate η = 10−3, batch size B = 64, and 10 epochs. The Informer Transformer features 2 encoder layers with ProbSparse self-attention (model dimension dmodel = 64, nhead = 4 attention heads, feed-forward dimension dff = 256, dropout p = 0.10) trained with Adam at η = 10−4. The XGBoost tabular baseline utilizes 300 gradient-boosted estimators (max_depth = 5, learning_rate = 0.05, subsample = 0.85, colsample_bytree = 0.85) fitted on flattened 2D vectors (24 × 15 = 360 inputs).</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Layer 4 translates raw hourly point predictions ŷt into actionable financial signals and risk metrics for portfolio governance. At each hourly step t, the model forecast is converted into a directional trading position st = sign(ŷt − yt−1) ∈ {+1, −1}, where st = +1 denotes a long position (anticipating price appreciation) and st = −1 denotes a protective/short allocation. The hourly strategy return series is defined as Rt</w:t>
      </w:r>
      <w:r>
        <w:rPr>
          <w:vertAlign w:val="superscript"/>
        </w:rPr>
        <w:t>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where √8760 = √(365 × 24) is the annualization factor reflecting 8,760 continuous trading hours per year, and rf = 2.0% per annum represents the benchmark risk-free rate. To evaluate practical financial feasibility, both Gross Sharpe Ratio (before trading frictions) and Net Sharpe Ratio (after fees and slippage) are reported. Turnover weight at hour t is defined as Δwt = 0.5 · |st − st−1| ∈ {0, 1}. Trading costs are modeled based on standard Binance Spot VIP-0 fee tier (cfee = 0.10% taker fee per rebalance, or 0.20% round-trip) combined with a simulated half-spread execution slippage penalty of δslip = 0.02% (2 bps), yielding total friction of 0.12% per rebalancing. Hourly net return is Rt,net = st · rt − (cfee + δslip) · Δwt. Risk exposure is quantified using Daily (24-hour) Value-at-Risk (Daily VaR95%), calculated via historical simulation as the 5th percentile of the empirical 24-hour strategy return distribution. All metrics are written to the PostgreSQL Data Mart and dynamically streamed into Microsoft Power BI via DirectQuery.</w:t>
      </w:r>
    </w:p>
    <w:p w14:paraId="437C3A38" w14:textId="77777777" w:rsidR="008A78AA" w:rsidRDefault="008A78AA">
      <w:pPr>
        <w:pStyle w:val="equation"/>
      </w:pPr>
    </w:p>
    <w:p w14:paraId="0FD24339" w14:textId="77777777" w:rsidR="008A78AA" w:rsidRDefault="008A78AA">
      <w:pPr>
        <w:pStyle w:val="BodyText"/>
      </w:pPr>
    </w:p>
    <w:p w14:paraId="1069A31F" w14:textId="77777777" w:rsidR="008A78AA" w:rsidRDefault="00000000">
      <w:pPr>
        <w:pStyle w:val="Heading1"/>
      </w:pPr>
      <w:r>
        <w:t>RESULTS AND DISCUSSION</w:t>
      </w:r>
    </w:p>
    <w:p w14:paraId="3FA3A5B1" w14:textId="77777777" w:rsidR="008A78AA" w:rsidRDefault="00B81C38">
      <w:pPr>
        <w:pStyle w:val="BodyText"/>
      </w:pPr>
      <w:r>
        <w:t>Figure 2 illustrates the out-of-sample forecast trajectory across representative 168-hour Walk-Forward test windows, comparing the four candidate architectures against realized BTC/USDT spot prices. The comparative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the mean RMSE, MAE, and MAPE across all 24 Walk-Forward test folds alongside standard deviations. To establish rigorous empirical benchmarks, two classical statistical baselines were implemented under identical fold-local conditions: a Naive Persistence model (P̂t+1 = Pt) and an ARIMA(1,1,0) model. For single-step 1-hour ahead forecasting, the Naive persistence baseline achieves a raw price MAPE of 0.37% ± 0.16% (normalized RMSE = 0.0281 ± 0.0127), and ARIMA yields 0.37% ± 0.16% (normalized RMSE = 0.0281 ± 0.0127), reflecting the high autocorrelation of continuous hourly price series. However, when evaluating multi-step out-of-sample forecast trajectories across the 168-hour test window, the naive constant trajectory deteriorates significantly (normalized RMSE = 0.1845 ± 0.0092; ARIMA RMSE = 0.1682 ± 0.0084). Among machine learning models, XGBoost records an RMSE of 0.1524 ± 0.0068, while the Informer Transformer achieves 0.1321 ± 0.0081. The recurrent models demonstrated clear superiority, with GRU attaining the lowest error (RMSE = 0.1058 ± 0.0034, MAE = 0.0948 ± 0.0028). The reported normalized MAPE values (13.13%–19.85%) reflect errors computed on Min-Max scaled ranges [0, 1], where near-zero denominators in price troughs inflate percentage loss; in raw dollar terms ($16,000–$116,000), unscaled price MAPE is 1.42% for GRU, 1.58% for LSTM, 1.94% for Informer, and 2.18% for XGBoost.</w:t>
      </w:r>
    </w:p>
    <w:p w14:paraId="18273588" w14:textId="2B0A3DE1" w:rsidR="008A78AA" w:rsidRDefault="00D16FC1" w:rsidP="00662A52">
      <w:pPr>
        <w:pStyle w:val="BodyText"/>
      </w:pPr>
      <w:r>
        <w:t>Because the candidate models were evaluated repeatedly over matched Walk-Forward folds, a non-parametric Friedman test for repeated measures [3] was conducted across all 24 folds. The test decisively rejected the null hypothesis of equal performance across candidate architectures (χF² = 115.76, df = 5, p = 2.48 × 10−23 across all six models; χF² = 67.70, df = 3, p = 1.33 × 10−14 among the four machine learning architectures). Post-hoc pairwise Diebold–Mariano (DM) tests [35] with Holm–Bonferroni family-wise error rate correction confirmed that the GRU statistically significantly outperformed the Naive baseline (padj = 1.19 × 10−7), ARIMA (padj = 1.79 × 10−7), XGBoost (padj = 2.38 × 10−7), Informer (padj = 2.98 × 10−7), and LSTM (padj = 4.17 × 10−7), establishing GRU as the statistically superior architecture under point-loss criteria.</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 Architecture</w:t>
            </w:r>
          </w:p>
        </w:tc>
        <w:tc>
          <w:tcPr>
            <w:tcW w:w="115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Mean RMSE (± SD)</w:t>
            </w:r>
          </w:p>
        </w:tc>
        <w:tc>
          <w:tcPr>
            <w:tcW w:w="115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Absolute MAE (± SD)</w:t>
            </w:r>
          </w:p>
        </w:tc>
        <w:tc>
          <w:tcPr>
            <w:tcW w:w="1224"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Norm. MAPE [Raw Price MAPE]</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pPr>
              <w:pStyle w:val="tablecopy"/>
            </w:pPr>
            <w:r>
              <w:t>Naive (1h Persistence)</w:t>
            </w:r>
          </w:p>
        </w:tc>
        <w:tc>
          <w:tcPr>
            <w:tcW w:w="1152" w:type="dxa"/>
            <w:tcMar>
              <w:top w:w="50" w:type="dxa"/>
              <w:left w:w="70" w:type="dxa"/>
              <w:bottom w:w="50" w:type="dxa"/>
              <w:right w:w="70" w:type="dxa"/>
            </w:tcMar>
            <w:vAlign w:val="center"/>
          </w:tcPr>
          <w:p>
            <w:pPr>
              <w:pStyle w:val="tablecopy"/>
            </w:pPr>
            <w:r>
              <w:t>0.0281 ± 0.0127</w:t>
            </w:r>
          </w:p>
        </w:tc>
        <w:tc>
          <w:tcPr>
            <w:tcW w:w="1152" w:type="dxa"/>
            <w:tcMar>
              <w:top w:w="50" w:type="dxa"/>
              <w:left w:w="70" w:type="dxa"/>
              <w:bottom w:w="50" w:type="dxa"/>
              <w:right w:w="70" w:type="dxa"/>
            </w:tcMar>
            <w:vAlign w:val="center"/>
          </w:tcPr>
          <w:p>
            <w:pPr>
              <w:pStyle w:val="tablecopy"/>
            </w:pPr>
            <w:r>
              <w:t>0.0215 ± 0.0094</w:t>
            </w:r>
          </w:p>
        </w:tc>
        <w:tc>
          <w:tcPr>
            <w:tcW w:w="1224" w:type="dxa"/>
            <w:tcMar>
              <w:top w:w="50" w:type="dxa"/>
              <w:left w:w="70" w:type="dxa"/>
              <w:bottom w:w="50" w:type="dxa"/>
              <w:right w:w="70" w:type="dxa"/>
            </w:tcMar>
            <w:vAlign w:val="center"/>
          </w:tcPr>
          <w:p>
            <w:pPr>
              <w:pStyle w:val="tablecopy"/>
            </w:pPr>
            <w:r>
              <w:t>4.12% [0.37% ± 0.16%]</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pPr>
              <w:pStyle w:val="tablecopy"/>
            </w:pPr>
            <w:r>
              <w:t>ARIMA(1,1,0)</w:t>
            </w:r>
          </w:p>
        </w:tc>
        <w:tc>
          <w:tcPr>
            <w:tcW w:w="1152" w:type="dxa"/>
            <w:tcMar>
              <w:top w:w="50" w:type="dxa"/>
              <w:left w:w="70" w:type="dxa"/>
              <w:bottom w:w="50" w:type="dxa"/>
              <w:right w:w="70" w:type="dxa"/>
            </w:tcMar>
            <w:vAlign w:val="center"/>
          </w:tcPr>
          <w:p>
            <w:pPr>
              <w:pStyle w:val="tablecopy"/>
            </w:pPr>
            <w:r>
              <w:t>0.0281 ± 0.0127</w:t>
            </w:r>
          </w:p>
        </w:tc>
        <w:tc>
          <w:tcPr>
            <w:tcW w:w="1152" w:type="dxa"/>
            <w:tcMar>
              <w:top w:w="50" w:type="dxa"/>
              <w:left w:w="70" w:type="dxa"/>
              <w:bottom w:w="50" w:type="dxa"/>
              <w:right w:w="70" w:type="dxa"/>
            </w:tcMar>
            <w:vAlign w:val="center"/>
          </w:tcPr>
          <w:p>
            <w:pPr>
              <w:pStyle w:val="tablecopy"/>
            </w:pPr>
            <w:r>
              <w:t>0.0215 ± 0.0094</w:t>
            </w:r>
          </w:p>
        </w:tc>
        <w:tc>
          <w:tcPr>
            <w:tcW w:w="1224" w:type="dxa"/>
            <w:tcMar>
              <w:top w:w="50" w:type="dxa"/>
              <w:left w:w="70" w:type="dxa"/>
              <w:bottom w:w="50" w:type="dxa"/>
              <w:right w:w="70" w:type="dxa"/>
            </w:tcMar>
            <w:vAlign w:val="center"/>
          </w:tcPr>
          <w:p>
            <w:pPr>
              <w:pStyle w:val="tablecopy"/>
            </w:pPr>
            <w:r>
              <w:t>4.12% [0.37% ± 0.16%]</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pPr>
              <w:pStyle w:val="tablecopy"/>
            </w:pPr>
            <w:r>
              <w:t>Naive (168h Trajectory)</w:t>
            </w:r>
          </w:p>
        </w:tc>
        <w:tc>
          <w:tcPr>
            <w:tcW w:w="1152" w:type="dxa"/>
            <w:tcMar>
              <w:top w:w="50" w:type="dxa"/>
              <w:left w:w="70" w:type="dxa"/>
              <w:bottom w:w="50" w:type="dxa"/>
              <w:right w:w="70" w:type="dxa"/>
            </w:tcMar>
            <w:vAlign w:val="center"/>
          </w:tcPr>
          <w:p>
            <w:pPr>
              <w:pStyle w:val="tablecopy"/>
            </w:pPr>
            <w:r>
              <w:t>0.1845 ± 0.0092</w:t>
            </w:r>
          </w:p>
        </w:tc>
        <w:tc>
          <w:tcPr>
            <w:tcW w:w="1152" w:type="dxa"/>
            <w:tcMar>
              <w:top w:w="50" w:type="dxa"/>
              <w:left w:w="70" w:type="dxa"/>
              <w:bottom w:w="50" w:type="dxa"/>
              <w:right w:w="70" w:type="dxa"/>
            </w:tcMar>
            <w:vAlign w:val="center"/>
          </w:tcPr>
          <w:p>
            <w:pPr>
              <w:pStyle w:val="tablecopy"/>
            </w:pPr>
            <w:r>
              <w:t>0.1512 ± 0.0078</w:t>
            </w:r>
          </w:p>
        </w:tc>
        <w:tc>
          <w:tcPr>
            <w:tcW w:w="1224" w:type="dxa"/>
            <w:tcMar>
              <w:top w:w="50" w:type="dxa"/>
              <w:left w:w="70" w:type="dxa"/>
              <w:bottom w:w="50" w:type="dxa"/>
              <w:right w:w="70" w:type="dxa"/>
            </w:tcMar>
            <w:vAlign w:val="center"/>
          </w:tcPr>
          <w:p>
            <w:pPr>
              <w:pStyle w:val="tablecopy"/>
            </w:pPr>
            <w:r>
              <w:t>19.85% [5.58% ± 0.42%]</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pPr>
              <w:pStyle w:val="tablecopy"/>
            </w:pPr>
            <w:r>
              <w:t>XGBoost (Tabular)</w:t>
            </w:r>
          </w:p>
        </w:tc>
        <w:tc>
          <w:tcPr>
            <w:tcW w:w="1152" w:type="dxa"/>
            <w:tcBorders>
              <w:bottom w:val="single" w:sz="8" w:space="0" w:color="000000"/>
            </w:tcBorders>
            <w:tcMar>
              <w:top w:w="50" w:type="dxa"/>
              <w:left w:w="70" w:type="dxa"/>
              <w:bottom w:w="50" w:type="dxa"/>
              <w:right w:w="70" w:type="dxa"/>
            </w:tcMar>
            <w:vAlign w:val="center"/>
          </w:tcPr>
          <w:p>
            <w:pPr>
              <w:pStyle w:val="tablecopy"/>
            </w:pPr>
            <w:r>
              <w:t>0.1524 ± 0.0068</w:t>
            </w:r>
          </w:p>
        </w:tc>
        <w:tc>
          <w:tcPr>
            <w:tcW w:w="1152" w:type="dxa"/>
            <w:tcBorders>
              <w:bottom w:val="single" w:sz="8" w:space="0" w:color="000000"/>
            </w:tcBorders>
            <w:tcMar>
              <w:top w:w="50" w:type="dxa"/>
              <w:left w:w="70" w:type="dxa"/>
              <w:bottom w:w="50" w:type="dxa"/>
              <w:right w:w="70" w:type="dxa"/>
            </w:tcMar>
            <w:vAlign w:val="center"/>
          </w:tcPr>
          <w:p>
            <w:pPr>
              <w:pStyle w:val="tablecopy"/>
            </w:pPr>
            <w:r>
              <w:t>0.1260 ± 0.0055</w:t>
            </w:r>
          </w:p>
        </w:tc>
        <w:tc>
          <w:tcPr>
            <w:tcW w:w="1224" w:type="dxa"/>
            <w:tcBorders>
              <w:bottom w:val="single" w:sz="8" w:space="0" w:color="000000"/>
            </w:tcBorders>
            <w:tcMar>
              <w:top w:w="50" w:type="dxa"/>
              <w:left w:w="70" w:type="dxa"/>
              <w:bottom w:w="50" w:type="dxa"/>
              <w:right w:w="70" w:type="dxa"/>
            </w:tcMar>
            <w:vAlign w:val="center"/>
          </w:tcPr>
          <w:p>
            <w:pPr>
              <w:pStyle w:val="tablecopy"/>
            </w:pPr>
            <w:r>
              <w:t>16.50% [2.18% ± 0.12%]</w:t>
            </w:r>
          </w:p>
        </w:tc>
      </w:tr>
      <w:tr>
        <w:tc>
          <w:tcPr>
            <w:tcW w:type="dxa" w:w="1440"/>
          </w:tcPr>
          <w:p>
            <w:pPr>
              <w:pStyle w:val="tablecopy"/>
            </w:pPr>
            <w:r>
              <w:t>Informer Transformer</w:t>
            </w:r>
          </w:p>
        </w:tc>
        <w:tc>
          <w:tcPr>
            <w:tcW w:type="dxa" w:w="1152"/>
          </w:tcPr>
          <w:p>
            <w:pPr>
              <w:pStyle w:val="tablecopy"/>
            </w:pPr>
            <w:r>
              <w:t>0.1321 ± 0.0081</w:t>
            </w:r>
          </w:p>
        </w:tc>
        <w:tc>
          <w:tcPr>
            <w:tcW w:type="dxa" w:w="1152"/>
          </w:tcPr>
          <w:p>
            <w:pPr>
              <w:pStyle w:val="tablecopy"/>
            </w:pPr>
            <w:r>
              <w:t>0.1119 ± 0.0072</w:t>
            </w:r>
          </w:p>
        </w:tc>
        <w:tc>
          <w:tcPr>
            <w:tcW w:type="dxa" w:w="1224"/>
          </w:tcPr>
          <w:p>
            <w:pPr>
              <w:pStyle w:val="tablecopy"/>
            </w:pPr>
            <w:r>
              <w:t>14.82% [1.94% ± 0.15%]</w:t>
            </w:r>
          </w:p>
        </w:tc>
      </w:tr>
      <w:tr>
        <w:tc>
          <w:tcPr>
            <w:tcW w:type="dxa" w:w="1440"/>
          </w:tcPr>
          <w:p>
            <w:pPr>
              <w:pStyle w:val="tablecopy"/>
            </w:pPr>
            <w:r>
              <w:t>LSTM Recurrent</w:t>
            </w:r>
          </w:p>
        </w:tc>
        <w:tc>
          <w:tcPr>
            <w:tcW w:type="dxa" w:w="1152"/>
          </w:tcPr>
          <w:p>
            <w:pPr>
              <w:pStyle w:val="tablecopy"/>
            </w:pPr>
            <w:r>
              <w:t>0.1145 ± 0.0051</w:t>
            </w:r>
          </w:p>
        </w:tc>
        <w:tc>
          <w:tcPr>
            <w:tcW w:type="dxa" w:w="1152"/>
          </w:tcPr>
          <w:p>
            <w:pPr>
              <w:pStyle w:val="tablecopy"/>
            </w:pPr>
            <w:r>
              <w:t>0.1008 ± 0.0042</w:t>
            </w:r>
          </w:p>
        </w:tc>
        <w:tc>
          <w:tcPr>
            <w:tcW w:type="dxa" w:w="1224"/>
          </w:tcPr>
          <w:p>
            <w:pPr>
              <w:pStyle w:val="tablecopy"/>
            </w:pPr>
            <w:r>
              <w:t>13.96% [1.58% ± 0.09%]</w:t>
            </w:r>
          </w:p>
        </w:tc>
      </w:tr>
      <w:tr>
        <w:tc>
          <w:tcPr>
            <w:tcW w:type="dxa" w:w="1441"/>
          </w:tcPr>
          <w:p>
            <w:pPr>
              <w:pStyle w:val="tablecopy"/>
            </w:pPr>
            <w:r>
              <w:t>GRU Recurrent</w:t>
            </w:r>
          </w:p>
        </w:tc>
        <w:tc>
          <w:tcPr>
            <w:tcW w:type="dxa" w:w="1239"/>
          </w:tcPr>
          <w:p>
            <w:pPr>
              <w:pStyle w:val="tablecopy"/>
            </w:pPr>
            <w:r>
              <w:t>0.1058 ± 0.0034</w:t>
            </w:r>
          </w:p>
        </w:tc>
        <w:tc>
          <w:tcPr>
            <w:tcW w:type="dxa" w:w="1241"/>
          </w:tcPr>
          <w:p>
            <w:pPr>
              <w:pStyle w:val="tablecopy"/>
            </w:pPr>
            <w:r>
              <w:t>0.0948 ± 0.0028</w:t>
            </w:r>
          </w:p>
        </w:tc>
        <w:tc>
          <w:tcPr>
            <w:tcW w:type="dxa" w:w="879"/>
          </w:tcPr>
          <w:p>
            <w:pPr>
              <w:pStyle w:val="tablecopy"/>
            </w:pPr>
            <w:r>
              <w:t>13.13% [1.42% ± 0.06%]</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 xml:space="preserve">A critical dimension of model governance is the characterization of failure regimes. All four architectures experienced pronounced performance degradation during systemic liquidity shocks, most notably the Terra-Luna collapse in May 2022. During this episode, price variance exceeded three rolling standard deviations (±3σ), causing point-forecast errors to surge.</w:t>
      </w:r>
    </w:p>
    <w:p w14:paraId="3BE4AD72" w14:textId="77777777" w:rsidR="008A78AA" w:rsidRDefault="00B81C38" w:rsidP="00B81C38">
      <w:pPr>
        <w:pStyle w:val="BodyText"/>
      </w:pPr>
      <w:r>
        <w:t>As illustrated in Figure 3, the residual error distributions exhibit pronounced right-skewed fat tails corresponding to these extreme regime transitions. This structural limitation underscores that technical price-derived features alone cannot anticipate exogenous macro-liquidity shifts or exchange-insolvency cascades.</w:t>
      </w:r>
    </w:p>
    <w:p w14:paraId="4EDED07F" w14:textId="77777777" w:rsidR="008A78AA" w:rsidRDefault="00000000">
      <w:pPr>
        <w:pStyle w:val="BodyText"/>
        <w:jc w:val="center"/>
      </w:pPr>
      <w:r>
        <w:rPr>
          <w:noProof/>
        </w:rPr>
        <w:drawing>
          <wp:inline distT="0" distB="0" distL="0" distR="0" wp14:anchorId="6AD58844" wp14:editId="1CD997EF">
            <wp:extent cx="3108960" cy="14122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idual_Distribution_300dpi.png"/>
                    <pic:cNvPicPr/>
                  </pic:nvPicPr>
                  <pic:blipFill>
                    <a:blip r:embed="rId13"/>
                    <a:stretch>
                      <a:fillRect/>
                    </a:stretch>
                  </pic:blipFill>
                  <pic:spPr>
                    <a:xfrm>
                      <a:off x="0" y="0"/>
                      <a:ext cx="3108960" cy="1412299"/>
                    </a:xfrm>
                    <a:prstGeom prst="rect">
                      <a:avLst/>
                    </a:prstGeom>
                  </pic:spPr>
                </pic:pic>
              </a:graphicData>
            </a:graphic>
          </wp:inline>
        </w:drawing>
      </w:r>
    </w:p>
    <w:p w14:paraId="54F1690F" w14:textId="77777777" w:rsidR="008A78AA" w:rsidRDefault="00A018D2">
      <w:pPr>
        <w:pStyle w:val="figurecaption"/>
        <w:jc w:val="center"/>
      </w:pPr>
      <w:r>
        <w:t>Residual error distributions for GRU and LSTM fold-aggregates: fat tails correspond to extreme ±3σ volatility episodes.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Table II presents a markedly contrasting evaluation when assessing models through the lens of decision support and risk-adjusted financial performance. The operational prototype was evaluated across three core dimensions adapted from Power [9] and Sharda et al. [26], followed by a practical-implications analysis:</w:t>
      </w:r>
    </w:p>
    <w:p w14:paraId="40847D5B" w14:textId="77777777" w:rsidR="008A78AA" w:rsidRDefault="00000000">
      <w:pPr>
        <w:pStyle w:val="BodyText"/>
      </w:pPr>
      <w:r>
        <w:t>1) Functional Correctness: Model inference outputs were streamed to live dashboard tiles with an average refresh latency of 1.2 seconds. All 43,786 records were successfully ingested into the PostgreSQL Data Mart with 100% integrity, validated by row-count audits and SHA-256 checksums.</w:t>
      </w:r>
    </w:p>
    <w:p w14:paraId="35C9D4F7" w14:textId="77777777" w:rsidR="008A78AA" w:rsidRDefault="00000000">
      <w:pPr>
        <w:pStyle w:val="BodyText"/>
      </w:pPr>
      <w:r>
        <w:t>2) Numerical Stability: Dashboard-computed Sharpe Ratios and VaR(95%) values demonstrated exact agreement with Python-computed ground-truth calculations (maximum deviation ≤ 0.003), satisfying the precision criteria for enterprise risk management.</w:t>
      </w:r>
    </w:p>
    <w:p w14:paraId="1AFBD775" w14:textId="77777777" w:rsidR="00D90C4A" w:rsidRDefault="00000000" w:rsidP="00D90C4A">
      <w:pPr>
        <w:pStyle w:val="BodyText"/>
      </w:pPr>
      <w:r>
        <w:t>3) Usability Evaluation and Ethical Clearance: Following a structured 30-minute walkthrough, a usability assessment was conducted with 15 domain evaluators (10 postgraduate informatics researchers and 5 financial analytics professionals) using the standardized System Usability Scale (SUS) [37]. The usability evaluation protocol was reviewed and granted formal institutional ethical clearance by the Research Ethics Review Committee of Universitas Nusa Putra (Protocol Ref: UNP-REC/2026/04-019). Prior to participation, all 15 evaluators received a written study brief and signed written informed consent forms. Participation was voluntary, non-interventional, uncompensated, and strictly anonymized with zero personally identifiable data collected. The dashboard achieved an average SUS score of 86.4 with a standard deviation of 3.2, placing it in the 'Excellent' usability tier [38]. The compact dispersion (SD = 3.2) reflects the shared advanced technical literacy of the evaluator cohort and their execution of identical scripted walkthrough tasks.</w:t>
      </w:r>
    </w:p>
    <w:p w14:paraId="4A85612B" w14:textId="77777777" w:rsidR="008A78AA" w:rsidRDefault="00D90C4A" w:rsidP="00D90C4A">
      <w:pPr>
        <w:pStyle w:val="BodyText"/>
      </w:pPr>
      <w:r>
        <w:t>4) Practical Implications: As detailed in Table II, active algorithmic trading substantially outperformed the passive Buy-and-Hold benchmark (Net Sharpe = 0.48 ± 0.35, Daily VaR95% = −5.82% ± 0.8%). While GRU achieved the lowest point error, LSTM delivered the highest Directional Accuracy (72.3% ± 1.5%), highest Gross Sharpe Ratio (1.82 ± 0.12), and highest Net Sharpe Ratio (1.45 ± 0.10) with an hourly turnover rate of 14.2% and Daily VaR95% of −2.34% ± 0.2%. The moderate Net Sharpe Ratio of 1.45 (relative to 72.3% directional accuracy) is explained by two realistic market frictions: (i) cumulative transaction costs (0.10% fee + 0.02% slippage per turnover), which reduces gross Sharpe from 1.82 to 1.45, and (ii) severe downside return asymmetry. Because cryptocurrency returns exhibit negative skewness and leptokurtic fat tails, the 27.7% of incorrect hourly calls coincide with sharp cascade drawdowns. The active LSTM strategy successfully curtails this downside tail risk, reducing Daily VaR95% from −5.82% (Buy-and-Hold) to −2.34%.</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64"/>
        <w:gridCol w:w="864"/>
      </w:tblGrid>
      <w:tr w:rsidR="008A78AA" w14:paraId="342C79E8" w14:textId="77777777">
        <w:trPr>
          <w:cantSplit/>
          <w:trHeight w:val="240"/>
          <w:tblHeader/>
          <w:jc w:val="center"/>
        </w:trPr>
        <w:tc>
          <w:tcPr>
            <w:tcW w:w="151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 / Strategy</w:t>
            </w:r>
          </w:p>
        </w:tc>
        <w:tc>
          <w:tcPr>
            <w:tcW w:w="108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Direction Acc.</w:t>
            </w:r>
          </w:p>
        </w:tc>
        <w:tc>
          <w:tcPr>
            <w:tcW w:w="108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Gross Sharpe</w:t>
            </w:r>
          </w:p>
        </w:tc>
        <w:tc>
          <w:tcPr>
            <w:tcW w:w="1224"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Net Sharpe</w:t>
            </w:r>
          </w:p>
        </w:tc>
        <w:tc>
          <w:tcPr>
            <w:tcW w:type="dxa" w:w="864"/>
          </w:tcPr>
          <w:p>
            <w:pPr>
              <w:pStyle w:val="tablecolhead"/>
            </w:pPr>
            <w:r>
              <w:t>Turnover (τ)</w:t>
            </w:r>
          </w:p>
        </w:tc>
        <w:tc>
          <w:tcPr>
            <w:tcW w:type="dxa" w:w="864"/>
          </w:tcPr>
          <w:p>
            <w:pPr>
              <w:pStyle w:val="tablecolhead"/>
            </w:pPr>
            <w:r>
              <w:t>Daily VaR (95%)</w:t>
            </w:r>
          </w:p>
        </w:tc>
      </w:tr>
      <w:tr w:rsidR="008A78AA" w14:paraId="30A7DDFF" w14:textId="77777777">
        <w:trPr>
          <w:cantSplit/>
          <w:trHeight w:val="240"/>
          <w:jc w:val="center"/>
        </w:trPr>
        <w:tc>
          <w:tcPr>
            <w:tcW w:w="1512" w:type="dxa"/>
            <w:tcMar>
              <w:top w:w="50" w:type="dxa"/>
              <w:left w:w="70" w:type="dxa"/>
              <w:bottom w:w="50" w:type="dxa"/>
              <w:right w:w="70" w:type="dxa"/>
            </w:tcMar>
            <w:vAlign w:val="center"/>
          </w:tcPr>
          <w:p>
            <w:pPr>
              <w:pStyle w:val="tablecopy"/>
            </w:pPr>
            <w:r>
              <w:t>Buy-and-Hold (Benchmark)</w:t>
            </w:r>
          </w:p>
        </w:tc>
        <w:tc>
          <w:tcPr>
            <w:tcW w:w="1080" w:type="dxa"/>
            <w:tcMar>
              <w:top w:w="50" w:type="dxa"/>
              <w:left w:w="70" w:type="dxa"/>
              <w:bottom w:w="50" w:type="dxa"/>
              <w:right w:w="70" w:type="dxa"/>
            </w:tcMar>
            <w:vAlign w:val="center"/>
          </w:tcPr>
          <w:p>
            <w:pPr>
              <w:pStyle w:val="tablecopy"/>
            </w:pPr>
            <w:r>
              <w:t>51.2% (Drift)</w:t>
            </w:r>
          </w:p>
        </w:tc>
        <w:tc>
          <w:tcPr>
            <w:tcW w:w="1080" w:type="dxa"/>
            <w:tcMar>
              <w:top w:w="50" w:type="dxa"/>
              <w:left w:w="70" w:type="dxa"/>
              <w:bottom w:w="50" w:type="dxa"/>
              <w:right w:w="70" w:type="dxa"/>
            </w:tcMar>
            <w:vAlign w:val="center"/>
          </w:tcPr>
          <w:p>
            <w:pPr>
              <w:pStyle w:val="tablecopy"/>
            </w:pPr>
            <w:r>
              <w:t>0.48 ± 0.35</w:t>
            </w:r>
          </w:p>
        </w:tc>
        <w:tc>
          <w:tcPr>
            <w:tcW w:w="1224" w:type="dxa"/>
            <w:tcMar>
              <w:top w:w="50" w:type="dxa"/>
              <w:left w:w="70" w:type="dxa"/>
              <w:bottom w:w="50" w:type="dxa"/>
              <w:right w:w="70" w:type="dxa"/>
            </w:tcMar>
            <w:vAlign w:val="center"/>
          </w:tcPr>
          <w:p>
            <w:pPr>
              <w:pStyle w:val="tablecopy"/>
            </w:pPr>
            <w:r>
              <w:t>0.48 ± 0.35</w:t>
            </w:r>
          </w:p>
        </w:tc>
        <w:tc>
          <w:tcPr>
            <w:tcW w:type="dxa" w:w="864"/>
          </w:tcPr>
          <w:p>
            <w:pPr>
              <w:pStyle w:val="tablecopy"/>
            </w:pPr>
            <w:r>
              <w:t>0.0%</w:t>
            </w:r>
          </w:p>
        </w:tc>
        <w:tc>
          <w:tcPr>
            <w:tcW w:type="dxa" w:w="864"/>
          </w:tcPr>
          <w:p>
            <w:pPr>
              <w:pStyle w:val="tablecopy"/>
            </w:pPr>
            <w:r>
              <w:t>-5.82% ± 0.8%</w:t>
            </w:r>
          </w:p>
        </w:tc>
      </w:tr>
      <w:tr w:rsidR="008A78AA" w14:paraId="6F2A5717" w14:textId="77777777">
        <w:trPr>
          <w:cantSplit/>
          <w:trHeight w:val="240"/>
          <w:jc w:val="center"/>
        </w:trPr>
        <w:tc>
          <w:tcPr>
            <w:tcW w:w="1512" w:type="dxa"/>
            <w:tcMar>
              <w:top w:w="50" w:type="dxa"/>
              <w:left w:w="70" w:type="dxa"/>
              <w:bottom w:w="50" w:type="dxa"/>
              <w:right w:w="70" w:type="dxa"/>
            </w:tcMar>
            <w:vAlign w:val="center"/>
          </w:tcPr>
          <w:p>
            <w:pPr>
              <w:pStyle w:val="tablecopy"/>
            </w:pPr>
            <w:r>
              <w:t>XGBoost</w:t>
            </w:r>
          </w:p>
        </w:tc>
        <w:tc>
          <w:tcPr>
            <w:tcW w:w="1080" w:type="dxa"/>
            <w:tcMar>
              <w:top w:w="50" w:type="dxa"/>
              <w:left w:w="70" w:type="dxa"/>
              <w:bottom w:w="50" w:type="dxa"/>
              <w:right w:w="70" w:type="dxa"/>
            </w:tcMar>
            <w:vAlign w:val="center"/>
          </w:tcPr>
          <w:p>
            <w:pPr>
              <w:pStyle w:val="tablecopy"/>
            </w:pPr>
            <w:r>
              <w:t>58.4% ± 2.8%</w:t>
            </w:r>
          </w:p>
        </w:tc>
        <w:tc>
          <w:tcPr>
            <w:tcW w:w="1080" w:type="dxa"/>
            <w:tcMar>
              <w:top w:w="50" w:type="dxa"/>
              <w:left w:w="70" w:type="dxa"/>
              <w:bottom w:w="50" w:type="dxa"/>
              <w:right w:w="70" w:type="dxa"/>
            </w:tcMar>
            <w:vAlign w:val="center"/>
          </w:tcPr>
          <w:p>
            <w:pPr>
              <w:pStyle w:val="tablecopy"/>
            </w:pPr>
            <w:r>
              <w:t>1.38 ± 0.18</w:t>
            </w:r>
          </w:p>
        </w:tc>
        <w:tc>
          <w:tcPr>
            <w:tcW w:w="1224" w:type="dxa"/>
            <w:tcMar>
              <w:top w:w="50" w:type="dxa"/>
              <w:left w:w="70" w:type="dxa"/>
              <w:bottom w:w="50" w:type="dxa"/>
              <w:right w:w="70" w:type="dxa"/>
            </w:tcMar>
            <w:vAlign w:val="center"/>
          </w:tcPr>
          <w:p>
            <w:pPr>
              <w:pStyle w:val="tablecopy"/>
            </w:pPr>
            <w:r>
              <w:t>0.95 ± 0.15</w:t>
            </w:r>
          </w:p>
        </w:tc>
        <w:tc>
          <w:tcPr>
            <w:tcW w:type="dxa" w:w="864"/>
          </w:tcPr>
          <w:p>
            <w:pPr>
              <w:pStyle w:val="tablecopy"/>
            </w:pPr>
            <w:r>
              <w:t>26.5%</w:t>
            </w:r>
          </w:p>
        </w:tc>
        <w:tc>
          <w:tcPr>
            <w:tcW w:type="dxa" w:w="864"/>
          </w:tcPr>
          <w:p>
            <w:pPr>
              <w:pStyle w:val="tablecopy"/>
            </w:pPr>
            <w:r>
              <w:t>-4.10% ± 0.5%</w:t>
            </w:r>
          </w:p>
        </w:tc>
      </w:tr>
      <w:tr w:rsidR="008A78AA" w14:paraId="2528B601" w14:textId="77777777">
        <w:trPr>
          <w:cantSplit/>
          <w:trHeight w:val="240"/>
          <w:jc w:val="center"/>
        </w:trPr>
        <w:tc>
          <w:tcPr>
            <w:tcW w:w="1512" w:type="dxa"/>
            <w:tcBorders>
              <w:bottom w:val="single" w:sz="8" w:space="0" w:color="000000"/>
            </w:tcBorders>
            <w:tcMar>
              <w:top w:w="50" w:type="dxa"/>
              <w:left w:w="70" w:type="dxa"/>
              <w:bottom w:w="50" w:type="dxa"/>
              <w:right w:w="70" w:type="dxa"/>
            </w:tcMar>
            <w:vAlign w:val="center"/>
          </w:tcPr>
          <w:p>
            <w:pPr>
              <w:pStyle w:val="tablecopy"/>
            </w:pPr>
            <w:r>
              <w:t>Informer</w:t>
            </w:r>
          </w:p>
        </w:tc>
        <w:tc>
          <w:tcPr>
            <w:tcW w:w="1080" w:type="dxa"/>
            <w:tcBorders>
              <w:bottom w:val="single" w:sz="8" w:space="0" w:color="000000"/>
            </w:tcBorders>
            <w:tcMar>
              <w:top w:w="50" w:type="dxa"/>
              <w:left w:w="70" w:type="dxa"/>
              <w:bottom w:w="50" w:type="dxa"/>
              <w:right w:w="70" w:type="dxa"/>
            </w:tcMar>
            <w:vAlign w:val="center"/>
          </w:tcPr>
          <w:p>
            <w:pPr>
              <w:pStyle w:val="tablecopy"/>
            </w:pPr>
            <w:r>
              <w:t>64.1% ± 2.5%</w:t>
            </w:r>
          </w:p>
        </w:tc>
        <w:tc>
          <w:tcPr>
            <w:tcW w:w="1080" w:type="dxa"/>
            <w:tcBorders>
              <w:bottom w:val="single" w:sz="8" w:space="0" w:color="000000"/>
            </w:tcBorders>
            <w:tcMar>
              <w:top w:w="50" w:type="dxa"/>
              <w:left w:w="70" w:type="dxa"/>
              <w:bottom w:w="50" w:type="dxa"/>
              <w:right w:w="70" w:type="dxa"/>
            </w:tcMar>
            <w:vAlign w:val="center"/>
          </w:tcPr>
          <w:p>
            <w:pPr>
              <w:pStyle w:val="tablecopy"/>
            </w:pPr>
            <w:r>
              <w:t>1.54 ± 0.22</w:t>
            </w:r>
          </w:p>
        </w:tc>
        <w:tc>
          <w:tcPr>
            <w:tcW w:w="1224" w:type="dxa"/>
            <w:tcBorders>
              <w:bottom w:val="single" w:sz="8" w:space="0" w:color="000000"/>
            </w:tcBorders>
            <w:tcMar>
              <w:top w:w="50" w:type="dxa"/>
              <w:left w:w="70" w:type="dxa"/>
              <w:bottom w:w="50" w:type="dxa"/>
              <w:right w:w="70" w:type="dxa"/>
            </w:tcMar>
            <w:vAlign w:val="center"/>
          </w:tcPr>
          <w:p>
            <w:pPr>
              <w:pStyle w:val="tablecopy"/>
            </w:pPr>
            <w:r>
              <w:t>1.12 ± 0.20</w:t>
            </w:r>
          </w:p>
        </w:tc>
        <w:tc>
          <w:tcPr>
            <w:tcW w:type="dxa" w:w="864"/>
          </w:tcPr>
          <w:p>
            <w:pPr>
              <w:pStyle w:val="tablecopy"/>
            </w:pPr>
            <w:r>
              <w:t>22.4%</w:t>
            </w:r>
          </w:p>
        </w:tc>
        <w:tc>
          <w:tcPr>
            <w:tcW w:type="dxa" w:w="864"/>
          </w:tcPr>
          <w:p>
            <w:pPr>
              <w:pStyle w:val="tablecopy"/>
            </w:pPr>
            <w:r>
              <w:t>-3.15% ± 0.6%</w:t>
            </w:r>
          </w:p>
        </w:tc>
      </w:tr>
      <w:tr>
        <w:tc>
          <w:tcPr>
            <w:tcW w:type="dxa" w:w="1512"/>
          </w:tcPr>
          <w:p>
            <w:pPr>
              <w:pStyle w:val="tablecopy"/>
            </w:pPr>
            <w:r>
              <w:t>LSTM</w:t>
            </w:r>
          </w:p>
        </w:tc>
        <w:tc>
          <w:tcPr>
            <w:tcW w:type="dxa" w:w="1080"/>
          </w:tcPr>
          <w:p>
            <w:pPr>
              <w:pStyle w:val="tablecopy"/>
            </w:pPr>
            <w:r>
              <w:t>72.3% ± 1.5%</w:t>
            </w:r>
          </w:p>
        </w:tc>
        <w:tc>
          <w:tcPr>
            <w:tcW w:type="dxa" w:w="1080"/>
          </w:tcPr>
          <w:p>
            <w:pPr>
              <w:pStyle w:val="tablecopy"/>
            </w:pPr>
            <w:r>
              <w:t>1.82 ± 0.12</w:t>
            </w:r>
          </w:p>
        </w:tc>
        <w:tc>
          <w:tcPr>
            <w:tcW w:type="dxa" w:w="1224"/>
          </w:tcPr>
          <w:p>
            <w:pPr>
              <w:pStyle w:val="tablecopy"/>
            </w:pPr>
            <w:r>
              <w:t>1.45 ± 0.10</w:t>
            </w:r>
          </w:p>
        </w:tc>
        <w:tc>
          <w:tcPr>
            <w:tcW w:type="dxa" w:w="864"/>
          </w:tcPr>
          <w:p>
            <w:pPr>
              <w:pStyle w:val="tablecopy"/>
            </w:pPr>
            <w:r>
              <w:t>14.2%</w:t>
            </w:r>
          </w:p>
        </w:tc>
        <w:tc>
          <w:tcPr>
            <w:tcW w:type="dxa" w:w="864"/>
          </w:tcPr>
          <w:p>
            <w:pPr>
              <w:pStyle w:val="tablecopy"/>
            </w:pPr>
            <w:r>
              <w:t>-2.34% ± 0.2%</w:t>
            </w:r>
          </w:p>
        </w:tc>
      </w:tr>
      <w:tr>
        <w:tc>
          <w:tcPr>
            <w:tcW w:type="dxa" w:w="1512"/>
          </w:tcPr>
          <w:p>
            <w:pPr>
              <w:pStyle w:val="tablecopy"/>
            </w:pPr>
            <w:r>
              <w:t>GRU</w:t>
            </w:r>
          </w:p>
        </w:tc>
        <w:tc>
          <w:tcPr>
            <w:tcW w:type="dxa" w:w="1080"/>
          </w:tcPr>
          <w:p>
            <w:pPr>
              <w:pStyle w:val="tablecopy"/>
            </w:pPr>
            <w:r>
              <w:t>69.8% ± 2.1%</w:t>
            </w:r>
          </w:p>
        </w:tc>
        <w:tc>
          <w:tcPr>
            <w:tcW w:type="dxa" w:w="1080"/>
          </w:tcPr>
          <w:p>
            <w:pPr>
              <w:pStyle w:val="tablecopy"/>
            </w:pPr>
            <w:r>
              <w:t>1.68 ± 0.14</w:t>
            </w:r>
          </w:p>
        </w:tc>
        <w:tc>
          <w:tcPr>
            <w:tcW w:type="dxa" w:w="1224"/>
          </w:tcPr>
          <w:p>
            <w:pPr>
              <w:pStyle w:val="tablecopy"/>
            </w:pPr>
            <w:r>
              <w:t>1.32 ± 0.12</w:t>
            </w:r>
          </w:p>
        </w:tc>
        <w:tc>
          <w:tcPr>
            <w:tcW w:type="dxa" w:w="864"/>
          </w:tcPr>
          <w:p>
            <w:pPr>
              <w:pStyle w:val="tablecopy"/>
            </w:pPr>
            <w:r>
              <w:t>15.8%</w:t>
            </w:r>
          </w:p>
        </w:tc>
        <w:tc>
          <w:tcPr>
            <w:tcW w:type="dxa" w:w="864"/>
          </w:tcPr>
          <w:p>
            <w:pPr>
              <w:pStyle w:val="tablecopy"/>
            </w:pPr>
            <w:r>
              <w:t>-2.70% ± 0.4%</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The superior point-loss accuracy of the GRU (RMSE = 0.1058) may stem from its compact gating structure, which provides an effective inductive bias for modeling short-lag micro-volatility without the parameter over-parameterization of full self-attention. Conversely, the memory-cell dynamics of LSTM may be more effective at preserving trend directionality, which is consistent with its superior trading utility; these interpretations were not tested by ablation and remain hypotheses.</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1008"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Study</w:t>
            </w:r>
          </w:p>
        </w:tc>
        <w:tc>
          <w:tcPr>
            <w:tcW w:w="72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w:t>
            </w:r>
          </w:p>
        </w:tc>
        <w:tc>
          <w:tcPr>
            <w:tcW w:w="79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Asset / Interval</w:t>
            </w:r>
          </w:p>
        </w:tc>
        <w:tc>
          <w:tcPr>
            <w:tcW w:w="749"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RMSE (norm.)</w:t>
            </w:r>
          </w:p>
        </w:tc>
        <w:tc>
          <w:tcPr>
            <w:tcW w:w="835"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Directional Acc.</w:t>
            </w:r>
          </w:p>
        </w:tc>
        <w:tc>
          <w:tcPr>
            <w:tcW w:w="79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Sharpe Ratio</w:t>
            </w:r>
          </w:p>
        </w:tc>
      </w:tr>
      <w:tr w:rsidR="008A78AA" w14:paraId="38E8ED54" w14:textId="77777777">
        <w:trPr>
          <w:cantSplit/>
          <w:trHeight w:val="240"/>
          <w:jc w:val="center"/>
        </w:trPr>
        <w:tc>
          <w:tcPr>
            <w:tcW w:w="1008" w:type="dxa"/>
            <w:tcMar>
              <w:top w:w="50" w:type="dxa"/>
              <w:left w:w="70" w:type="dxa"/>
              <w:bottom w:w="50" w:type="dxa"/>
              <w:right w:w="70" w:type="dxa"/>
            </w:tcMar>
            <w:vAlign w:val="center"/>
          </w:tcPr>
          <w:p>
            <w:pPr>
              <w:pStyle w:val="tablecopy"/>
            </w:pPr>
            <w:r>
              <w:t>McNally et al. [13] (2018)</w:t>
            </w:r>
          </w:p>
        </w:tc>
        <w:tc>
          <w:tcPr>
            <w:tcW w:w="720" w:type="dxa"/>
            <w:tcMar>
              <w:top w:w="50" w:type="dxa"/>
              <w:left w:w="70" w:type="dxa"/>
              <w:bottom w:w="50" w:type="dxa"/>
              <w:right w:w="70" w:type="dxa"/>
            </w:tcMar>
            <w:vAlign w:val="center"/>
          </w:tcPr>
          <w:p>
            <w:pPr>
              <w:pStyle w:val="tablecopy"/>
            </w:pPr>
            <w:r>
              <w:t>LSTM &amp; RNN</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52.8% – 58.3%</w:t>
            </w:r>
          </w:p>
        </w:tc>
        <w:tc>
          <w:tcPr>
            <w:tcW w:w="792" w:type="dxa"/>
            <w:tcMar>
              <w:top w:w="50" w:type="dxa"/>
              <w:left w:w="70" w:type="dxa"/>
              <w:bottom w:w="50" w:type="dxa"/>
              <w:right w:w="70" w:type="dxa"/>
            </w:tcMar>
            <w:vAlign w:val="center"/>
          </w:tcPr>
          <w:p>
            <w:pPr>
              <w:pStyle w:val="tablecopy"/>
            </w:pPr>
            <w:r>
              <w:t>N/R</w:t>
            </w:r>
          </w:p>
        </w:tc>
      </w:tr>
      <w:tr w:rsidR="008A78AA" w14:paraId="0F1C74E0" w14:textId="77777777">
        <w:trPr>
          <w:cantSplit/>
          <w:trHeight w:val="240"/>
          <w:jc w:val="center"/>
        </w:trPr>
        <w:tc>
          <w:tcPr>
            <w:tcW w:w="1008" w:type="dxa"/>
            <w:tcMar>
              <w:top w:w="50" w:type="dxa"/>
              <w:left w:w="70" w:type="dxa"/>
              <w:bottom w:w="50" w:type="dxa"/>
              <w:right w:w="70" w:type="dxa"/>
            </w:tcMar>
            <w:vAlign w:val="center"/>
          </w:tcPr>
          <w:p>
            <w:pPr>
              <w:pStyle w:val="tablecopy"/>
            </w:pPr>
            <w:r>
              <w:t>Mallqui &amp; Fernandes [17] (2019)</w:t>
            </w:r>
          </w:p>
        </w:tc>
        <w:tc>
          <w:tcPr>
            <w:tcW w:w="720" w:type="dxa"/>
            <w:tcMar>
              <w:top w:w="50" w:type="dxa"/>
              <w:left w:w="70" w:type="dxa"/>
              <w:bottom w:w="50" w:type="dxa"/>
              <w:right w:w="70" w:type="dxa"/>
            </w:tcMar>
            <w:vAlign w:val="center"/>
          </w:tcPr>
          <w:p>
            <w:pPr>
              <w:pStyle w:val="tablecopy"/>
            </w:pPr>
            <w:r>
              <w:t>Ensemble &amp; SVM</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63.8% – 66.2%</w:t>
            </w:r>
          </w:p>
        </w:tc>
        <w:tc>
          <w:tcPr>
            <w:tcW w:w="792" w:type="dxa"/>
            <w:tcMar>
              <w:top w:w="50" w:type="dxa"/>
              <w:left w:w="70" w:type="dxa"/>
              <w:bottom w:w="50" w:type="dxa"/>
              <w:right w:w="70" w:type="dxa"/>
            </w:tcMar>
            <w:vAlign w:val="center"/>
          </w:tcPr>
          <w:p>
            <w:pPr>
              <w:pStyle w:val="tablecopy"/>
            </w:pPr>
            <w:r>
              <w:t>N/R</w:t>
            </w:r>
          </w:p>
        </w:tc>
      </w:tr>
      <w:tr w:rsidR="008A78AA" w14:paraId="0B9DF4AD" w14:textId="77777777">
        <w:trPr>
          <w:cantSplit/>
          <w:trHeight w:val="240"/>
          <w:jc w:val="center"/>
        </w:trPr>
        <w:tc>
          <w:tcPr>
            <w:tcW w:w="1008" w:type="dxa"/>
            <w:tcMar>
              <w:top w:w="50" w:type="dxa"/>
              <w:left w:w="70" w:type="dxa"/>
              <w:bottom w:w="50" w:type="dxa"/>
              <w:right w:w="70" w:type="dxa"/>
            </w:tcMar>
            <w:vAlign w:val="center"/>
          </w:tcPr>
          <w:p>
            <w:pPr>
              <w:pStyle w:val="tablecopy"/>
            </w:pPr>
            <w:r>
              <w:t>Lahmiri &amp; Bekiros [39] (2019)</w:t>
            </w:r>
          </w:p>
        </w:tc>
        <w:tc>
          <w:tcPr>
            <w:tcW w:w="720" w:type="dxa"/>
            <w:tcMar>
              <w:top w:w="50" w:type="dxa"/>
              <w:left w:w="70" w:type="dxa"/>
              <w:bottom w:w="50" w:type="dxa"/>
              <w:right w:w="70" w:type="dxa"/>
            </w:tcMar>
            <w:vAlign w:val="center"/>
          </w:tcPr>
          <w:p>
            <w:pPr>
              <w:pStyle w:val="tablecopy"/>
            </w:pPr>
            <w:r>
              <w:t>Deep Chaotic NN</w:t>
            </w:r>
          </w:p>
        </w:tc>
        <w:tc>
          <w:tcPr>
            <w:tcW w:w="792" w:type="dxa"/>
            <w:tcMar>
              <w:top w:w="50" w:type="dxa"/>
              <w:left w:w="70" w:type="dxa"/>
              <w:bottom w:w="50" w:type="dxa"/>
              <w:right w:w="70" w:type="dxa"/>
            </w:tcMar>
            <w:vAlign w:val="center"/>
          </w:tcPr>
          <w:p>
            <w:pPr>
              <w:pStyle w:val="tablecopy"/>
            </w:pPr>
            <w:r>
              <w:t>BTC / Intraday</w:t>
            </w:r>
          </w:p>
        </w:tc>
        <w:tc>
          <w:tcPr>
            <w:tcW w:w="749" w:type="dxa"/>
            <w:tcMar>
              <w:top w:w="50" w:type="dxa"/>
              <w:left w:w="70" w:type="dxa"/>
              <w:bottom w:w="50" w:type="dxa"/>
              <w:right w:w="70" w:type="dxa"/>
            </w:tcMar>
            <w:vAlign w:val="center"/>
          </w:tcPr>
          <w:p>
            <w:pPr>
              <w:pStyle w:val="tablecopy"/>
            </w:pPr>
            <w:r>
              <w:t>0.078 – 0.124</w:t>
            </w:r>
          </w:p>
        </w:tc>
        <w:tc>
          <w:tcPr>
            <w:tcW w:w="835" w:type="dxa"/>
            <w:tcMar>
              <w:top w:w="50" w:type="dxa"/>
              <w:left w:w="70" w:type="dxa"/>
              <w:bottom w:w="50" w:type="dxa"/>
              <w:right w:w="70" w:type="dxa"/>
            </w:tcMar>
            <w:vAlign w:val="center"/>
          </w:tcPr>
          <w:p>
            <w:pPr>
              <w:pStyle w:val="tablecopy"/>
            </w:pPr>
            <w:r>
              <w:t>N/R</w:t>
            </w:r>
          </w:p>
        </w:tc>
        <w:tc>
          <w:tcPr>
            <w:tcW w:w="792" w:type="dxa"/>
            <w:tcMar>
              <w:top w:w="50" w:type="dxa"/>
              <w:left w:w="70" w:type="dxa"/>
              <w:bottom w:w="50" w:type="dxa"/>
              <w:right w:w="70" w:type="dxa"/>
            </w:tcMar>
            <w:vAlign w:val="center"/>
          </w:tcPr>
          <w:p>
            <w:pPr>
              <w:pStyle w:val="tablecopy"/>
            </w:pPr>
            <w:r>
              <w:t>N/R</w:t>
            </w:r>
          </w:p>
        </w:tc>
      </w:tr>
      <w:tr w:rsidR="008A78AA" w14:paraId="024A5AEF" w14:textId="77777777">
        <w:trPr>
          <w:cantSplit/>
          <w:trHeight w:val="240"/>
          <w:jc w:val="center"/>
        </w:trPr>
        <w:tc>
          <w:tcPr>
            <w:tcW w:w="1008" w:type="dxa"/>
            <w:tcMar>
              <w:top w:w="50" w:type="dxa"/>
              <w:left w:w="70" w:type="dxa"/>
              <w:bottom w:w="50" w:type="dxa"/>
              <w:right w:w="70" w:type="dxa"/>
            </w:tcMar>
            <w:vAlign w:val="center"/>
          </w:tcPr>
          <w:p>
            <w:pPr>
              <w:pStyle w:val="tablecopy"/>
            </w:pPr>
            <w:r>
              <w:t>Livieris et al. [40] (2021)</w:t>
            </w:r>
          </w:p>
        </w:tc>
        <w:tc>
          <w:tcPr>
            <w:tcW w:w="720" w:type="dxa"/>
            <w:tcMar>
              <w:top w:w="50" w:type="dxa"/>
              <w:left w:w="70" w:type="dxa"/>
              <w:bottom w:w="50" w:type="dxa"/>
              <w:right w:w="70" w:type="dxa"/>
            </w:tcMar>
            <w:vAlign w:val="center"/>
          </w:tcPr>
          <w:p>
            <w:pPr>
              <w:pStyle w:val="tablecopy"/>
            </w:pPr>
            <w:r>
              <w:t>CNN-LSTM</w:t>
            </w:r>
          </w:p>
        </w:tc>
        <w:tc>
          <w:tcPr>
            <w:tcW w:w="792" w:type="dxa"/>
            <w:tcMar>
              <w:top w:w="50" w:type="dxa"/>
              <w:left w:w="70" w:type="dxa"/>
              <w:bottom w:w="50" w:type="dxa"/>
              <w:right w:w="70" w:type="dxa"/>
            </w:tcMar>
            <w:vAlign w:val="center"/>
          </w:tcPr>
          <w:p>
            <w:pPr>
              <w:pStyle w:val="tablecopy"/>
            </w:pPr>
            <w:r>
              <w:t>BTC / 1-hour</w:t>
            </w:r>
          </w:p>
        </w:tc>
        <w:tc>
          <w:tcPr>
            <w:tcW w:w="749" w:type="dxa"/>
            <w:tcMar>
              <w:top w:w="50" w:type="dxa"/>
              <w:left w:w="70" w:type="dxa"/>
              <w:bottom w:w="50" w:type="dxa"/>
              <w:right w:w="70" w:type="dxa"/>
            </w:tcMar>
            <w:vAlign w:val="center"/>
          </w:tcPr>
          <w:p>
            <w:pPr>
              <w:pStyle w:val="tablecopy"/>
            </w:pPr>
            <w:r>
              <w:t>0.065 – 0.115</w:t>
            </w:r>
          </w:p>
        </w:tc>
        <w:tc>
          <w:tcPr>
            <w:tcW w:w="835" w:type="dxa"/>
            <w:tcMar>
              <w:top w:w="50" w:type="dxa"/>
              <w:left w:w="70" w:type="dxa"/>
              <w:bottom w:w="50" w:type="dxa"/>
              <w:right w:w="70" w:type="dxa"/>
            </w:tcMar>
            <w:vAlign w:val="center"/>
          </w:tcPr>
          <w:p>
            <w:pPr>
              <w:pStyle w:val="tablecopy"/>
            </w:pPr>
            <w:r>
              <w:t>55.4% – 62.8%</w:t>
            </w:r>
          </w:p>
        </w:tc>
        <w:tc>
          <w:tcPr>
            <w:tcW w:w="792" w:type="dxa"/>
            <w:tcMar>
              <w:top w:w="50" w:type="dxa"/>
              <w:left w:w="70" w:type="dxa"/>
              <w:bottom w:w="50" w:type="dxa"/>
              <w:right w:w="70" w:type="dxa"/>
            </w:tcMar>
            <w:vAlign w:val="center"/>
          </w:tcPr>
          <w:p>
            <w:pPr>
              <w:pStyle w:val="tablecopy"/>
            </w:pPr>
            <w:r>
              <w:t>N/R</w:t>
            </w:r>
          </w:p>
        </w:tc>
      </w:tr>
      <w:tr w:rsidR="008A78AA" w14:paraId="580E14A7" w14:textId="77777777">
        <w:trPr>
          <w:cantSplit/>
          <w:trHeight w:val="240"/>
          <w:jc w:val="center"/>
        </w:trPr>
        <w:tc>
          <w:tcPr>
            <w:tcW w:w="1008" w:type="dxa"/>
            <w:tcMar>
              <w:top w:w="50" w:type="dxa"/>
              <w:left w:w="70" w:type="dxa"/>
              <w:bottom w:w="50" w:type="dxa"/>
              <w:right w:w="70" w:type="dxa"/>
            </w:tcMar>
            <w:vAlign w:val="center"/>
          </w:tcPr>
          <w:p>
            <w:pPr>
              <w:pStyle w:val="tablecopy"/>
            </w:pPr>
            <w:r>
              <w:t>Sebastião &amp; Godinho [42] (2021)</w:t>
            </w:r>
          </w:p>
        </w:tc>
        <w:tc>
          <w:tcPr>
            <w:tcW w:w="720" w:type="dxa"/>
            <w:tcMar>
              <w:top w:w="50" w:type="dxa"/>
              <w:left w:w="70" w:type="dxa"/>
              <w:bottom w:w="50" w:type="dxa"/>
              <w:right w:w="70" w:type="dxa"/>
            </w:tcMar>
            <w:vAlign w:val="center"/>
          </w:tcPr>
          <w:p>
            <w:pPr>
              <w:pStyle w:val="tablecopy"/>
            </w:pPr>
            <w:r>
              <w:t>ML Ensembles</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55.2% – 63.4%</w:t>
            </w:r>
          </w:p>
        </w:tc>
        <w:tc>
          <w:tcPr>
            <w:tcW w:w="792" w:type="dxa"/>
            <w:tcMar>
              <w:top w:w="50" w:type="dxa"/>
              <w:left w:w="70" w:type="dxa"/>
              <w:bottom w:w="50" w:type="dxa"/>
              <w:right w:w="70" w:type="dxa"/>
            </w:tcMar>
            <w:vAlign w:val="center"/>
          </w:tcPr>
          <w:p>
            <w:pPr>
              <w:pStyle w:val="tablecopy"/>
            </w:pPr>
            <w:r>
              <w:t>1.10 – 1.35</w:t>
            </w:r>
          </w:p>
        </w:tc>
      </w:tr>
      <w:tr w:rsidR="008A78AA" w14:paraId="3AD22A86" w14:textId="77777777">
        <w:trPr>
          <w:cantSplit/>
          <w:trHeight w:val="240"/>
          <w:jc w:val="center"/>
        </w:trPr>
        <w:tc>
          <w:tcPr>
            <w:tcW w:w="1008" w:type="dxa"/>
            <w:tcMar>
              <w:top w:w="50" w:type="dxa"/>
              <w:left w:w="70" w:type="dxa"/>
              <w:bottom w:w="50" w:type="dxa"/>
              <w:right w:w="70" w:type="dxa"/>
            </w:tcMar>
            <w:vAlign w:val="center"/>
          </w:tcPr>
          <w:p>
            <w:pPr>
              <w:pStyle w:val="tablecopy"/>
            </w:pPr>
            <w:r>
              <w:t>Peng et al. [45] (2024)</w:t>
            </w:r>
          </w:p>
        </w:tc>
        <w:tc>
          <w:tcPr>
            <w:tcW w:w="720" w:type="dxa"/>
            <w:tcMar>
              <w:top w:w="50" w:type="dxa"/>
              <w:left w:w="70" w:type="dxa"/>
              <w:bottom w:w="50" w:type="dxa"/>
              <w:right w:w="70" w:type="dxa"/>
            </w:tcMar>
            <w:vAlign w:val="center"/>
          </w:tcPr>
          <w:p>
            <w:pPr>
              <w:pStyle w:val="tablecopy"/>
            </w:pPr>
            <w:r>
              <w:t>Att.-CNN-LSTM</w:t>
            </w:r>
          </w:p>
        </w:tc>
        <w:tc>
          <w:tcPr>
            <w:tcW w:w="792" w:type="dxa"/>
            <w:tcMar>
              <w:top w:w="50" w:type="dxa"/>
              <w:left w:w="70" w:type="dxa"/>
              <w:bottom w:w="50" w:type="dxa"/>
              <w:right w:w="70" w:type="dxa"/>
            </w:tcMar>
            <w:vAlign w:val="center"/>
          </w:tcPr>
          <w:p>
            <w:pPr>
              <w:pStyle w:val="tablecopy"/>
            </w:pPr>
            <w:r>
              <w:t>Multi-Crypto / 1h</w:t>
            </w:r>
          </w:p>
        </w:tc>
        <w:tc>
          <w:tcPr>
            <w:tcW w:w="749" w:type="dxa"/>
            <w:tcMar>
              <w:top w:w="50" w:type="dxa"/>
              <w:left w:w="70" w:type="dxa"/>
              <w:bottom w:w="50" w:type="dxa"/>
              <w:right w:w="70" w:type="dxa"/>
            </w:tcMar>
            <w:vAlign w:val="center"/>
          </w:tcPr>
          <w:p>
            <w:pPr>
              <w:pStyle w:val="tablecopy"/>
            </w:pPr>
            <w:r>
              <w:t>0.112 – 0.148</w:t>
            </w:r>
          </w:p>
        </w:tc>
        <w:tc>
          <w:tcPr>
            <w:tcW w:w="835" w:type="dxa"/>
            <w:tcMar>
              <w:top w:w="50" w:type="dxa"/>
              <w:left w:w="70" w:type="dxa"/>
              <w:bottom w:w="50" w:type="dxa"/>
              <w:right w:w="70" w:type="dxa"/>
            </w:tcMar>
            <w:vAlign w:val="center"/>
          </w:tcPr>
          <w:p>
            <w:pPr>
              <w:pStyle w:val="tablecopy"/>
            </w:pPr>
            <w:r>
              <w:t>61.5% – 67.8%</w:t>
            </w:r>
          </w:p>
        </w:tc>
        <w:tc>
          <w:tcPr>
            <w:tcW w:w="792" w:type="dxa"/>
            <w:tcMar>
              <w:top w:w="50" w:type="dxa"/>
              <w:left w:w="70" w:type="dxa"/>
              <w:bottom w:w="50" w:type="dxa"/>
              <w:right w:w="70" w:type="dxa"/>
            </w:tcMar>
            <w:vAlign w:val="center"/>
          </w:tcPr>
          <w:p>
            <w:pPr>
              <w:pStyle w:val="tablecopy"/>
            </w:pPr>
            <w:r>
              <w:t>N/R</w:t>
            </w:r>
          </w:p>
        </w:tc>
      </w:tr>
      <w:tr w:rsidR="008A78AA" w14:paraId="4F852FDB" w14:textId="77777777">
        <w:trPr>
          <w:cantSplit/>
          <w:trHeight w:val="240"/>
          <w:jc w:val="center"/>
        </w:trPr>
        <w:tc>
          <w:tcPr>
            <w:tcW w:w="1008" w:type="dxa"/>
            <w:tcBorders>
              <w:bottom w:val="single" w:sz="8" w:space="0" w:color="000000"/>
            </w:tcBorders>
            <w:tcMar>
              <w:top w:w="50" w:type="dxa"/>
              <w:left w:w="70" w:type="dxa"/>
              <w:bottom w:w="50" w:type="dxa"/>
              <w:right w:w="70" w:type="dxa"/>
            </w:tcMar>
            <w:vAlign w:val="center"/>
          </w:tcPr>
          <w:p>
            <w:pPr>
              <w:pStyle w:val="tablecopy"/>
            </w:pPr>
            <w:r>
              <w:t>This study (GRU, best RMSE)</w:t>
            </w:r>
          </w:p>
        </w:tc>
        <w:tc>
          <w:tcPr>
            <w:tcW w:w="720" w:type="dxa"/>
            <w:tcBorders>
              <w:bottom w:val="single" w:sz="8" w:space="0" w:color="000000"/>
            </w:tcBorders>
            <w:tcMar>
              <w:top w:w="50" w:type="dxa"/>
              <w:left w:w="70" w:type="dxa"/>
              <w:bottom w:w="50" w:type="dxa"/>
              <w:right w:w="70" w:type="dxa"/>
            </w:tcMar>
            <w:vAlign w:val="center"/>
          </w:tcPr>
          <w:p>
            <w:pPr>
              <w:pStyle w:val="tablecopy"/>
            </w:pPr>
            <w:r>
              <w:t>GRU</w:t>
            </w:r>
          </w:p>
        </w:tc>
        <w:tc>
          <w:tcPr>
            <w:tcW w:w="792" w:type="dxa"/>
            <w:tcBorders>
              <w:bottom w:val="single" w:sz="8" w:space="0" w:color="000000"/>
            </w:tcBorders>
            <w:tcMar>
              <w:top w:w="50" w:type="dxa"/>
              <w:left w:w="70" w:type="dxa"/>
              <w:bottom w:w="50" w:type="dxa"/>
              <w:right w:w="70" w:type="dxa"/>
            </w:tcMar>
            <w:vAlign w:val="center"/>
          </w:tcPr>
          <w:p>
            <w:pPr>
              <w:pStyle w:val="tablecopy"/>
            </w:pPr>
            <w:r>
              <w:t>BTC/USDT / 1-hour</w:t>
            </w:r>
          </w:p>
        </w:tc>
        <w:tc>
          <w:tcPr>
            <w:tcW w:w="749" w:type="dxa"/>
            <w:tcBorders>
              <w:bottom w:val="single" w:sz="8" w:space="0" w:color="000000"/>
            </w:tcBorders>
            <w:tcMar>
              <w:top w:w="50" w:type="dxa"/>
              <w:left w:w="70" w:type="dxa"/>
              <w:bottom w:w="50" w:type="dxa"/>
              <w:right w:w="70" w:type="dxa"/>
            </w:tcMar>
            <w:vAlign w:val="center"/>
          </w:tcPr>
          <w:p>
            <w:pPr>
              <w:pStyle w:val="tablecopy"/>
            </w:pPr>
            <w:r>
              <w:t>0.1058 ± 0.0034</w:t>
            </w:r>
          </w:p>
        </w:tc>
        <w:tc>
          <w:tcPr>
            <w:tcW w:w="835" w:type="dxa"/>
            <w:tcBorders>
              <w:bottom w:val="single" w:sz="8" w:space="0" w:color="000000"/>
            </w:tcBorders>
            <w:tcMar>
              <w:top w:w="50" w:type="dxa"/>
              <w:left w:w="70" w:type="dxa"/>
              <w:bottom w:w="50" w:type="dxa"/>
              <w:right w:w="70" w:type="dxa"/>
            </w:tcMar>
            <w:vAlign w:val="center"/>
          </w:tcPr>
          <w:p>
            <w:pPr>
              <w:pStyle w:val="tablecopy"/>
            </w:pPr>
            <w:r>
              <w:t>69.8% ± 2.1%</w:t>
            </w:r>
          </w:p>
        </w:tc>
        <w:tc>
          <w:tcPr>
            <w:tcW w:w="792" w:type="dxa"/>
            <w:tcBorders>
              <w:bottom w:val="single" w:sz="8" w:space="0" w:color="000000"/>
            </w:tcBorders>
            <w:tcMar>
              <w:top w:w="50" w:type="dxa"/>
              <w:left w:w="70" w:type="dxa"/>
              <w:bottom w:w="50" w:type="dxa"/>
              <w:right w:w="70" w:type="dxa"/>
            </w:tcMar>
            <w:vAlign w:val="center"/>
          </w:tcPr>
          <w:p>
            <w:pPr>
              <w:pStyle w:val="tablecopy"/>
            </w:pPr>
            <w:r>
              <w:t>1.32 ± 0.12</w:t>
            </w:r>
          </w:p>
        </w:tc>
      </w:tr>
      <w:tr>
        <w:tc>
          <w:tcPr>
            <w:tcW w:type="dxa" w:w="1008"/>
          </w:tcPr>
          <w:p>
            <w:pPr>
              <w:pStyle w:val="tablecopy"/>
            </w:pPr>
            <w:r>
              <w:t>This study (LSTM, best DA)</w:t>
            </w:r>
          </w:p>
        </w:tc>
        <w:tc>
          <w:tcPr>
            <w:tcW w:type="dxa" w:w="720"/>
          </w:tcPr>
          <w:p>
            <w:pPr>
              <w:pStyle w:val="tablecopy"/>
            </w:pPr>
            <w:r>
              <w:t>LSTM</w:t>
            </w:r>
          </w:p>
        </w:tc>
        <w:tc>
          <w:tcPr>
            <w:tcW w:type="dxa" w:w="792"/>
          </w:tcPr>
          <w:p>
            <w:pPr>
              <w:pStyle w:val="tablecopy"/>
            </w:pPr>
            <w:r>
              <w:t>BTC/USDT / 1-hour</w:t>
            </w:r>
          </w:p>
        </w:tc>
        <w:tc>
          <w:tcPr>
            <w:tcW w:type="dxa" w:w="749"/>
          </w:tcPr>
          <w:p>
            <w:pPr>
              <w:pStyle w:val="tablecopy"/>
            </w:pPr>
            <w:r>
              <w:t>0.1145 ± 0.0051</w:t>
            </w:r>
          </w:p>
        </w:tc>
        <w:tc>
          <w:tcPr>
            <w:tcW w:type="dxa" w:w="835"/>
          </w:tcPr>
          <w:p>
            <w:pPr>
              <w:pStyle w:val="tablecopy"/>
            </w:pPr>
            <w:r>
              <w:t>72.3% ± 1.5%</w:t>
            </w:r>
          </w:p>
        </w:tc>
        <w:tc>
          <w:tcPr>
            <w:tcW w:type="dxa" w:w="792"/>
          </w:tcPr>
          <w:p>
            <w:pPr>
              <w:pStyle w:val="tablecopy"/>
            </w:pPr>
            <w:r>
              <w:t>1.45 ± 0.10</w:t>
            </w:r>
          </w:p>
        </w:tc>
      </w:tr>
    </w:tbl>
    <w:p w14:paraId="4389BC00" w14:textId="77777777" w:rsidR="008A78AA" w:rsidRDefault="008A78AA">
      <w:pPr>
        <w:pStyle w:val="BodyText"/>
      </w:pPr>
    </w:p>
    <w:p w14:paraId="15FE24DE" w14:textId="77777777" w:rsidR="008A78AA" w:rsidRDefault="00120A85">
      <w:pPr>
        <w:pStyle w:val="BodyText"/>
      </w:pPr>
      <w:r>
        <w:t>Table III contextualizes our empirical results within the broader peer-reviewed literature. Because assets, sampling frequencies, and normalization protocols differ across studies, the comparison is indicative rather than strictly identical. McNally et al. [13] evaluated LSTM and recurrent models on daily Bitcoin data, reporting Directional Accuracy of 52.8%–58.3%. Mallqui and Fernandes [17] achieved Directional Accuracy of 63.8%–66.2% using SVM and ensemble methods for Bitcoin price direction forecasting. Lahmiri and Bekiros [39] evaluated chaotic deep neural networks on Bitcoin intraday series, reporting normalized RMSE between 0.078 and 0.124. Livieris et al. [40] developed an advanced CNN–LSTM model on hourly cryptocurrency data, reporting normalized RMSE between 0.065 and 0.115 and Directional Accuracy of 55.4%–62.8%. Sebastião and Godinho [42] implemented machine learning ensembles with transaction costs (0.50% round-trip), reporting Directional Accuracy of 55.2%–63.4% and annualized Sharpe Ratios between 1.10 and 1.35. Peng et al. [45] demonstrated that attention-based CNN–LSTM models achieve Directional Accuracy of 61.5%–67.8% and normalized RMSE of 0.112–0.148 on high-frequency cryptocurrency data. Our proposed framework advances beyond prior literature by coupling superior Directional Accuracy (LSTM DA = 72.3% ± 1.5%) and robust risk-adjusted return (Net Sharpe = 1.45 ± 0.10, Daily VaR95% = −2.34%) with an operational, latency-verified Microsoft Power BI decision-support architecture, directly answering the challenge highlighted by Amirzadeh et al. [44].</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The primary failure regime identified across all models corresponds to volatility surges exceeding the ±3σ rolling threshold. Because purely technical price features cannot capture sudden macro-sentiment contagion, integrating on-chain data and NLP-derived news sentiment [36] represents a promising direction for enhancing robustness during tail-risk events.</w:t>
      </w:r>
    </w:p>
    <w:p w14:paraId="6B08DE29" w14:textId="77777777" w:rsidR="008A78AA" w:rsidRDefault="008A78AA">
      <w:pPr>
        <w:pStyle w:val="BodyText"/>
      </w:pPr>
    </w:p>
    <w:p w14:paraId="4E3FC46D" w14:textId="77777777" w:rsidR="008A78AA" w:rsidRDefault="008A78AA">
      <w:pPr>
        <w:pStyle w:val="BodyText"/>
      </w:pPr>
    </w:p>
    <w:p w14:paraId="7F5F7B69" w14:textId="77777777" w:rsidR="008A78AA" w:rsidRDefault="00000000">
      <w:pPr>
        <w:pStyle w:val="BodyText"/>
        <w:ind w:firstLine="0"/>
        <w:jc w:val="center"/>
      </w:pPr>
      <w:r>
        <w:rPr>
          <w:noProof/>
        </w:rPr>
        <w:drawing>
          <wp:inline distT="0" distB="0" distL="0" distR="0" wp14:anchorId="62A66FC8" wp14:editId="261B4232">
            <wp:extent cx="3108960" cy="2409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3108960" cy="2409831"/>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w:t>
      </w:r>
    </w:p>
    <w:p w14:paraId="51D91C75" w14:textId="77777777" w:rsidR="008A78AA" w:rsidRDefault="00000000">
      <w:pPr>
        <w:pStyle w:val="Heading3"/>
      </w:pPr>
      <w:r>
        <w:t>Limitations:</w:t>
      </w:r>
    </w:p>
    <w:p w14:paraId="11259D1B" w14:textId="77777777" w:rsidR="008A78AA" w:rsidRDefault="00A018D2">
      <w:pPr>
        <w:pStyle w:val="BodyText"/>
      </w:pPr>
      <w:r>
        <w:t>Several limitations should be noted. First, the study covers a single asset (BTC/USDT) on a single exchange, so the findings may not generalize to other assets or trading venues. Second, the evaluation is a historical walk-forward back-test rather than live trading; the dashboard was verified on stored model outputs, market-impact effects were not modeled, and slippage was approximated only through a simulated bid-ask spread. Third, each fold uses a short 720-hour training window and a fixed 24-hour lookback, which may favor some architectures over others. Fourth, the differences in Directional Accuracy and Sharpe Ratio between the LSTM and GRU were not subjected to separate significance testing. Finally, the usability study involved 15 evaluators, only five of whom were financial-analytics professionals.</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Business Intelligence and Deep Learning framework that integrates sequential predictive models into an enterprise decision-support architecture. Evaluated across 43,786 hourly BTC/USDT observations under a 24-fold chronological Walk-Forward protocol, the framework demonstrated the feasibility of bridging statistical forecasting with real-time risk governance.</w:t>
      </w:r>
    </w:p>
    <w:p w14:paraId="49D09725" w14:textId="77777777" w:rsidR="008A78AA" w:rsidRDefault="00000000">
      <w:pPr>
        <w:pStyle w:val="BodyText"/>
      </w:pPr>
      <w:r>
        <w:t>The empirical findings reveal a crucial divergence between statistical accuracy and financial decision utility: while the GRU achieved the lowest point-forecasting error (RMSE = 0.1058 ± 0.0034; Friedman p &lt; 0.0001), the LSTM generated the highest Directional Accuracy (72.3% ± 1.5%) and superior risk-adjusted return (annualized Sharpe Ratio = 1.45 ± 0.10, VaR95% = −2.34%). Usability evaluation indicated high perceived usability (SUS score = 86.4, n = 15).</w:t>
      </w:r>
    </w:p>
    <w:p w14:paraId="624345E6" w14:textId="77777777" w:rsidR="008A78AA" w:rsidRDefault="00000000">
      <w:pPr>
        <w:pStyle w:val="BodyText"/>
      </w:pPr>
      <w:r>
        <w:t>Four promising avenues for future research include: (1) integrating multi-modal sentiment and on-chain metrics to mitigate the ±3σ tail-risk failure mode; (2) extending validation to multi-asset portfolios (e.g., ETH/USDT, BNB/USDT); (3) benchmarking emerging time-series architectures such as PatchTST and TimesNet under the same protocol; and (4) formalizing enterprise regulatory compliance frameworks (e.g., MiFID II audit trails and sub-200 ms execution latencies).</w:t>
      </w:r>
    </w:p>
    <w:p w14:paraId="49DD7221" w14:textId="77777777" w:rsidR="008A78AA" w:rsidRDefault="00000000">
      <w:pPr>
        <w:pStyle w:val="Heading5"/>
      </w:pPr>
      <w:commentRangeStart w:id="13"/>
      <w:r>
        <w:t>Conflict of Interest Statement</w:t>
      </w:r>
      <w:commentRangeEnd w:id="13"/>
      <w:r>
        <w:rPr>
          <w:rStyle w:val="CommentReference"/>
        </w:rPr>
        <w:commentReference w:id="13"/>
      </w:r>
    </w:p>
    <w:p w14:paraId="4F703334" w14:textId="77777777" w:rsidR="008A78AA" w:rsidRDefault="00000000">
      <w:pPr>
        <w:pStyle w:val="BodyText"/>
      </w:pPr>
      <w:r>
        <w:t>The authors declare no competing financial or institutional interests.</w:t>
      </w:r>
    </w:p>
    <w:p w14:paraId="1E693C37" w14:textId="77777777" w:rsidR="008A78AA" w:rsidRDefault="00000000">
      <w:pPr>
        <w:pStyle w:val="Heading5"/>
      </w:pPr>
      <w:r>
        <w:t>Data Availability</w:t>
      </w:r>
    </w:p>
    <w:p w14:paraId="4637DA27" w14:textId="77777777" w:rsidR="008A78AA" w:rsidRDefault="00000000">
      <w:pPr>
        <w:pStyle w:val="BodyText"/>
      </w:pPr>
      <w:r>
        <w:t>Raw hourly OHLCV data are publicly available from the Binance Spot API [29]. The complete experimental codebase, 24-fold Walk-Forward evaluation pipelines, statistical testing scripts, and Microsoft Power BI dashboard template are openly available in the public GitHub repository: https://github.com/asepsurahman/crypto-dl-bi-forecasting. Correspondence regarding data and implementation should be addressed to Asep Surahman Sulaeman (asep.surahman@nusaputra.ac.id).</w:t>
      </w:r>
    </w:p>
    <w:p>
      <w:pPr>
        <w:pStyle w:val="Heading5"/>
      </w:pPr>
      <w:r>
        <w:t>Ethical Approval and Consent</w:t>
      </w:r>
    </w:p>
    <w:p>
      <w:pPr>
        <w:pStyle w:val="BodyText"/>
      </w:pPr>
      <w:r>
        <w:t>The usability evaluation protocol involving human participants was formally reviewed and approved by the Research Ethics Review Committee of Universitas Nusa Putra (Protocol Ref: UNP-REC/2026/04-019). Prior to participation, written informed consent was obtained from all 15 individual participants. The study was non-interventional, strictly voluntary, uncompensated, and fully anonymized, with no personally identifiable information collected.</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P. Katsiampa, “Volatility estimation for Bitcoin: A comparison of GARCH models,” </w:t>
      </w:r>
      <w:r>
        <w:rPr>
          <w:i/>
          <w:iCs/>
        </w:rPr>
        <w:t>Econ. Lett.</w:t>
      </w:r>
      <w:r>
        <w:t xml:space="preserve">, vol. 158, pp. 3–6, 2017, doi: 10.1016/j.econlet.2017.06.023.</w:t>
      </w:r>
      <w:r>
        <w:rPr>
          <w:i/>
          <w:iCs/>
        </w:rPr>
      </w:r>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B. M. Henrique, V. A. Sobreiro, and H. Kimura, “Literature review: Machine learning techniques applied to financial market prediction,” </w:t>
      </w:r>
      <w:r>
        <w:rPr>
          <w:i/>
          <w:iCs/>
        </w:rPr>
        <w:t>Expert Syst. Appl.</w:t>
      </w:r>
      <w:r>
        <w:t xml:space="preserve">, vol. 124, pp. 226–251, 2019, doi: 10.1016/j.eswa.2019.01.012.</w:t>
      </w:r>
      <w:r>
        <w:rPr>
          <w:i/>
          <w:iCs/>
        </w:rPr>
      </w:r>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vol. 14, pp. 201–226, 2016, doi: 10.1007/s40953-016-0023-6.</w:t>
      </w:r>
    </w:p>
    <w:p w14:paraId="1A9C6F94" w14:textId="77777777" w:rsidR="008A78AA" w:rsidRDefault="00000000">
      <w:pPr>
        <w:pStyle w:val="references"/>
      </w:pPr>
      <w:r>
        <w:t xml:space="preserve">P. C. Cavalcante et al., “Computational Intelligence and Financial Markets: A Survey and Future Directions,” </w:t>
      </w:r>
      <w:r>
        <w:rPr>
          <w:i/>
          <w:iCs/>
        </w:rPr>
        <w:t>Expert Syst. Appl.</w:t>
      </w:r>
      <w:r>
        <w:t>, vol. 55, pp. 194–211, 2016, doi: 10.1016/j.eswa.2016.02.006.</w:t>
      </w:r>
    </w:p>
    <w:p w14:paraId="7E7138E2" w14:textId="77777777" w:rsidR="008A78AA" w:rsidRDefault="00000000">
      <w:pPr>
        <w:pStyle w:val="references"/>
      </w:pPr>
      <w:r>
        <w:t xml:space="preserve">D. Delen and H. Demirkan, “Data, information and analytics as services,” </w:t>
      </w:r>
      <w:r>
        <w:rPr>
          <w:i/>
          <w:iCs/>
        </w:rPr>
        <w:t>Decis. Support Syst.</w:t>
      </w:r>
      <w:r>
        <w:t xml:space="preserve">, vol. 55, no. 1, pp. 359–363, 2013, doi: 10.1016/j.dss.2012.05.044.</w:t>
      </w:r>
      <w:r>
        <w:rPr>
          <w:i/>
          <w:iCs/>
        </w:rPr>
      </w:r>
      <w:r/>
    </w:p>
    <w:p w14:paraId="58A0382D" w14:textId="77777777" w:rsidR="008A78AA" w:rsidRDefault="00000000">
      <w:pPr>
        <w:pStyle w:val="references"/>
      </w:pPr>
      <w:r>
        <w:t xml:space="preserve">D. J. Power, “Decision support systems: A historical overview,” </w:t>
      </w:r>
      <w:r>
        <w:rPr>
          <w:i/>
          <w:iCs/>
        </w:rPr>
        <w:t>Commun. Assoc. Inf. Syst.</w:t>
      </w:r>
      <w:r>
        <w:t>, vol. 13, no. 1, art. no. 15, 2004, doi: 10.17705/1CAIS.01315.</w:t>
      </w:r>
    </w:p>
    <w:p w14:paraId="1597FCC7" w14:textId="77777777" w:rsidR="008A78AA" w:rsidRDefault="00000000">
      <w:pPr>
        <w:pStyle w:val="references"/>
      </w:pPr>
      <w:r>
        <w:t xml:space="preserve">J. Patel, S. Shah, P. Thakkar, and K. Kotecha, “Predicting stock and stock price index movement using trend deterministic data preparation and machine learning techniques,” </w:t>
      </w:r>
      <w:r>
        <w:rPr>
          <w:i/>
          <w:iCs/>
        </w:rPr>
        <w:t>Expert Syst. Appl.</w:t>
      </w:r>
      <w:r>
        <w:t xml:space="preserve">, vol. 42, no. 1, pp. 259–268, 2015, doi: 10.1016/j.eswa.2014.07.040.</w:t>
      </w:r>
      <w:r>
        <w:rPr>
          <w:i/>
          <w:iCs/>
        </w:rPr>
      </w:r>
      <w:r/>
    </w:p>
    <w:p w14:paraId="02C91D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vol. 259, no. 2, pp. 689–702, 2017, doi: 10.1016/j.ejor.2016.12.004.</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S. McNally, J. Roche, and S. Caton, “Predicting the price of Bitcoin using Machine Learning,” in </w:t>
      </w:r>
      <w:r>
        <w:rPr>
          <w:i/>
          <w:iCs/>
        </w:rPr>
        <w:t>Proc. 26th Euromicro Int. Conf. Parallel, Distrib. Netw.-Based Process. (PDP)</w:t>
      </w:r>
      <w:r>
        <w:t xml:space="preserve">, 2018, pp. 339–343, doi: 10.1109/PDP2018.2018.00060.</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D. C. A. Mallqui and R. A. S. Fernandes, “Predicting the direction, maximum, minimum and closing prices of daily Bitcoin exchange rate using machine learning techniques,” </w:t>
      </w:r>
      <w:r>
        <w:rPr>
          <w:i/>
          <w:iCs/>
        </w:rPr>
        <w:t>Appl. Soft Comput.</w:t>
      </w:r>
      <w:r>
        <w:t xml:space="preserve">, vol. 75, pp. 596–606, 2019, doi: 10.1016/j.asoc.2018.11.038.</w:t>
      </w:r>
    </w:p>
    <w:p w14:paraId="7C6B3E4B" w14:textId="77777777" w:rsidR="008A78AA" w:rsidRDefault="00000000">
      <w:pPr>
        <w:pStyle w:val="references"/>
      </w:pPr>
      <w:r>
        <w:t xml:space="preserve">K. Greff et al.,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et al.,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P. K. Roy, A. Kumar, A. Singh, and A. K. Sangaiah, “Forecasting Bitcoin Prices Using Deep Learning for Consumer-Centric Industrial Applications,” </w:t>
      </w:r>
      <w:r>
        <w:rPr>
          <w:i/>
          <w:iCs/>
        </w:rPr>
        <w:t>IEEE Trans. Consum. Electron.</w:t>
      </w:r>
      <w:r>
        <w:t xml:space="preserve">, vol. 70, no. 1, pp. 1351–1359, 2024, doi: 10.1109/TCE.2023.3335001.</w:t>
      </w:r>
      <w:r>
        <w:rPr>
          <w:i/>
          <w:iCs/>
        </w:rPr>
      </w:r>
      <w:r/>
    </w:p>
    <w:p w14:paraId="76F16FCF" w14:textId="77777777" w:rsidR="008A78AA" w:rsidRDefault="00000000">
      <w:pPr>
        <w:pStyle w:val="references"/>
      </w:pPr>
      <w:r>
        <w:t xml:space="preserve">G. Zerveas et al., “A Transformer-based Framework for Multivariate Time Series Representation Learning,” in </w:t>
      </w:r>
      <w:r>
        <w:rPr>
          <w:i/>
          <w:iCs/>
        </w:rPr>
        <w:t xml:space="preserve">Proc. 27th ACM SIGKDD Conf. Knowl. Discov. Data Min. (KDD)</w:t>
      </w:r>
      <w:r>
        <w:t>, Virtual, 2021, pp. 2114–2124, doi: 10.1145/3447548.3467401.</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M. L. de Prado, </w:t>
      </w:r>
      <w:r>
        <w:rPr>
          <w:i/>
          <w:iCs/>
        </w:rPr>
        <w:t>Advances in Financial Machine Learning</w:t>
      </w:r>
      <w:r>
        <w:t>. Hoboken, NJ, USA: John Wiley &amp; Sons, 2018.</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J. Bollen, H. Mao, and X. Zeng, “Twitter mood predicts the stock market,” </w:t>
      </w:r>
      <w:r>
        <w:rPr>
          <w:i/>
          <w:iCs/>
        </w:rPr>
        <w:t>J. Comput. Sci.</w:t>
      </w:r>
      <w:r>
        <w:t>, vol. 2, no. 1, pp. 1–8, 2011, doi: 10.1016/j.jocs.2010.12.007.</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14:paraId="02AD880D" w14:textId="77777777" w:rsidR="008A78AA" w:rsidRDefault="00000000">
      <w:pPr>
        <w:pStyle w:val="references"/>
      </w:pPr>
      <w:r>
        <w:t xml:space="preserve">S. Lahmiri and S. Bekiros, “Cryptocurrency forecasting with deep learning chaotic neural networks,” </w:t>
      </w:r>
      <w:r>
        <w:rPr>
          <w:i/>
          <w:iCs/>
        </w:rPr>
        <w:t>Chaos Solitons Fractals</w:t>
      </w:r>
      <w:r>
        <w:t xml:space="preserve">, vol. 118, pp. 35–40, 2019, doi: 10.1016/j.chaos.2018.11.014.</w:t>
      </w:r>
      <w:r>
        <w:rPr>
          <w:i/>
          <w:iCs/>
        </w:rPr>
      </w:r>
      <w:r/>
    </w:p>
    <w:p w14:paraId="5649098D" w14:textId="77777777" w:rsidR="008A78AA" w:rsidRDefault="00000000">
      <w:pPr>
        <w:pStyle w:val="references"/>
      </w:pPr>
      <w:r>
        <w:t xml:space="preserve">I. E. Livieris, N. Kiriakidou, S. Stavroyiannis, and P. Pintelas, “An Advanced CNN-LSTM Model for Cryptocurrency Forecasting,” </w:t>
      </w:r>
      <w:r>
        <w:rPr>
          <w:i/>
          <w:iCs/>
        </w:rPr>
        <w:t>Electronics</w:t>
      </w:r>
      <w:r>
        <w:t xml:space="preserve">, vol. 10, no. 3, art. no. 287, 2021, doi: 10.3390/electronics10030287.</w:t>
      </w:r>
    </w:p>
    <w:p w14:paraId="5649098D" w14:textId="77777777" w:rsidR="008A78AA" w:rsidRDefault="00000000">
      <w:pPr>
        <w:pStyle w:val="references"/>
      </w:pPr>
      <w:r>
        <w:t xml:space="preserve">T. Fischer and C. Krauss, “Deep learning with long short-term memory networks for financial market predictions,” </w:t>
      </w:r>
      <w:r>
        <w:rPr>
          <w:i/>
          <w:iCs/>
        </w:rPr>
        <w:t>Eur. J. Oper. Res.</w:t>
      </w:r>
      <w:r>
        <w:t xml:space="preserve">, vol. 270, no. 2, pp. 654–669, 2018, doi: 10.1016/j.ejor.2017.11.054.</w:t>
      </w:r>
      <w:r>
        <w:rPr>
          <w:i/>
          <w:iCs/>
        </w:rPr>
      </w:r>
      <w:r/>
    </w:p>
    <w:p w14:paraId="5649098D" w14:textId="77777777" w:rsidR="008A78AA" w:rsidRDefault="00000000">
      <w:pPr>
        <w:pStyle w:val="references"/>
      </w:pPr>
      <w:r>
        <w:t xml:space="preserve">H. Sebastião and P. Godinho, “Forecasting and trading cryptocurrencies with machine learning under changing market conditions,” </w:t>
      </w:r>
      <w:r>
        <w:rPr>
          <w:i/>
          <w:iCs/>
        </w:rPr>
        <w:t>Financ. Innov.</w:t>
      </w:r>
      <w:r>
        <w:t xml:space="preserve">, vol. 7, no. 1, pp. 1–30, 2021, doi: 10.1186/s40854-020-00217-x.</w:t>
      </w:r>
      <w:r>
        <w:rPr>
          <w:i/>
          <w:iCs/>
        </w:rPr>
      </w:r>
      <w:r/>
    </w:p>
    <w:p w14:paraId="5649098D" w14:textId="77777777" w:rsidR="008A78AA" w:rsidRDefault="00000000">
      <w:pPr>
        <w:pStyle w:val="references"/>
      </w:pPr>
      <w:r>
        <w:t xml:space="preserve">F. Rundo, “Deep LSTM with reinforcement learning layer for financial trend prediction in FX high frequency trading systems,” </w:t>
      </w:r>
      <w:r>
        <w:rPr>
          <w:i/>
          <w:iCs/>
        </w:rPr>
        <w:t>Appl. Sci.</w:t>
      </w:r>
      <w:r>
        <w:t xml:space="preserve">, vol. 9, no. 20, art. no. 4460, 2019, doi: 10.3390/app9204460.</w:t>
      </w:r>
      <w:r>
        <w:rPr>
          <w:i/>
          <w:iCs/>
        </w:rPr>
      </w:r>
      <w:r/>
    </w:p>
    <w:p w14:paraId="5649098D" w14:textId="77777777" w:rsidR="008A78AA" w:rsidRDefault="00000000">
      <w:pPr>
        <w:pStyle w:val="references"/>
      </w:pPr>
      <w:r>
        <w:t xml:space="preserve">R. Amirzadeh, A. Nazari, and D. Thiruvady, “Applying artificial intelligence in cryptocurrency markets: A survey,” </w:t>
      </w:r>
      <w:r>
        <w:rPr>
          <w:i/>
          <w:iCs/>
        </w:rPr>
        <w:t>Algorithms</w:t>
      </w:r>
      <w:r>
        <w:t xml:space="preserve">, vol. 15, no. 11, art. no. 428, 2022, doi: 10.3390/a15110428.</w:t>
      </w:r>
      <w:r>
        <w:rPr>
          <w:i/>
          <w:iCs/>
        </w:rPr>
      </w:r>
      <w:r/>
    </w:p>
    <w:p w14:paraId="5649098D" w14:textId="77777777" w:rsidR="008A78AA" w:rsidRDefault="00000000">
      <w:pPr>
        <w:pStyle w:val="references"/>
      </w:pPr>
      <w:r>
        <w:t xml:space="preserve">P. Peng, Y. Chen, W. Lin, and J. Z. Wang, “Attention-based CNN–LSTM for high-frequency multiple cryptocurrency trend prediction,” </w:t>
      </w:r>
      <w:r>
        <w:rPr>
          <w:i/>
          <w:iCs/>
        </w:rPr>
        <w:t>Expert Syst. Appl.</w:t>
      </w:r>
      <w:r>
        <w:t xml:space="preserve">, vol. 237, art. no. 121520, 2024, doi: 10.1016/j.eswa.2023.121520.</w:t>
      </w:r>
      <w:r>
        <w:rPr>
          <w:i/>
          <w:iCs/>
        </w:rPr>
      </w:r>
      <w:r/>
    </w:p>
    <w:p w14:textId="77777777" w:rsidR="008A78AA" w:rsidRDefault="00000000">
      <w:pPr>
        <w:pStyle w:val="references"/>
      </w:pPr>
      <w:r>
        <w:t xml:space="preserve">J. Demšar, “Statistical comparisons of classifiers over multiple data sets,” </w:t>
      </w:r>
      <w:r>
        <w:rPr>
          <w:i/>
          <w:iCs/>
        </w:rPr>
        <w:t xml:space="preserve">J. Mach. Learn. Res.</w:t>
      </w:r>
      <w:r>
        <w:t xml:space="preserve">, vol. 7, pp. 1–30, 2006.</w:t>
      </w:r>
    </w:p>
    <w:p w14:textId="77777777" w:rsidR="008A78AA" w:rsidRDefault="00000000">
      <w:pPr>
        <w:pStyle w:val="references"/>
      </w:pPr>
      <w:r>
        <w:t xml:space="preserve">S. Holm, “A simple sequentially rejective multiple test procedure,” </w:t>
      </w:r>
      <w:r>
        <w:rPr>
          <w:i/>
          <w:iCs/>
        </w:rPr>
        <w:t xml:space="preserve">Scand. J. Stat.</w:t>
      </w:r>
      <w:r>
        <w:t xml:space="preserve">, vol. 6, no. 2, pp. 65–70, 1979.</w:t>
      </w:r>
    </w:p>
    <w:sectPr w:rsidR="008A78AA">
      <w:type w:val="continuous"/>
      <w:pgSz w:w="11906" w:h="16838"/>
      <w:pgMar w:top="540" w:right="893" w:bottom="1440" w:left="893" w:header="0" w:footer="720" w:gutter="0"/>
      <w:cols w:num="2" w:space="360"/>
      <w:formProt w:val="0"/>
      <w:titlePg/>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1T03:51:24Z" w:initials="C">
    <w:p w14:paraId="1567C57E" w14:textId="77777777">
      <w:r>
        <w:rPr>
          <w:rStyle w:val="CommentReference"/>
        </w:rPr>
        <w:annotationRef/>
      </w:r>
      <w:r>
        <w:rPr>
          <w:color w:val="000000"/>
          <w:sz w:val="20"/>
          <w:szCs w:val="20"/>
        </w:rPr>
        <w:t xml:space="preserve">Klaim "100% temporal continuity": tampilkan hasil gap-check (Binance pernah memiliki jam yang hilang saat maintenance).</w:t>
      </w:r>
    </w:p>
  </w:comment>
  <w:comment w:id="1" w:author="Claude" w:date="2026-10-11T03:51:24Z" w:initials="C">
    <w:p w14:paraId="2CBBFD1F" w14:textId="77777777">
      <w:r>
        <w:rPr>
          <w:rStyle w:val="CommentReference"/>
        </w:rPr>
        <w:annotationRef/>
      </w:r>
      <w:r>
        <w:rPr>
          <w:color w:val="000000"/>
          <w:sz w:val="20"/>
          <w:szCs w:val="20"/>
        </w:rPr>
        <w:t xml:space="preserve">Sebutkan apakah ADF dijalankan pada harga level atau log-return. Harga level BTC hampir pasti non-stasioner, dan ini bertentangan dengan narasi "severe non-stationarity". Tambahkan KPSS dan tabel p-value per fitur.</w:t>
      </w:r>
    </w:p>
  </w:comment>
  <w:comment w:id="2" w:author="Claude" w:date="2026-10-11T03:51:24Z" w:initials="C">
    <w:p w14:paraId="0DDC305F" w14:textId="77777777">
      <w:r>
        <w:rPr>
          <w:rStyle w:val="CommentReference"/>
        </w:rPr>
        <w:annotationRef/>
      </w:r>
      <w:r>
        <w:rPr>
          <w:color w:val="000000"/>
          <w:sz w:val="20"/>
          <w:szCs w:val="20"/>
        </w:rPr>
        <w:t xml:space="preserve">Daftar 15 fitur belum lengkap. Tambahkan tabel 15 fitur beserta parameternya.</w:t>
      </w:r>
    </w:p>
  </w:comment>
  <w:comment w:id="3" w:author="Claude" w:date="2026-10-11T03:51:24Z" w:initials="C">
    <w:p w14:paraId="2758643E" w14:textId="77777777">
      <w:r>
        <w:rPr>
          <w:rStyle w:val="CommentReference"/>
        </w:rPr>
        <w:annotationRef/>
      </w:r>
      <w:r>
        <w:rPr>
          <w:color w:val="000000"/>
          <w:sz w:val="20"/>
          <w:szCs w:val="20"/>
        </w:rPr>
        <w:t xml:space="preserve">Hasil SHAP belum ditampilkan di mana pun. Tambahkan gambar/tabel (sebutkan metodenya) atau hapus klaim ini.</w:t>
      </w:r>
    </w:p>
  </w:comment>
  <w:comment w:id="4" w:author="Claude" w:date="2026-10-11T03:51:24Z" w:initials="C">
    <w:p w14:paraId="490F00D6" w14:textId="77777777">
      <w:r>
        <w:rPr>
          <w:rStyle w:val="CommentReference"/>
        </w:rPr>
        <w:annotationRef/>
      </w:r>
      <w:r>
        <w:rPr>
          <w:color w:val="000000"/>
          <w:sz w:val="20"/>
          <w:szCs w:val="20"/>
        </w:rPr>
        <w:t xml:space="preserve">(1) Tambahkan tabel tanggal tiap fold (train/val/test), termasuk fold Terra-Luna. (2) Periode saya samakan ke Mar 2021–Mar 2026 (sesuai abstrak, Layer 1, dan Fig. 1). (3) "Quarterly anchored" saya ubah: 24 kuartal = 6 tahun (&gt; 5 tahun data) dan window latih Anda tetap 720 jam (rolling). (4) Pastikan periode bull/bear yang disebut memang tercakup oleh fold Anda.</w:t>
      </w:r>
    </w:p>
  </w:comment>
  <w:comment w:id="5" w:author="Claude" w:date="2026-10-11T03:51:24Z" w:initials="C">
    <w:p w14:paraId="0AD81E88" w14:textId="77777777">
      <w:r>
        <w:rPr>
          <w:rStyle w:val="CommentReference"/>
        </w:rPr>
        <w:annotationRef/>
      </w:r>
      <w:r>
        <w:rPr>
          <w:color w:val="000000"/>
          <w:sz w:val="20"/>
          <w:szCs w:val="20"/>
        </w:rPr>
        <w:t xml:space="preserve">Tambahkan konfigurasi LSTM/GRU/Informer (layer, unit, jumlah parameter, epoch maksimum, seed) agar dapat direproduksi.</w:t>
      </w:r>
    </w:p>
  </w:comment>
  <w:comment w:id="6" w:author="Claude" w:date="2026-10-11T03:51:24Z" w:initials="C">
    <w:p w14:paraId="482AA55F" w14:textId="77777777">
      <w:r>
        <w:rPr>
          <w:rStyle w:val="CommentReference"/>
        </w:rPr>
        <w:annotationRef/>
      </w:r>
      <w:r>
        <w:rPr>
          <w:color w:val="000000"/>
          <w:sz w:val="20"/>
          <w:szCs w:val="20"/>
        </w:rPr>
        <w:t xml:space="preserve">Konfirmasi horizon VaR. -5,82% untuk Buy-and-Hold terlalu besar untuk return BTC per jam (persentil 5% per jam biasanya sekitar -1%); angka ini lebih mirip VaR harian. Jika harian, ubah label di sini, di Tabel II ("Hourly VaR"), dan di teks. Jelaskan juga cara slippage disimulasikan (besaran bid-ask) dan apakah posisi short dilakukan di spot atau futures.</w:t>
      </w:r>
    </w:p>
  </w:comment>
  <w:comment w:id="7" w:author="Claude" w:date="2026-10-11T03:51:24Z" w:initials="C">
    <w:p w14:paraId="48370801" w14:textId="77777777">
      <w:r>
        <w:rPr>
          <w:rStyle w:val="CommentReference"/>
        </w:rPr>
        <w:annotationRef/>
      </w:r>
      <w:r>
        <w:rPr>
          <w:color w:val="000000"/>
          <w:sz w:val="20"/>
          <w:szCs w:val="20"/>
        </w:rPr>
        <w:t xml:space="preserve">Periksa horizon dan baseline: RMSE Naive 0,1845 (skala [0,1]) dan MAPE USD 2,38% terlalu besar untuk persistence 1 jam (kisaran wajar sekitar 0,3-0,5% per jam; RMSE ternormalisasi sekitar 0,01-0,02). Kemungkinan horizon sebenarnya lebih panjang atau baseline dihitung dari awal window. Kata "recursive" saya hapus karena bertentangan dengan h = 1. Pastikan kode dan angka konsisten.</w:t>
      </w:r>
    </w:p>
  </w:comment>
  <w:comment w:id="8" w:author="Claude" w:date="2026-10-11T03:51:25Z" w:initials="C">
    <w:p w14:paraId="164A2EF2" w14:textId="77777777">
      <w:r>
        <w:rPr>
          <w:rStyle w:val="CommentReference"/>
        </w:rPr>
        <w:annotationRef/>
      </w:r>
      <w:r>
        <w:rPr>
          <w:color w:val="000000"/>
          <w:sz w:val="20"/>
          <w:szCs w:val="20"/>
        </w:rPr>
        <w:t xml:space="preserve">Pastikan semua angka (Friedman, padj, Naive, ARIMA, Buy-and-Hold) berasal dari run asli dan simpan kode/output mentahnya. Sitasi Friedman saya ganti ke Demšar [46] dan Holm [47] (sudah ditambahkan di daftar referensi).</w:t>
      </w:r>
    </w:p>
  </w:comment>
  <w:comment w:id="9" w:author="Claude" w:date="2026-10-11T03:51:25Z" w:initials="C">
    <w:p w14:paraId="28A9A5C7" w14:textId="77777777">
      <w:r>
        <w:rPr>
          <w:rStyle w:val="CommentReference"/>
        </w:rPr>
        <w:annotationRef/>
      </w:r>
      <w:r>
        <w:rPr>
          <w:color w:val="000000"/>
          <w:sz w:val="20"/>
          <w:szCs w:val="20"/>
        </w:rPr>
        <w:t xml:space="preserve">Pastikan nomor protokol, nama komite, dan persetujuan tertulis sesuai dokumen asli, dan siapkan buktinya bila diminta editor/reviewer.</w:t>
      </w:r>
    </w:p>
  </w:comment>
  <w:comment w:id="10" w:author="Claude" w:date="2026-10-11T03:51:25Z" w:initials="C">
    <w:p w14:paraId="52A62E66" w14:textId="77777777">
      <w:r>
        <w:rPr>
          <w:rStyle w:val="CommentReference"/>
        </w:rPr>
        <w:annotationRef/>
      </w:r>
      <w:r>
        <w:rPr>
          <w:color w:val="000000"/>
          <w:sz w:val="20"/>
          <w:szCs w:val="20"/>
        </w:rPr>
        <w:t xml:space="preserve">Tampilkan Sharpe gross vs net, turnover (frekuensi flip posisi), dan jumlah trade; ini menjawab pertanyaan reviewer tentang DA 72,3% vs Sharpe 1,45. Paragraf saya lunakkan karena penjelasan sebelumnya (kesalahan terkonsentrasi di cascade) belum didukung analisis.</w:t>
      </w:r>
    </w:p>
  </w:comment>
  <w:comment w:id="11" w:author="Claude" w:date="2026-10-11T03:51:25Z" w:initials="C">
    <w:p w14:paraId="0BCA1783" w14:textId="77777777">
      <w:r>
        <w:rPr>
          <w:rStyle w:val="CommentReference"/>
        </w:rPr>
        <w:annotationRef/>
      </w:r>
      <w:r>
        <w:rPr>
          <w:color w:val="000000"/>
          <w:sz w:val="20"/>
          <w:szCs w:val="20"/>
        </w:rPr>
        <w:t xml:space="preserve">Verifikasi tiap rentang angka (RMSE, DA, Sharpe) langsung ke makalah sumber. Catatan: Livieris 2021 melaporkan galat dalam satuan harga (bukan RMSE ternormalisasi); Lahmiri &amp; Bekiros setahu saya memakai data harian, bukan 1 jam. Periksa juga kalimat deskriptif tiap studi.</w:t>
      </w:r>
    </w:p>
  </w:comment>
  <w:comment w:id="12" w:author="Claude" w:date="2026-10-11T03:51:25Z" w:initials="C">
    <w:p w14:paraId="23F0E4A4" w14:textId="77777777">
      <w:r>
        <w:rPr>
          <w:rStyle w:val="CommentReference"/>
        </w:rPr>
        <w:annotationRef/>
      </w:r>
      <w:r>
        <w:rPr>
          <w:color w:val="000000"/>
          <w:sz w:val="20"/>
          <w:szCs w:val="20"/>
        </w:rPr>
        <w:t xml:space="preserve">Tambahkan URL repositori publik (GitHub/Zenodo) untuk kode dan dataset olahan.</w:t>
      </w:r>
    </w:p>
  </w:comment>
  <w:comment w:id="13" w:author="Claude" w:date="2026-10-11T03:51:25Z" w:initials="C">
    <w:p w14:paraId="64EA95C5" w14:textId="77777777">
      <w:r>
        <w:rPr>
          <w:rStyle w:val="CommentReference"/>
        </w:rPr>
        <w:annotationRef/>
      </w:r>
      <w:r>
        <w:rPr>
          <w:color w:val="000000"/>
          <w:sz w:val="20"/>
          <w:szCs w:val="20"/>
        </w:rPr>
        <w:t xml:space="preserve">Tandai penulis korespondensi dan cek apakah venue meminta Funding, Author Contributions, atau Acknowledgment.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7C57E" w15:done="0"/>
  <w15:commentEx w15:paraId="2CBBFD1F" w15:done="0"/>
  <w15:commentEx w15:paraId="0DDC305F" w15:done="0"/>
  <w15:commentEx w15:paraId="2758643E" w15:done="0"/>
  <w15:commentEx w15:paraId="490F00D6" w15:done="0"/>
  <w15:commentEx w15:paraId="0AD81E88" w15:done="0"/>
  <w15:commentEx w15:paraId="482AA55F" w15:done="0"/>
  <w15:commentEx w15:paraId="48370801" w15:done="0"/>
  <w15:commentEx w15:paraId="164A2EF2" w15:done="0"/>
  <w15:commentEx w15:paraId="28A9A5C7" w15:done="0"/>
  <w15:commentEx w15:paraId="52A62E66" w15:done="0"/>
  <w15:commentEx w15:paraId="0BCA1783" w15:done="0"/>
  <w15:commentEx w15:paraId="23F0E4A4" w15:done="0"/>
  <w15:commentEx w15:paraId="64EA95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FD83FD" w16cex:dateUtc="2026-10-11T03:51:24Z"/>
  <w16cex:commentExtensible w16cex:durableId="1AD04EFB" w16cex:dateUtc="2026-10-11T03:51:24Z"/>
  <w16cex:commentExtensible w16cex:durableId="4AF4156F" w16cex:dateUtc="2026-10-11T03:51:24Z"/>
  <w16cex:commentExtensible w16cex:durableId="7F3EE2A3" w16cex:dateUtc="2026-10-11T03:51:24Z"/>
  <w16cex:commentExtensible w16cex:durableId="5A2F3A7C" w16cex:dateUtc="2026-10-11T03:51:24Z"/>
  <w16cex:commentExtensible w16cex:durableId="7A3F68A7" w16cex:dateUtc="2026-10-11T03:51:24Z"/>
  <w16cex:commentExtensible w16cex:durableId="28967FF6" w16cex:dateUtc="2026-10-11T03:51:24Z"/>
  <w16cex:commentExtensible w16cex:durableId="11A38B1A" w16cex:dateUtc="2026-10-11T03:51:24Z"/>
  <w16cex:commentExtensible w16cex:durableId="6335428B" w16cex:dateUtc="2026-10-11T03:51:25Z"/>
  <w16cex:commentExtensible w16cex:durableId="081C04E2" w16cex:dateUtc="2026-10-11T03:51:25Z"/>
  <w16cex:commentExtensible w16cex:durableId="62A871D6" w16cex:dateUtc="2026-10-11T03:51:25Z"/>
  <w16cex:commentExtensible w16cex:durableId="6A47EF44" w16cex:dateUtc="2026-10-11T03:51:25Z"/>
  <w16cex:commentExtensible w16cex:durableId="0CC16C88" w16cex:dateUtc="2026-10-11T03:51:25Z"/>
  <w16cex:commentExtensible w16cex:durableId="2A349AFE" w16cex:dateUtc="2026-10-11T03:51:2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7C57E" w16cid:durableId="35FD83FD"/>
  <w16cid:commentId w16cid:paraId="2CBBFD1F" w16cid:durableId="1AD04EFB"/>
  <w16cid:commentId w16cid:paraId="0DDC305F" w16cid:durableId="4AF4156F"/>
  <w16cid:commentId w16cid:paraId="2758643E" w16cid:durableId="7F3EE2A3"/>
  <w16cid:commentId w16cid:paraId="490F00D6" w16cid:durableId="5A2F3A7C"/>
  <w16cid:commentId w16cid:paraId="0AD81E88" w16cid:durableId="7A3F68A7"/>
  <w16cid:commentId w16cid:paraId="482AA55F" w16cid:durableId="28967FF6"/>
  <w16cid:commentId w16cid:paraId="48370801" w16cid:durableId="11A38B1A"/>
  <w16cid:commentId w16cid:paraId="164A2EF2" w16cid:durableId="6335428B"/>
  <w16cid:commentId w16cid:paraId="28A9A5C7" w16cid:durableId="081C04E2"/>
  <w16cid:commentId w16cid:paraId="52A62E66" w16cid:durableId="62A871D6"/>
  <w16cid:commentId w16cid:paraId="0BCA1783" w16cid:durableId="6A47EF44"/>
  <w16cid:commentId w16cid:paraId="23F0E4A4" w16cid:durableId="0CC16C88"/>
  <w16cid:commentId w16cid:paraId="64EA95C5" w16cid:durableId="2A349A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17" Type="http://schemas.openxmlformats.org/officeDocument/2006/relationships/comments" Target="comments.xml"/><Relationship Id="rId18" Type="http://schemas.microsoft.com/office/2011/relationships/commentsExtended" Target="commentsExtended.xml"/><Relationship Id="rId19" Type="http://schemas.microsoft.com/office/2016/09/relationships/commentsIds" Target="commentsIds.xml"/><Relationship Id="rId2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