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b/>
          <w:color w:val="0A1628"/>
          <w:sz w:val="36"/>
        </w:rPr>
        <w:t>Documentação Técnica de Ferramentas Internas</w:t>
      </w:r>
    </w:p>
    <w:p>
      <w:pPr>
        <w:jc w:val="center"/>
      </w:pPr>
      <w:r>
        <w:rPr>
          <w:b/>
          <w:color w:val="1E408A"/>
          <w:sz w:val="24"/>
        </w:rPr>
        <w:t>Sistema de Apuração de Lucro Presumido com Majoração de IRPJ/CSLL</w:t>
      </w:r>
    </w:p>
    <w:p/>
    <w:p>
      <w:pPr>
        <w:spacing w:before="20" w:after="20"/>
      </w:pPr>
      <w:r>
        <w:rPr>
          <w:b/>
          <w:color w:val="374A6B"/>
          <w:sz w:val="20"/>
        </w:rPr>
        <w:t xml:space="preserve">Nome da Ferramenta: </w:t>
      </w:r>
      <w:r>
        <w:rPr>
          <w:color w:val="111827"/>
          <w:sz w:val="20"/>
        </w:rPr>
        <w:t>Sistema de Lucro Presumido — Apuração de IRPJ e CSLL com Majoração (MP 1.262/2024)</w:t>
      </w:r>
    </w:p>
    <w:p>
      <w:pPr>
        <w:spacing w:before="20" w:after="20"/>
      </w:pPr>
      <w:r>
        <w:rPr>
          <w:b/>
          <w:color w:val="374A6B"/>
          <w:sz w:val="20"/>
        </w:rPr>
        <w:t xml:space="preserve">Data de preenchimento: </w:t>
      </w:r>
      <w:r>
        <w:rPr>
          <w:color w:val="111827"/>
          <w:sz w:val="20"/>
        </w:rPr>
        <w:t>24/04/2026</w:t>
      </w:r>
    </w:p>
    <w:p>
      <w:pPr>
        <w:spacing w:before="20" w:after="20"/>
      </w:pPr>
      <w:r>
        <w:rPr>
          <w:b/>
          <w:color w:val="374A6B"/>
          <w:sz w:val="20"/>
        </w:rPr>
        <w:t xml:space="preserve">Responsável pelo preenchimento: </w:t>
      </w:r>
      <w:r>
        <w:rPr>
          <w:color w:val="111827"/>
          <w:sz w:val="20"/>
        </w:rPr>
        <w:t>Gustavo Jesus</w:t>
      </w:r>
    </w:p>
    <w:p>
      <w:pPr>
        <w:spacing w:before="20" w:after="20"/>
      </w:pPr>
      <w:r>
        <w:rPr>
          <w:b/>
          <w:color w:val="374A6B"/>
          <w:sz w:val="20"/>
        </w:rPr>
        <w:t xml:space="preserve">Departamento / Área solicitante: </w:t>
      </w:r>
      <w:r>
        <w:rPr>
          <w:color w:val="111827"/>
          <w:sz w:val="20"/>
        </w:rPr>
        <w:t>Contabilidade / Tributário</w:t>
      </w:r>
    </w:p>
    <w:p>
      <w:pPr>
        <w:spacing w:before="20" w:after="20"/>
      </w:pPr>
      <w:r>
        <w:rPr>
          <w:b/>
          <w:color w:val="374A6B"/>
          <w:sz w:val="20"/>
        </w:rPr>
        <w:t xml:space="preserve">Status: </w:t>
      </w:r>
      <w:r>
        <w:rPr>
          <w:color w:val="111827"/>
          <w:sz w:val="20"/>
        </w:rPr>
        <w:t>Em produção — versão inicial</w:t>
      </w:r>
    </w:p>
    <w:p>
      <w:pPr>
        <w:spacing w:before="200" w:after="60"/>
        <w:pBdr>
          <w:bottom w:val="single" w:sz="6" w:space="1" w:color="1E408A"/>
        </w:pBdr>
      </w:pPr>
      <w:r>
        <w:rPr>
          <w:b/>
          <w:color w:val="1E408A"/>
          <w:sz w:val="22"/>
        </w:rPr>
        <w:t>1. VISÃO DE NEGÓCIO</w:t>
      </w:r>
    </w:p>
    <w:p>
      <w:pPr>
        <w:spacing w:before="20" w:after="20"/>
      </w:pPr>
      <w:r>
        <w:rPr>
          <w:b/>
          <w:color w:val="374A6B"/>
          <w:sz w:val="20"/>
        </w:rPr>
        <w:t xml:space="preserve">Necessidade que originou a ferramenta: </w:t>
      </w:r>
      <w:r>
        <w:rPr>
          <w:color w:val="111827"/>
          <w:sz w:val="20"/>
        </w:rPr>
        <w:t>O escritório precisava calcular trimestralmente o IRPJ e a CSLL no regime de Lucro Presumido considerando as novas regras de majoração introduzidas pela MP 1.262/2024 (Pilar 2 / BEPS). Os controles manuais em planilha não suportavam múltiplas empresas, não mantinham histórico auditável e eram suscetíveis a erros nas distribuições de receita por faixa de alíquota.</w:t>
      </w:r>
    </w:p>
    <w:p>
      <w:pPr>
        <w:spacing w:before="20" w:after="20"/>
      </w:pPr>
      <w:r>
        <w:rPr>
          <w:b/>
          <w:color w:val="374A6B"/>
          <w:sz w:val="20"/>
        </w:rPr>
        <w:t xml:space="preserve">Principais funcionalidades: </w:t>
      </w:r>
      <w:r>
        <w:rPr>
          <w:color w:val="111827"/>
          <w:sz w:val="20"/>
        </w:rPr>
      </w:r>
    </w:p>
    <w:p>
      <w:pPr>
        <w:pStyle w:val="ListBullet"/>
        <w:spacing w:before="20" w:after="20"/>
      </w:pPr>
      <w:r>
        <w:rPr>
          <w:color w:val="111827"/>
          <w:sz w:val="20"/>
        </w:rPr>
        <w:t>Cálculo automático de IRPJ e CSLL no regime de Lucro Presumido com suporte à majoração (10%) para receitas acima de R$ 1.250.000 no trimestre.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Apuração trimestral e mensal (com acumulação de guias mensais já pagas e cálculo do residual do 3.º mês).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Módulo de PIS/COFINS: regimes cumulativo (0,65% + 3,00%) e não-cumulativo (1,65% + 7,60%), com cálculo de data de vencimento.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Cadastro e gestão de empresas com percentuais de presunção configuráveis por atividade econômica.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Dashboard com KPIs: total de cálculos, receita analisada, IRPJ apurado e trimestres com majoração.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Exportação de relatórios em PDF (formatado, A4 paisagem) e Excel (.xlsx) com detalhamento completo por faixa.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Log de auditoria automático para todas as operações (criar, editar, excluir, duplicar, exportar).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Autosave de rascunho em localStorage para evitar perda de dados durante o preenchimento.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Gestão de usuários com dois perfis de acesso (ADMIN e USUARIO).</w:t>
      </w:r>
    </w:p>
    <w:p>
      <w:pPr>
        <w:spacing w:before="20" w:after="20"/>
      </w:pPr>
      <w:r>
        <w:rPr>
          <w:b/>
          <w:color w:val="374A6B"/>
          <w:sz w:val="20"/>
        </w:rPr>
        <w:t xml:space="preserve">Processos impactados: </w:t>
      </w:r>
      <w:r>
        <w:rPr>
          <w:color w:val="111827"/>
          <w:sz w:val="20"/>
        </w:rPr>
      </w:r>
    </w:p>
    <w:p>
      <w:pPr>
        <w:pStyle w:val="ListBullet"/>
        <w:spacing w:before="20" w:after="20"/>
      </w:pPr>
      <w:r>
        <w:rPr>
          <w:color w:val="111827"/>
          <w:sz w:val="20"/>
        </w:rPr>
        <w:t>Apuração trimestral de IRPJ e CSLL de clientes em Lucro Presumido.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Cálculo mensal de PIS e COFINS.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Emissão de relatórios tributários para clientes e para conferência interna.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Controle de obrigações fiscais e datas de vencimento.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Gestão da carteira de empresas do escritório.</w:t>
      </w:r>
    </w:p>
    <w:p>
      <w:pPr>
        <w:spacing w:before="20" w:after="20"/>
      </w:pPr>
      <w:r>
        <w:rPr>
          <w:b/>
          <w:color w:val="374A6B"/>
          <w:sz w:val="20"/>
        </w:rPr>
        <w:t xml:space="preserve">Benefícios esperados: </w:t>
      </w:r>
      <w:r>
        <w:rPr>
          <w:color w:val="111827"/>
          <w:sz w:val="20"/>
        </w:rPr>
      </w:r>
    </w:p>
    <w:p>
      <w:pPr>
        <w:pStyle w:val="ListBullet"/>
        <w:spacing w:before="20" w:after="20"/>
      </w:pPr>
      <w:r>
        <w:rPr>
          <w:color w:val="111827"/>
          <w:sz w:val="20"/>
        </w:rPr>
        <w:t>Eliminação de erros de cálculo decorrentes de planilhas manuais.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Rastreabilidade total: histórico de cálculos por empresa e período, com log de quem criou/editou.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Conformidade automática com a MP 1.262/2024 (bloqueio de CSLL majorada no 1T/2026, vigência a partir de 2T/2026).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Agilidade na apuração de múltiplas empresas em paralelo.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Relatórios profissionais em PDF e Excel prontos para envio ao cliente.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Centralização e segurança das informações (banco de dados, autenticação JWT, perfis de acesso).</w:t>
      </w:r>
    </w:p>
    <w:p>
      <w:pPr>
        <w:spacing w:before="20" w:after="20"/>
      </w:pPr>
      <w:r>
        <w:rPr>
          <w:b/>
          <w:color w:val="374A6B"/>
          <w:sz w:val="20"/>
        </w:rPr>
        <w:t xml:space="preserve">Riscos caso a ferramenta pare: </w:t>
      </w:r>
      <w:r>
        <w:rPr>
          <w:color w:val="111827"/>
          <w:sz w:val="20"/>
        </w:rPr>
      </w:r>
    </w:p>
    <w:p>
      <w:pPr>
        <w:pStyle w:val="ListBullet"/>
        <w:spacing w:before="20" w:after="20"/>
      </w:pPr>
      <w:r>
        <w:rPr>
          <w:color w:val="111827"/>
          <w:sz w:val="20"/>
        </w:rPr>
        <w:t>Interrupção da apuração trimestral de IRPJ/CSLL, impactando o prazo de recolhimento dos clientes.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Necessidade de retorno aos controles manuais em planilha, com alto risco de erro e retrabalho.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Perda de histórico de cálculos e trilha de auditoria enquanto o sistema estiver indisponível.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Atrasos na emissão de relatórios para clientes.</w:t>
      </w:r>
    </w:p>
    <w:p>
      <w:pPr>
        <w:spacing w:before="200" w:after="60"/>
        <w:pBdr>
          <w:bottom w:val="single" w:sz="6" w:space="1" w:color="1E408A"/>
        </w:pBdr>
      </w:pPr>
      <w:r>
        <w:rPr>
          <w:b/>
          <w:color w:val="1E408A"/>
          <w:sz w:val="22"/>
        </w:rPr>
        <w:t>2. ESCOPO TÉCNICO</w:t>
      </w:r>
    </w:p>
    <w:p>
      <w:pPr>
        <w:spacing w:before="20" w:after="20"/>
      </w:pPr>
      <w:r>
        <w:rPr>
          <w:b/>
          <w:color w:val="374A6B"/>
          <w:sz w:val="20"/>
        </w:rPr>
        <w:t xml:space="preserve">Tipo de solução: </w:t>
      </w:r>
      <w:r>
        <w:rPr>
          <w:color w:val="111827"/>
          <w:sz w:val="20"/>
        </w:rPr>
        <w:t>Sistema web (SPA — Single Page Application) com API REST</w:t>
      </w:r>
    </w:p>
    <w:p>
      <w:pPr>
        <w:spacing w:before="20" w:after="20"/>
      </w:pPr>
      <w:r>
        <w:rPr>
          <w:b/>
          <w:color w:val="374A6B"/>
          <w:sz w:val="20"/>
        </w:rPr>
        <w:t xml:space="preserve">Ambiente de execução: </w:t>
      </w:r>
      <w:r>
        <w:rPr>
          <w:color w:val="111827"/>
          <w:sz w:val="20"/>
        </w:rPr>
        <w:t>Containers Docker (docker-compose) — execução local na máquina do usuário ou servidor interno Windows. Frontend servido por Nginx. Backend Node.js. Banco de dados PostgreSQL (ou SQLite em modo desenvolvimento).</w:t>
      </w:r>
    </w:p>
    <w:p>
      <w:pPr>
        <w:spacing w:before="20" w:after="20"/>
      </w:pPr>
      <w:r>
        <w:rPr>
          <w:b/>
          <w:color w:val="374A6B"/>
          <w:sz w:val="20"/>
        </w:rPr>
        <w:t xml:space="preserve">URL / caminho de acesso: </w:t>
      </w:r>
      <w:r>
        <w:rPr>
          <w:color w:val="111827"/>
          <w:sz w:val="20"/>
        </w:rPr>
        <w:t>http://localhost:3000  (frontend)  |  http://localhost:3001/api  (backend)</w:t>
        <w:br/>
        <w:t>Caminho local do projeto: G:\GUSTAVO\Lucro presumido majoração\lucro-presumido</w:t>
      </w:r>
    </w:p>
    <w:p>
      <w:pPr>
        <w:spacing w:before="20" w:after="20"/>
      </w:pPr>
      <w:r>
        <w:rPr>
          <w:b/>
          <w:color w:val="374A6B"/>
          <w:sz w:val="20"/>
        </w:rPr>
        <w:t xml:space="preserve">Servidor / hostname: </w:t>
      </w:r>
      <w:r>
        <w:rPr>
          <w:color w:val="111827"/>
          <w:sz w:val="20"/>
        </w:rPr>
        <w:t>Máquina local (desenvolvimento) — a definir para ambiente de produção/servidor interno</w:t>
      </w:r>
    </w:p>
    <w:p>
      <w:pPr>
        <w:spacing w:before="20" w:after="20"/>
      </w:pPr>
      <w:r>
        <w:rPr>
          <w:b/>
          <w:color w:val="374A6B"/>
          <w:sz w:val="20"/>
        </w:rPr>
        <w:t xml:space="preserve">IP / local de hospedagem: </w:t>
      </w:r>
      <w:r>
        <w:rPr>
          <w:color w:val="111827"/>
          <w:sz w:val="20"/>
        </w:rPr>
        <w:t>Local — a ser definido quando publicado em servidor corporativo</w:t>
      </w:r>
    </w:p>
    <w:p>
      <w:pPr>
        <w:spacing w:before="20" w:after="20"/>
      </w:pPr>
      <w:r>
        <w:rPr>
          <w:b/>
          <w:color w:val="374A6B"/>
          <w:sz w:val="20"/>
        </w:rPr>
        <w:t xml:space="preserve">Repositório de código: </w:t>
      </w:r>
      <w:r>
        <w:rPr>
          <w:color w:val="111827"/>
          <w:sz w:val="20"/>
        </w:rPr>
        <w:t>G:\GUSTAVO\Lucro presumido majoração\lucro-presumido  (pasta local, sem repositório remoto configurado)</w:t>
      </w:r>
    </w:p>
    <w:p>
      <w:pPr>
        <w:spacing w:before="20" w:after="20"/>
      </w:pPr>
      <w:r>
        <w:rPr>
          <w:b/>
          <w:color w:val="374A6B"/>
          <w:sz w:val="20"/>
        </w:rPr>
        <w:t xml:space="preserve">Responsável pelo deploy: </w:t>
      </w:r>
      <w:r>
        <w:rPr>
          <w:color w:val="111827"/>
          <w:sz w:val="20"/>
        </w:rPr>
        <w:t>Gustavo Jesus — Departamento de TI / Contabilidade</w:t>
      </w:r>
    </w:p>
    <w:p>
      <w:pPr>
        <w:spacing w:before="200" w:after="60"/>
        <w:pBdr>
          <w:bottom w:val="single" w:sz="6" w:space="1" w:color="1E408A"/>
        </w:pBdr>
      </w:pPr>
      <w:r>
        <w:rPr>
          <w:b/>
          <w:color w:val="1E408A"/>
          <w:sz w:val="22"/>
        </w:rPr>
        <w:t>3. ARQUITETURA DA SOLUÇÃO</w:t>
      </w:r>
    </w:p>
    <w:p>
      <w:pPr>
        <w:spacing w:before="20" w:after="20"/>
      </w:pPr>
      <w:r>
        <w:rPr>
          <w:b/>
          <w:color w:val="374A6B"/>
          <w:sz w:val="20"/>
        </w:rPr>
        <w:t xml:space="preserve">Resumo da arquitetura: </w:t>
      </w:r>
      <w:r>
        <w:rPr>
          <w:color w:val="111827"/>
          <w:sz w:val="20"/>
        </w:rPr>
        <w:t>Arquitetura em três camadas: (1) Frontend React SPA servido por Nginx na porta 3000; (2) Backend API REST Node.js/Express na porta 3001; (3) Banco de dados PostgreSQL na porta 5432. O Nginx atua como proxy reverso, encaminhando requisições /api/* para o backend. A autenticação é baseada em tokens JWT (expiração de 8 horas). Toda a orquestração é feita via Docker Compose.</w:t>
      </w:r>
    </w:p>
    <w:p>
      <w:pPr>
        <w:spacing w:before="20" w:after="20"/>
      </w:pPr>
      <w:r>
        <w:rPr>
          <w:b/>
          <w:color w:val="374A6B"/>
          <w:sz w:val="20"/>
        </w:rPr>
        <w:t xml:space="preserve">Fluxo resumido: </w:t>
      </w:r>
      <w:r>
        <w:rPr>
          <w:color w:val="111827"/>
          <w:sz w:val="20"/>
        </w:rPr>
      </w:r>
    </w:p>
    <w:p>
      <w:pPr>
        <w:pStyle w:val="ListBullet"/>
        <w:spacing w:before="20" w:after="20"/>
      </w:pPr>
      <w:r>
        <w:rPr>
          <w:color w:val="111827"/>
          <w:sz w:val="20"/>
        </w:rPr>
        <w:t>Usuário acessa http://localhost:3000 → Nginx entrega o SPA React.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SPA verifica token JWT no localStorage; se ausente ou expirado, redireciona para tela de login.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Login: POST /api/auth/login → backend valida credenciais (bcrypt), retorna JWT.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SPA armazena token e faz requisições autenticadas com header Authorization: Bearer &lt;token&gt;.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Para cálculos: frontend envia receitas e período → backend executa lógica de majoração → persiste no PostgreSQL → retorna resultado.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Exportação: frontend solicita GET /api/calculos/:id/pdf ou /excel → backend gera arquivo com PDFKit/ExcelJS → retorna como download.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Todas as operações de criação, edição, exclusão e exportação registram entrada na tabela LogAuditoria.</w:t>
      </w:r>
    </w:p>
    <w:p>
      <w:pPr>
        <w:spacing w:before="20" w:after="20"/>
      </w:pPr>
      <w:r>
        <w:rPr>
          <w:b/>
          <w:color w:val="374A6B"/>
          <w:sz w:val="20"/>
        </w:rPr>
        <w:t xml:space="preserve">Componentes da solução: </w:t>
      </w:r>
      <w:r>
        <w:rPr>
          <w:color w:val="111827"/>
          <w:sz w:val="20"/>
        </w:rPr>
      </w:r>
    </w:p>
    <w:p>
      <w:pPr>
        <w:pStyle w:val="ListBullet"/>
        <w:spacing w:before="20" w:after="20"/>
      </w:pPr>
      <w:r>
        <w:rPr>
          <w:color w:val="111827"/>
          <w:sz w:val="20"/>
        </w:rPr>
        <w:t>Frontend: React 18 + TypeScript + Tailwind CSS + Vite (build) — servido por Nginx Alpine.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Backend: Node.js 20 + Express 4 + TypeScript — API REST com 27 endpoints.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ORM: Prisma 5 — migrations versionadas, seed de dados padrão.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Banco de dados: PostgreSQL 15 (produção via Docker) / SQLite (desenvolvimento local).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Autenticação: JWT (jsonwebtoken) + bcryptjs para hash de senhas.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Relatórios: PDFKit (PDF) e ExcelJS (XLSX).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Containerização: Docker + Docker Compose (3 serviços: postgres, backend, frontend).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Scripts auxiliares: iniciar.bat / parar.bat (Windows), scripts npm para migração e seed.</w:t>
      </w:r>
    </w:p>
    <w:p>
      <w:pPr>
        <w:spacing w:before="20" w:after="20"/>
      </w:pPr>
      <w:r>
        <w:rPr>
          <w:b/>
          <w:color w:val="374A6B"/>
          <w:sz w:val="20"/>
        </w:rPr>
        <w:t xml:space="preserve">Diagrama da arquitetura: </w:t>
      </w:r>
      <w:r>
        <w:rPr>
          <w:color w:val="111827"/>
          <w:sz w:val="20"/>
        </w:rPr>
        <w:t>[Usuário] → [Nginx :3000] → [React SPA]</w:t>
        <w:br/>
        <w:t xml:space="preserve">                         ↓ /api/*</w:t>
        <w:br/>
        <w:t xml:space="preserve">                  [Express API :3001]</w:t>
        <w:br/>
        <w:t xml:space="preserve">                         ↓</w:t>
        <w:br/>
        <w:t xml:space="preserve">                  [PostgreSQL :5432]</w:t>
        <w:br/>
        <w:br/>
        <w:t>Todos os serviços executam em containers Docker via docker-compose.yml.</w:t>
      </w:r>
    </w:p>
    <w:p>
      <w:pPr>
        <w:spacing w:before="200" w:after="60"/>
        <w:pBdr>
          <w:bottom w:val="single" w:sz="6" w:space="1" w:color="1E408A"/>
        </w:pBdr>
      </w:pPr>
      <w:r>
        <w:rPr>
          <w:b/>
          <w:color w:val="1E408A"/>
          <w:sz w:val="22"/>
        </w:rPr>
        <w:t>4. TECNOLOGIAS UTILIZADAS</w:t>
      </w:r>
    </w:p>
    <w:p>
      <w:pPr>
        <w:spacing w:before="20" w:after="20"/>
      </w:pPr>
      <w:r>
        <w:rPr>
          <w:b/>
          <w:color w:val="374A6B"/>
          <w:sz w:val="20"/>
        </w:rPr>
        <w:t xml:space="preserve">Linguagens de programação: </w:t>
      </w:r>
      <w:r>
        <w:rPr>
          <w:color w:val="111827"/>
          <w:sz w:val="20"/>
        </w:rPr>
        <w:t>TypeScript 5.3.3 (frontend e backend) — transpilado para JavaScript ES2020.</w:t>
      </w:r>
    </w:p>
    <w:p>
      <w:pPr>
        <w:spacing w:before="20" w:after="20"/>
      </w:pPr>
      <w:r>
        <w:rPr>
          <w:b/>
          <w:color w:val="374A6B"/>
          <w:sz w:val="20"/>
        </w:rPr>
        <w:t xml:space="preserve">Frameworks / bibliotecas: </w:t>
      </w:r>
      <w:r>
        <w:rPr>
          <w:color w:val="111827"/>
          <w:sz w:val="20"/>
        </w:rPr>
      </w:r>
    </w:p>
    <w:p>
      <w:pPr>
        <w:pStyle w:val="ListBullet"/>
        <w:spacing w:before="20" w:after="20"/>
      </w:pPr>
      <w:r>
        <w:rPr>
          <w:color w:val="111827"/>
          <w:sz w:val="20"/>
        </w:rPr>
        <w:t>Frontend: React 18.2, React Router DOM 6.22, Axios 1.6.7, Tailwind CSS 3.4.1, Recharts 2.12.0, React Hook Form 7.51.0, react-number-format 5.3.4, React Hot Toast 2.4.1.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Backend: Express 4.18.3, Prisma 5.10.0, bcryptjs 2.4.3, jsonwebtoken 9.0.2, PDFKit 0.15.0, ExcelJS 4.4.0, express-validator 7.0.1, Morgan 1.10.0, CORS 2.8.5.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Build: Vite 5.1.0 (frontend), tsx + tsc (backend).</w:t>
      </w:r>
    </w:p>
    <w:p>
      <w:pPr>
        <w:spacing w:before="20" w:after="20"/>
      </w:pPr>
      <w:r>
        <w:rPr>
          <w:b/>
          <w:color w:val="374A6B"/>
          <w:sz w:val="20"/>
        </w:rPr>
        <w:t xml:space="preserve">Banco de dados: </w:t>
      </w:r>
      <w:r>
        <w:rPr>
          <w:color w:val="111827"/>
          <w:sz w:val="20"/>
        </w:rPr>
        <w:t>PostgreSQL 15 Alpine (produção) — base: lucro_presumido | usuário: lucro | porta: 5432.</w:t>
        <w:br/>
        <w:t>SQLite (desenvolvimento local) — arquivo: backend/src/prisma/dev.db.</w:t>
        <w:br/>
        <w:t>ORM: Prisma com 2 migrations aplicadas (20260420205142_init e 20260424121759_expand_schema).</w:t>
      </w:r>
    </w:p>
    <w:p>
      <w:pPr>
        <w:spacing w:before="20" w:after="20"/>
      </w:pPr>
      <w:r>
        <w:rPr>
          <w:b/>
          <w:color w:val="374A6B"/>
          <w:sz w:val="20"/>
        </w:rPr>
        <w:t xml:space="preserve">Ferramentas e infraestrutura: </w:t>
      </w:r>
      <w:r>
        <w:rPr>
          <w:color w:val="111827"/>
          <w:sz w:val="20"/>
        </w:rPr>
      </w:r>
    </w:p>
    <w:p>
      <w:pPr>
        <w:pStyle w:val="ListBullet"/>
        <w:spacing w:before="20" w:after="20"/>
      </w:pPr>
      <w:r>
        <w:rPr>
          <w:color w:val="111827"/>
          <w:sz w:val="20"/>
        </w:rPr>
        <w:t>Docker Desktop (Windows) + Docker Compose para orquestração.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Nginx Alpine — servidor web do frontend e proxy reverso.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Node.js 20 Alpine — runtime do backend.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npm — gerenciador de pacotes (frontend e backend independentes).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VS Code — IDE de desenvolvimento (.vscode/settings.json incluso).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Prisma Studio — interface visual do banco em ambiente de desenvolvimento.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Volume Docker: pgdata — persistência do PostgreSQL entre reinicializações.</w:t>
      </w:r>
    </w:p>
    <w:p>
      <w:pPr>
        <w:spacing w:before="200" w:after="60"/>
        <w:pBdr>
          <w:bottom w:val="single" w:sz="6" w:space="1" w:color="1E408A"/>
        </w:pBdr>
      </w:pPr>
      <w:r>
        <w:rPr>
          <w:b/>
          <w:color w:val="1E408A"/>
          <w:sz w:val="22"/>
        </w:rPr>
        <w:t>5. ESTRUTURA TÉCNICA DETALHADA</w:t>
      </w:r>
    </w:p>
    <w:p>
      <w:pPr>
        <w:spacing w:before="20" w:after="20"/>
      </w:pPr>
      <w:r>
        <w:rPr>
          <w:b/>
          <w:color w:val="374A6B"/>
          <w:sz w:val="20"/>
        </w:rPr>
        <w:t xml:space="preserve">Frontend: </w:t>
      </w:r>
      <w:r>
        <w:rPr>
          <w:color w:val="111827"/>
          <w:sz w:val="20"/>
        </w:rPr>
      </w:r>
    </w:p>
    <w:p>
      <w:pPr>
        <w:pStyle w:val="ListBullet"/>
        <w:spacing w:before="20" w:after="20"/>
      </w:pPr>
      <w:r>
        <w:rPr>
          <w:color w:val="111827"/>
          <w:sz w:val="20"/>
        </w:rPr>
        <w:t>Tecnologia: React 18 + TypeScript com Vite 5 como bundler.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Estilo: Tailwind CSS com paleta corporativa customizada (azul marinho #0A1628).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Roteamento: React Router DOM v6 (rotas protegidas por token JWT).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Estado global: Context API (AuthContext) + localStorage para token e rascunho.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Páginas: Login, Dashboard, Novo Cálculo (principal, 26KB), Detalhe, Histórico, Empresas, PIS/COFINS, Configurações.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Componentes: Layout (sidebar/header), CampoMonetario, EmpresaBusca (autocomplete), TabelaCalculo.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Proxy de desenvolvimento: /api → http://localhost:3001 (via vite.config.ts).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Responsável técnico: Gustavo Jesus.</w:t>
      </w:r>
    </w:p>
    <w:p>
      <w:pPr>
        <w:spacing w:before="20" w:after="20"/>
      </w:pPr>
      <w:r>
        <w:rPr>
          <w:b/>
          <w:color w:val="374A6B"/>
          <w:sz w:val="20"/>
        </w:rPr>
        <w:t xml:space="preserve">Backend: </w:t>
      </w:r>
      <w:r>
        <w:rPr>
          <w:color w:val="111827"/>
          <w:sz w:val="20"/>
        </w:rPr>
      </w:r>
    </w:p>
    <w:p>
      <w:pPr>
        <w:pStyle w:val="ListBullet"/>
        <w:spacing w:before="20" w:after="20"/>
      </w:pPr>
      <w:r>
        <w:rPr>
          <w:color w:val="111827"/>
          <w:sz w:val="20"/>
        </w:rPr>
        <w:t>Tecnologia: Node.js 20 + Express 4 + TypeScript.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Arquitetura: MVC — controllers / services / middleware / routes.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Módulos principais: AuthController, CalculoController, EmpresaController, PisCofinsController, UsuarioController.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Serviços: calculo.service (lógica de majoração), pdf.service (510 linhas), excel.service (567 linhas), empresa.service, pisCofins.service.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Middleware JWT: verifica Authorization header, popula req.usuario, retorna 401 se inválido.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27 endpoints na API (ver seção Escopo Técnico para tabela completa).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Responsável técnico: Gustavo Jesus.</w:t>
      </w:r>
    </w:p>
    <w:p>
      <w:pPr>
        <w:spacing w:before="20" w:after="20"/>
      </w:pPr>
      <w:r>
        <w:rPr>
          <w:b/>
          <w:color w:val="374A6B"/>
          <w:sz w:val="20"/>
        </w:rPr>
        <w:t xml:space="preserve">Banco de dados: </w:t>
      </w:r>
      <w:r>
        <w:rPr>
          <w:color w:val="111827"/>
          <w:sz w:val="20"/>
        </w:rPr>
      </w:r>
    </w:p>
    <w:p>
      <w:pPr>
        <w:pStyle w:val="ListBullet"/>
        <w:spacing w:before="20" w:after="20"/>
      </w:pPr>
      <w:r>
        <w:rPr>
          <w:color w:val="111827"/>
          <w:sz w:val="20"/>
        </w:rPr>
        <w:t>Motor: PostgreSQL 15 (produção) / SQLite (dev).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Tabelas principais: Usuario, CalculoTrimestral, Empresa, PercentualPresuncao, PeriodoApuracao, CalculoIrpjCsll, CalculoPisCofins, ParametroSistema, LogAuditoria, HistoricoExportacao.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Campo JSON: CalculoTrimestral.detalheCalculo armazena as linhas de faixa serializadas.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Constraint de unicidade: (ano, trimestre, empresaId) na tabela CalculoTrimestral.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Seed inicial: 1 usuário admin, 9 percentuais de presunção por atividade, 10 parâmetros do sistema, 2.669 empresas importadas de CSV.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Sem procedures ou views — toda lógica de negócio está no backend (Prisma ORM).</w:t>
      </w:r>
    </w:p>
    <w:p>
      <w:pPr>
        <w:spacing w:before="20" w:after="20"/>
      </w:pPr>
      <w:r>
        <w:rPr>
          <w:b/>
          <w:color w:val="374A6B"/>
          <w:sz w:val="20"/>
        </w:rPr>
        <w:t xml:space="preserve">Integrações: </w:t>
      </w:r>
      <w:r>
        <w:rPr>
          <w:color w:val="111827"/>
          <w:sz w:val="20"/>
        </w:rPr>
        <w:t>Nenhuma integração com sistemas externos no momento. Ferramenta standalone.</w:t>
      </w:r>
    </w:p>
    <w:p>
      <w:pPr>
        <w:spacing w:before="200" w:after="60"/>
        <w:pBdr>
          <w:bottom w:val="single" w:sz="6" w:space="1" w:color="1E408A"/>
        </w:pBdr>
      </w:pPr>
      <w:r>
        <w:rPr>
          <w:b/>
          <w:color w:val="1E408A"/>
          <w:sz w:val="22"/>
        </w:rPr>
        <w:t>6. REGRAS DE FUNCIONAMENTO</w:t>
      </w:r>
    </w:p>
    <w:p>
      <w:pPr>
        <w:spacing w:before="20" w:after="20"/>
      </w:pPr>
      <w:r>
        <w:rPr>
          <w:b/>
          <w:color w:val="374A6B"/>
          <w:sz w:val="20"/>
        </w:rPr>
        <w:t xml:space="preserve">Regras principais da ferramenta: </w:t>
      </w:r>
      <w:r>
        <w:rPr>
          <w:color w:val="111827"/>
          <w:sz w:val="20"/>
        </w:rPr>
      </w:r>
    </w:p>
    <w:p>
      <w:pPr>
        <w:pStyle w:val="ListBullet"/>
        <w:spacing w:before="20" w:after="20"/>
      </w:pPr>
      <w:r>
        <w:rPr>
          <w:color w:val="111827"/>
          <w:sz w:val="20"/>
        </w:rPr>
        <w:t>Limite de majoração (MP 1.262/2024): receita trimestral acima de R$ 1.250.000 gera acréscimo de 10% na alíquota da parcela excedente, distribuído proporcionalmente entre as faixas (16%, 8%, 16%P, 32%).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Vigência IRPJ majorado: desde o 1T/2026.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Vigência CSLL majorada: a partir do 2T/2026 — o sistema BLOQUEIA a majoração da CSLL no 1T/2026 automaticamente.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Limite adicional IR: base de cálculo acima de R$ 60.000 no trimestre (R$ 20.000/mês × 3) gera adicional de 10%.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Apuração mensal: se o usuário informar valores de IRPJ/CSLL pagos nos meses 1 e 2, o sistema calcula o residual do 3.º mês automaticamente.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Unicidade de período: não é possível criar dois cálculos para o mesmo (ano, trimestre, empresa). Duplicação cria novo registro para o próximo trimestre disponível.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PIS/COFINS — vencimento: calculado automaticamente como dia 25 do mês seguinte ao de competência, ajustado para dia útil se cair em final de semana.</w:t>
      </w:r>
    </w:p>
    <w:p>
      <w:pPr>
        <w:spacing w:before="20" w:after="20"/>
      </w:pPr>
      <w:r>
        <w:rPr>
          <w:b/>
          <w:color w:val="374A6B"/>
          <w:sz w:val="20"/>
        </w:rPr>
        <w:t xml:space="preserve">Validações aplicadas: </w:t>
      </w:r>
      <w:r>
        <w:rPr>
          <w:color w:val="111827"/>
          <w:sz w:val="20"/>
        </w:rPr>
      </w:r>
    </w:p>
    <w:p>
      <w:pPr>
        <w:pStyle w:val="ListBullet"/>
        <w:spacing w:before="20" w:after="20"/>
      </w:pPr>
      <w:r>
        <w:rPr>
          <w:color w:val="111827"/>
          <w:sz w:val="20"/>
        </w:rPr>
        <w:t>Todos os campos monetários aceitam somente valores numéricos ≥ 0.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Período (ano/trimestre) obrigatório e validado antes de salvar.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Email único por usuário — validação no banco (unique constraint) e na API.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Token JWT expirado (8h) → redirecionamento automático para login.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Tentativa de duplicar período já existente → erro 409 com retorno dos dados existentes para edição.</w:t>
      </w:r>
    </w:p>
    <w:p>
      <w:pPr>
        <w:spacing w:before="20" w:after="20"/>
      </w:pPr>
      <w:r>
        <w:rPr>
          <w:b/>
          <w:color w:val="374A6B"/>
          <w:sz w:val="20"/>
        </w:rPr>
        <w:t xml:space="preserve">Permissões e perfis de acesso: </w:t>
      </w:r>
      <w:r>
        <w:rPr>
          <w:color w:val="111827"/>
          <w:sz w:val="20"/>
        </w:rPr>
      </w:r>
    </w:p>
    <w:p>
      <w:pPr>
        <w:pStyle w:val="ListBullet"/>
        <w:spacing w:before="20" w:after="20"/>
      </w:pPr>
      <w:r>
        <w:rPr>
          <w:color w:val="111827"/>
          <w:sz w:val="20"/>
        </w:rPr>
        <w:t>USUARIO: acesso a cálculos (criar, editar, excluir, duplicar, exportar), empresas, PIS/COFINS e seu próprio perfil.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ADMIN: tudo do perfil USUARIO + gerenciamento de usuários (criar, editar, resetar senha, ativar/inativar).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Acesso concedido pelo administrador via tela de Configurações → Usuários.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Credenciais padrão pós-instalação: admin@empresa.com.br / admin123 (alterar imediatamente em produção).</w:t>
      </w:r>
    </w:p>
    <w:p>
      <w:pPr>
        <w:spacing w:before="20" w:after="20"/>
      </w:pPr>
      <w:r>
        <w:rPr>
          <w:b/>
          <w:color w:val="374A6B"/>
          <w:sz w:val="20"/>
        </w:rPr>
        <w:t xml:space="preserve">Dependências para funcionamento: </w:t>
      </w:r>
      <w:r>
        <w:rPr>
          <w:color w:val="111827"/>
          <w:sz w:val="20"/>
        </w:rPr>
      </w:r>
    </w:p>
    <w:p>
      <w:pPr>
        <w:pStyle w:val="ListBullet"/>
        <w:spacing w:before="20" w:after="20"/>
      </w:pPr>
      <w:r>
        <w:rPr>
          <w:color w:val="111827"/>
          <w:sz w:val="20"/>
        </w:rPr>
        <w:t>Docker Desktop instalado e em execução na máquina host.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Portas 3000, 3001 e 5432 livres na máquina.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Acesso à internet apenas para build inicial (download de imagens Docker e pacotes npm). Após build, funciona offline.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Arquivo .env no diretório backend/ com DATABASE_URL e JWT_SECRET configurados.</w:t>
      </w:r>
    </w:p>
    <w:p>
      <w:pPr>
        <w:spacing w:before="200" w:after="60"/>
        <w:pBdr>
          <w:bottom w:val="single" w:sz="6" w:space="1" w:color="1E408A"/>
        </w:pBdr>
      </w:pPr>
      <w:r>
        <w:rPr>
          <w:b/>
          <w:color w:val="1E408A"/>
          <w:sz w:val="22"/>
        </w:rPr>
        <w:t>7. INSTALAÇÃO, IMPLANTAÇÃO E ATUALIZAÇÃO</w:t>
      </w:r>
    </w:p>
    <w:p>
      <w:pPr>
        <w:spacing w:before="20" w:after="20"/>
      </w:pPr>
      <w:r>
        <w:rPr>
          <w:b/>
          <w:color w:val="374A6B"/>
          <w:sz w:val="20"/>
        </w:rPr>
        <w:t xml:space="preserve">Pré-requisitos: </w:t>
      </w:r>
      <w:r>
        <w:rPr>
          <w:color w:val="111827"/>
          <w:sz w:val="20"/>
        </w:rPr>
      </w:r>
    </w:p>
    <w:p>
      <w:pPr>
        <w:pStyle w:val="ListBullet"/>
        <w:spacing w:before="20" w:after="20"/>
      </w:pPr>
      <w:r>
        <w:rPr>
          <w:color w:val="111827"/>
          <w:sz w:val="20"/>
        </w:rPr>
        <w:t>Docker Desktop instalado (Windows) — versão 24+ recomendada.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Portas 3000, 3001 e 5432 disponíveis.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Código-fonte presente em G:\GUSTAVO\Lucro presumido majoração\lucro-presumido (ou caminho alternativo).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Arquivo backend/.env configurado com DATABASE_URL e JWT_SECRET.</w:t>
      </w:r>
    </w:p>
    <w:p>
      <w:pPr>
        <w:spacing w:before="20" w:after="20"/>
      </w:pPr>
      <w:r>
        <w:rPr>
          <w:b/>
          <w:color w:val="374A6B"/>
          <w:sz w:val="20"/>
        </w:rPr>
        <w:t xml:space="preserve">Procedimento de instalação (primeira vez): </w:t>
      </w:r>
      <w:r>
        <w:rPr>
          <w:color w:val="111827"/>
          <w:sz w:val="20"/>
        </w:rPr>
      </w:r>
    </w:p>
    <w:p>
      <w:pPr>
        <w:pStyle w:val="ListBullet"/>
        <w:spacing w:before="20" w:after="20"/>
      </w:pPr>
      <w:r>
        <w:rPr>
          <w:color w:val="111827"/>
          <w:sz w:val="20"/>
        </w:rPr>
        <w:t>1. Garantir que o Docker Desktop está iniciado.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2. Abrir prompt de comando na pasta do projeto.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3. Executar: docker-compose up -d --build</w:t>
      </w:r>
    </w:p>
    <w:p>
      <w:pPr>
        <w:pStyle w:val="ListBullet"/>
        <w:spacing w:before="20" w:after="20"/>
      </w:pPr>
      <w:r>
        <w:rPr>
          <w:color w:val="111827"/>
          <w:sz w:val="20"/>
        </w:rPr>
        <w:t xml:space="preserve">   (ou clicar duas vezes em iniciar.bat)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4. Aguardar o build das imagens e início dos containers (~2–5 minutos na primeira vez).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5. Aplicar migrations e seed: docker-compose exec backend npx prisma migrate deploy &amp;&amp; npx prisma db seed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6. Acessar http://localhost:3000 e fazer login com admin@empresa.com.br / admin123.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7. Alterar a senha do admin imediatamente.</w:t>
      </w:r>
    </w:p>
    <w:p>
      <w:pPr>
        <w:spacing w:before="20" w:after="20"/>
      </w:pPr>
      <w:r>
        <w:rPr>
          <w:b/>
          <w:color w:val="374A6B"/>
          <w:sz w:val="20"/>
        </w:rPr>
        <w:t xml:space="preserve">Procedimento de deploy / publicação: </w:t>
      </w:r>
      <w:r>
        <w:rPr>
          <w:color w:val="111827"/>
          <w:sz w:val="20"/>
        </w:rPr>
      </w:r>
    </w:p>
    <w:p>
      <w:pPr>
        <w:pStyle w:val="ListBullet"/>
        <w:spacing w:before="20" w:after="20"/>
      </w:pPr>
      <w:r>
        <w:rPr>
          <w:color w:val="111827"/>
          <w:sz w:val="20"/>
        </w:rPr>
        <w:t>Copiar a pasta do projeto para o servidor de destino.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Ajustar backend/.env: DATABASE_URL (PostgreSQL do servidor), JWT_SECRET (valor seguro gerado com openssl rand -base64 32), PORT=3001.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Executar: docker-compose up -d --build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Aplicar migrations: docker-compose exec backend npx prisma migrate deploy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Verificar saúde: GET http://&lt;servidor&gt;:3001/health → deve retornar {"status":"ok"}</w:t>
      </w:r>
    </w:p>
    <w:p>
      <w:pPr>
        <w:spacing w:before="20" w:after="20"/>
      </w:pPr>
      <w:r>
        <w:rPr>
          <w:b/>
          <w:color w:val="374A6B"/>
          <w:sz w:val="20"/>
        </w:rPr>
        <w:t xml:space="preserve">Procedimento de rollback: </w:t>
      </w:r>
      <w:r>
        <w:rPr>
          <w:color w:val="111827"/>
          <w:sz w:val="20"/>
        </w:rPr>
      </w:r>
    </w:p>
    <w:p>
      <w:pPr>
        <w:pStyle w:val="ListBullet"/>
        <w:spacing w:before="20" w:after="20"/>
      </w:pPr>
      <w:r>
        <w:rPr>
          <w:color w:val="111827"/>
          <w:sz w:val="20"/>
        </w:rPr>
        <w:t>Parar os containers: docker-compose down (ou parar.bat)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Restaurar o backup do volume pgdata (PostgreSQL) a partir do snapshot anterior.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Se necessário, reverter código para a versão anterior e re-executar docker-compose up -d --build.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Não há migrations de rollback automáticas — reversão de schema deve ser feita manualmente via Prisma se necessário.</w:t>
      </w:r>
    </w:p>
    <w:p>
      <w:pPr>
        <w:spacing w:before="20" w:after="20"/>
      </w:pPr>
      <w:r>
        <w:rPr>
          <w:b/>
          <w:color w:val="374A6B"/>
          <w:sz w:val="20"/>
        </w:rPr>
        <w:t xml:space="preserve">Controle de versão: </w:t>
      </w:r>
      <w:r>
        <w:rPr>
          <w:color w:val="111827"/>
          <w:sz w:val="20"/>
        </w:rPr>
        <w:t>Sem repositório Git remoto configurado atualmente. Código mantido localmente em G:\GUSTAVO\Lucro presumido majoração\lucro-presumido. Recomenda-se criar repositório no GitLab/GitHub interno e adotar versionamento semântico (v1.0.0, v1.1.0, etc.).</w:t>
      </w:r>
    </w:p>
    <w:p>
      <w:pPr>
        <w:spacing w:before="200" w:after="60"/>
        <w:pBdr>
          <w:bottom w:val="single" w:sz="6" w:space="1" w:color="1E408A"/>
        </w:pBdr>
      </w:pPr>
      <w:r>
        <w:rPr>
          <w:b/>
          <w:color w:val="1E408A"/>
          <w:sz w:val="22"/>
        </w:rPr>
        <w:t>8. OPERAÇÃO E ROTINAS TÉCNICAS</w:t>
      </w:r>
    </w:p>
    <w:p>
      <w:pPr>
        <w:spacing w:before="20" w:after="20"/>
      </w:pPr>
      <w:r>
        <w:rPr>
          <w:b/>
          <w:color w:val="374A6B"/>
          <w:sz w:val="20"/>
        </w:rPr>
        <w:t xml:space="preserve">Rotinas automáticas existentes: </w:t>
      </w:r>
      <w:r>
        <w:rPr>
          <w:color w:val="111827"/>
          <w:sz w:val="20"/>
        </w:rPr>
      </w:r>
    </w:p>
    <w:p>
      <w:pPr>
        <w:pStyle w:val="ListBullet"/>
        <w:spacing w:before="20" w:after="20"/>
      </w:pPr>
      <w:r>
        <w:rPr>
          <w:color w:val="111827"/>
          <w:sz w:val="20"/>
        </w:rPr>
        <w:t>Autosave de rascunho: o frontend salva automaticamente os dados do formulário no localStorage do navegador a cada alteração, evitando perda em caso de fechamento acidental.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Log de auditoria: todas as operações (criar, editar, excluir, duplicar, exportar PDF/Excel) são registradas automaticamente na tabela LogAuditoria com usuário e timestamp.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Validação de vigência: o hook usePeriodoRules.ts verifica automaticamente se o período selecionado está dentro da vigência da MP 1.262/2024 e bloqueia/libera a majoração da CSLL conforme a regra.</w:t>
      </w:r>
    </w:p>
    <w:p>
      <w:pPr>
        <w:spacing w:before="20" w:after="20"/>
      </w:pPr>
      <w:r>
        <w:rPr>
          <w:b/>
          <w:color w:val="374A6B"/>
          <w:sz w:val="20"/>
        </w:rPr>
        <w:t xml:space="preserve">Agendamentos / jobs / cron: </w:t>
      </w:r>
      <w:r>
        <w:rPr>
          <w:color w:val="111827"/>
          <w:sz w:val="20"/>
        </w:rPr>
        <w:t>Nenhum agendamento automático no momento. Todos os cálculos e exportações são disparados manualmente pelo usuário.</w:t>
      </w:r>
    </w:p>
    <w:p>
      <w:pPr>
        <w:spacing w:before="20" w:after="20"/>
      </w:pPr>
      <w:r>
        <w:rPr>
          <w:b/>
          <w:color w:val="374A6B"/>
          <w:sz w:val="20"/>
        </w:rPr>
        <w:t xml:space="preserve">Procedimentos operacionais recorrentes: </w:t>
      </w:r>
      <w:r>
        <w:rPr>
          <w:color w:val="111827"/>
          <w:sz w:val="20"/>
        </w:rPr>
      </w:r>
    </w:p>
    <w:p>
      <w:pPr>
        <w:pStyle w:val="ListBullet"/>
        <w:spacing w:before="20" w:after="20"/>
      </w:pPr>
      <w:r>
        <w:rPr>
          <w:color w:val="111827"/>
          <w:sz w:val="20"/>
        </w:rPr>
        <w:t>Início da ferramenta: clicar em iniciar.bat (ou executar docker-compose up -d no terminal).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Parada da ferramenta: clicar em parar.bat (ou executar docker-compose down).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Backup do banco: copiar o volume Docker pgdata ou usar pg_dump: docker-compose exec postgres pg_dump -U lucro lucro_presumido &gt; backup_YYYYMMDD.sql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Atualização de parâmetros (alíquotas, vigências): alterar registros na tabela ParametroSistema via Prisma Studio ou diretamente no banco.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Importação de novas empresas: executar docker-compose exec backend npx tsx scripts/importar-empresas.ts após atualizar o CSV.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Reset de senha de usuário: acessar Configurações → Usuários (perfil ADMIN) → Resetar senha.</w:t>
      </w:r>
    </w:p>
    <w:p>
      <w:pPr>
        <w:spacing w:before="20" w:after="20"/>
      </w:pPr>
      <w:r>
        <w:rPr>
          <w:b/>
          <w:color w:val="374A6B"/>
          <w:sz w:val="20"/>
        </w:rPr>
        <w:t xml:space="preserve">Checklist diário/semanal/mensal: </w:t>
      </w:r>
      <w:r>
        <w:rPr>
          <w:color w:val="111827"/>
          <w:sz w:val="20"/>
        </w:rPr>
      </w:r>
    </w:p>
    <w:p>
      <w:pPr>
        <w:pStyle w:val="ListBullet"/>
        <w:spacing w:before="20" w:after="20"/>
      </w:pPr>
      <w:r>
        <w:rPr>
          <w:color w:val="111827"/>
          <w:sz w:val="20"/>
        </w:rPr>
        <w:t>[Diário] Verificar se os containers estão em execução: docker-compose ps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[Semanal] Realizar backup do banco de dados (pg_dump).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[Mensal] Verificar se há atualizações de segurança para as dependências (npm audit).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[Trimestral] Confirmar parâmetros de vigência da majoração (ParametroSistema) antes do início do novo período de apuração.</w:t>
      </w:r>
    </w:p>
    <w:p>
      <w:pPr>
        <w:pStyle w:val="ListBullet"/>
        <w:spacing w:before="20" w:after="20"/>
      </w:pPr>
      <w:r>
        <w:rPr>
          <w:color w:val="111827"/>
          <w:sz w:val="20"/>
        </w:rPr>
        <w:t>[Trimestral] Revisar logs de auditoria (LogAuditoria) para identificar inconsistências.</w:t>
      </w:r>
    </w:p>
    <w:p/>
    <w:p>
      <w:pPr>
        <w:jc w:val="center"/>
      </w:pPr>
      <w:r>
        <w:rPr>
          <w:i/>
          <w:color w:val="888888"/>
          <w:sz w:val="16"/>
        </w:rPr>
        <w:t>Documento para uso interno do Departamento de TI  ·  Gerado em 24/04/2026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