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Aptos" w:hAnsi="Aptos"/>
          <w:b/>
          <w:i w:val="0"/>
          <w:color w:val="2563EB"/>
          <w:sz w:val="18"/>
        </w:rPr>
        <w:t>LAB 9 SYNTHETIC CASE</w:t>
      </w:r>
    </w:p>
    <w:p>
      <w:pPr>
        <w:spacing w:after="100"/>
      </w:pPr>
      <w:r>
        <w:rPr>
          <w:rFonts w:ascii="Aptos" w:hAnsi="Aptos"/>
          <w:b/>
          <w:i w:val="0"/>
          <w:color w:val="102A43"/>
          <w:sz w:val="52"/>
        </w:rPr>
        <w:t>Project Nova - IT Access Request Portal</w:t>
      </w:r>
    </w:p>
    <w:p>
      <w:pPr>
        <w:spacing w:after="300"/>
      </w:pPr>
      <w:r>
        <w:rPr>
          <w:rFonts w:ascii="Aptos" w:hAnsi="Aptos"/>
          <w:b w:val="0"/>
          <w:i w:val="0"/>
          <w:color w:val="486581"/>
          <w:sz w:val="25"/>
        </w:rPr>
        <w:t>Business brief for a controlled requirements-discovery exercise.</w:t>
      </w:r>
    </w:p>
    <w:tbl>
      <w:tblPr>
        <w:tblW w:type="dxa" w:w="9820"/>
        <w:jc w:val="left"/>
        <w:tblLayout w:type="fixed"/>
        <w:tblLook w:firstColumn="1" w:firstRow="1" w:lastColumn="0" w:lastRow="0" w:noHBand="0" w:noVBand="1" w:val="04A0"/>
        <w:tblInd w:w="120" w:type="dxa"/>
        <w:tblBorders>
          <w:top w:val="single" w:sz="6" w:color="C9D9F2"/>
          <w:left w:val="single" w:sz="6" w:color="C9D9F2"/>
          <w:bottom w:val="single" w:sz="6" w:color="C9D9F2"/>
          <w:right w:val="single" w:sz="6" w:color="C9D9F2"/>
          <w:insideH w:val="single" w:sz="6" w:color="C9D9F2"/>
          <w:insideV w:val="single" w:sz="6" w:color="C9D9F2"/>
        </w:tblBorders>
      </w:tblPr>
      <w:tblGrid>
        <w:gridCol w:w="3293"/>
        <w:gridCol w:w="3293"/>
        <w:gridCol w:w="3293"/>
      </w:tblGrid>
      <w:tr>
        <w:tc>
          <w:tcPr>
            <w:tcW w:type="dxa" w:w="3274"/>
            <w:tcMar>
              <w:top w:w="80" w:type="dxa"/>
              <w:start w:w="120" w:type="dxa"/>
              <w:bottom w:w="80" w:type="dxa"/>
              <w:end w:w="120" w:type="dxa"/>
            </w:tcMar>
            <w:shd w:fill="EAF2FF"/>
          </w:tcPr>
          <w:p>
            <w:pPr>
              <w:jc w:val="center"/>
            </w:pPr>
            <w:r>
              <w:rPr>
                <w:rFonts w:ascii="Aptos" w:hAnsi="Aptos"/>
                <w:b/>
                <w:i w:val="0"/>
                <w:color w:val="2563EB"/>
                <w:sz w:val="16"/>
              </w:rPr>
              <w:t>SPONSOR</w:t>
              <w:br/>
            </w:r>
            <w:r>
              <w:rPr>
                <w:rFonts w:ascii="Aptos" w:hAnsi="Aptos"/>
                <w:b/>
                <w:i w:val="0"/>
                <w:color w:val="102A43"/>
                <w:sz w:val="20"/>
              </w:rPr>
              <w:t>Maya Chen</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TARGET</w:t>
              <w:br/>
            </w:r>
            <w:r>
              <w:rPr>
                <w:rFonts w:ascii="Aptos" w:hAnsi="Aptos"/>
                <w:b/>
                <w:i w:val="0"/>
                <w:color w:val="102A43"/>
                <w:sz w:val="20"/>
              </w:rPr>
              <w:t>30 Nov 2026</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STATUS</w:t>
              <w:br/>
            </w:r>
            <w:r>
              <w:rPr>
                <w:rFonts w:ascii="Aptos" w:hAnsi="Aptos"/>
                <w:b/>
                <w:i w:val="0"/>
                <w:color w:val="102A43"/>
                <w:sz w:val="20"/>
              </w:rPr>
              <w:t>Discovery</w:t>
            </w:r>
          </w:p>
        </w:tc>
      </w:tr>
    </w:tbl>
    <w:p>
      <w:pPr>
        <w:spacing w:after="40"/>
      </w:pPr>
    </w:p>
    <w:tbl>
      <w:tblPr>
        <w:tblW w:type="dxa" w:w="9820"/>
        <w:jc w:val="left"/>
        <w:tblLayout w:type="fixed"/>
        <w:tblLook w:firstColumn="1" w:firstRow="1" w:lastColumn="0" w:lastRow="0" w:noHBand="0" w:noVBand="1" w:val="04A0"/>
        <w:tblInd w:w="120" w:type="dxa"/>
        <w:tblBorders>
          <w:top w:val="single" w:sz="6" w:color="FDECEC"/>
          <w:left w:val="single" w:sz="6" w:color="FDECEC"/>
          <w:bottom w:val="single" w:sz="6" w:color="FDECEC"/>
          <w:right w:val="single" w:sz="6" w:color="FDECEC"/>
          <w:insideH w:val="single" w:sz="6" w:color="FDECEC"/>
          <w:insideV w:val="single" w:sz="6" w:color="FDECEC"/>
        </w:tblBorders>
      </w:tblPr>
      <w:tblGrid>
        <w:gridCol w:w="9878"/>
      </w:tblGrid>
      <w:tr>
        <w:tc>
          <w:tcPr>
            <w:tcW w:type="dxa" w:w="9821"/>
            <w:tcMar>
              <w:top w:w="80" w:type="dxa"/>
              <w:start w:w="120" w:type="dxa"/>
              <w:bottom w:w="80" w:type="dxa"/>
              <w:end w:w="120" w:type="dxa"/>
            </w:tcMar>
            <w:shd w:fill="FDECEC"/>
          </w:tcPr>
          <w:p>
            <w:r>
              <w:rPr>
                <w:rFonts w:ascii="Aptos" w:hAnsi="Aptos"/>
                <w:b/>
                <w:i w:val="0"/>
                <w:color w:val="A33A3A"/>
                <w:sz w:val="17"/>
              </w:rPr>
              <w:t>SOURCE STATUS</w:t>
              <w:br/>
            </w:r>
            <w:r>
              <w:rPr>
                <w:rFonts w:ascii="Aptos" w:hAnsi="Aptos"/>
                <w:b w:val="0"/>
                <w:i w:val="0"/>
                <w:color w:val="1F2933"/>
                <w:sz w:val="20"/>
              </w:rPr>
              <w:t>This brief defines the approved discovery purpose and initial MVP boundary. It does not approve detailed requirements, technical design or operational ownership.</w:t>
            </w:r>
          </w:p>
        </w:tc>
      </w:tr>
    </w:tbl>
    <w:p>
      <w:pPr>
        <w:spacing w:after="20"/>
      </w:pPr>
    </w:p>
    <w:p>
      <w:pPr>
        <w:pStyle w:val="Heading1"/>
      </w:pPr>
      <w:r>
        <w:t>Business problem</w:t>
      </w:r>
    </w:p>
    <w:p>
      <w:r>
        <w:t>Employee and contractor access requests currently arrive through email, Teams messages and local spreadsheets. Requesters cannot see progress, application owners receive incomplete information, and Service Desk analysts repeatedly clarify the same questions. Privileged-access requests are sometimes mixed with standard requests, which creates control and audit risk.</w:t>
      </w:r>
    </w:p>
    <w:p>
      <w:pPr>
        <w:pStyle w:val="Heading1"/>
      </w:pPr>
      <w:r>
        <w:t>Approved business objectives</w:t>
      </w:r>
    </w:p>
    <w:p>
      <w:pPr>
        <w:pStyle w:val="ListBullet"/>
      </w:pPr>
      <w:r>
        <w:t>Create one visible intake route for the five pilot applications.</w:t>
      </w:r>
    </w:p>
    <w:p>
      <w:pPr>
        <w:pStyle w:val="ListBullet"/>
      </w:pPr>
      <w:r>
        <w:t>Reduce avoidable clarification and manual status enquiries.</w:t>
      </w:r>
    </w:p>
    <w:p>
      <w:pPr>
        <w:pStyle w:val="ListBullet"/>
      </w:pPr>
      <w:r>
        <w:t>Apply the correct approval path for standard and privileged access.</w:t>
      </w:r>
    </w:p>
    <w:p>
      <w:pPr>
        <w:pStyle w:val="ListBullet"/>
      </w:pPr>
      <w:r>
        <w:t>Retain traceable evidence of the request, approvals, fulfilment and revocation.</w:t>
      </w:r>
    </w:p>
    <w:p>
      <w:pPr>
        <w:pStyle w:val="ListBullet"/>
      </w:pPr>
      <w:r>
        <w:t>Support onboarding requests before a worker starts, without bypassing security controls.</w:t>
      </w:r>
    </w:p>
    <w:p>
      <w:pPr>
        <w:pStyle w:val="Heading1"/>
      </w:pPr>
      <w:r>
        <w:t>Approved MVP boundary</w:t>
      </w:r>
    </w:p>
    <w:tbl>
      <w:tblPr>
        <w:tblW w:type="dxa" w:w="9820"/>
        <w:jc w:val="left"/>
        <w:tblLayout w:type="fixed"/>
        <w:tblLook w:firstColumn="1" w:firstRow="1" w:lastColumn="0" w:lastRow="0" w:noHBand="0" w:noVBand="1" w:val="04A0"/>
        <w:tblInd w:w="120" w:type="dxa"/>
        <w:tblBorders>
          <w:top w:val="single" w:sz="6" w:color="D5DEE8"/>
          <w:left w:val="single" w:sz="6" w:color="D5DEE8"/>
          <w:bottom w:val="single" w:sz="6" w:color="D5DEE8"/>
          <w:right w:val="single" w:sz="6" w:color="D5DEE8"/>
          <w:insideH w:val="single" w:sz="6" w:color="D5DEE8"/>
          <w:insideV w:val="single" w:sz="6" w:color="D5DEE8"/>
        </w:tblBorders>
      </w:tblPr>
      <w:tblGrid>
        <w:gridCol w:w="4939"/>
        <w:gridCol w:w="4939"/>
      </w:tblGrid>
      <w:tr>
        <w:trPr>
          <w:tblHeader w:val="true"/>
        </w:trPr>
        <w:tc>
          <w:tcPr>
            <w:tcW w:type="dxa" w:w="4910"/>
            <w:tcMar>
              <w:top w:w="80" w:type="dxa"/>
              <w:start w:w="120" w:type="dxa"/>
              <w:bottom w:w="80" w:type="dxa"/>
              <w:end w:w="120" w:type="dxa"/>
            </w:tcMar>
            <w:shd w:fill="102A43"/>
          </w:tcPr>
          <w:p>
            <w:r>
              <w:rPr>
                <w:rFonts w:ascii="Aptos" w:hAnsi="Aptos"/>
                <w:b/>
                <w:i w:val="0"/>
                <w:color w:val="FFFFFF"/>
                <w:sz w:val="17"/>
              </w:rPr>
              <w:t>Included</w:t>
            </w:r>
          </w:p>
        </w:tc>
        <w:tc>
          <w:tcPr>
            <w:tcW w:type="dxa" w:w="4910"/>
            <w:tcMar>
              <w:top w:w="80" w:type="dxa"/>
              <w:start w:w="120" w:type="dxa"/>
              <w:bottom w:w="80" w:type="dxa"/>
              <w:end w:w="120" w:type="dxa"/>
            </w:tcMar>
            <w:shd w:fill="102A43"/>
          </w:tcPr>
          <w:p>
            <w:r>
              <w:rPr>
                <w:rFonts w:ascii="Aptos" w:hAnsi="Aptos"/>
                <w:b/>
                <w:i w:val="0"/>
                <w:color w:val="FFFFFF"/>
                <w:sz w:val="17"/>
              </w:rPr>
              <w:t>Not included</w:t>
            </w:r>
          </w:p>
        </w:tc>
      </w:tr>
      <w:tr>
        <w:tc>
          <w:tcPr>
            <w:tcW w:type="dxa" w:w="4910"/>
            <w:tcMar>
              <w:top w:w="80" w:type="dxa"/>
              <w:start w:w="120" w:type="dxa"/>
              <w:bottom w:w="80" w:type="dxa"/>
              <w:end w:w="120" w:type="dxa"/>
            </w:tcMar>
          </w:tcPr>
          <w:p>
            <w:r>
              <w:rPr>
                <w:rFonts w:ascii="Aptos" w:hAnsi="Aptos"/>
                <w:b w:val="0"/>
                <w:i w:val="0"/>
                <w:color w:val="1F2933"/>
                <w:sz w:val="18"/>
              </w:rPr>
              <w:t>Employees and contractors in the Danish pilot organisation</w:t>
            </w:r>
          </w:p>
        </w:tc>
        <w:tc>
          <w:tcPr>
            <w:tcW w:type="dxa" w:w="4910"/>
            <w:tcMar>
              <w:top w:w="80" w:type="dxa"/>
              <w:start w:w="120" w:type="dxa"/>
              <w:bottom w:w="80" w:type="dxa"/>
              <w:end w:w="120" w:type="dxa"/>
            </w:tcMar>
          </w:tcPr>
          <w:p>
            <w:r>
              <w:rPr>
                <w:rFonts w:ascii="Aptos" w:hAnsi="Aptos"/>
                <w:b w:val="0"/>
                <w:i w:val="0"/>
                <w:color w:val="1F2933"/>
                <w:sz w:val="18"/>
              </w:rPr>
              <w:t>Customer identities and external customer access</w:t>
            </w:r>
          </w:p>
        </w:tc>
      </w:tr>
      <w:tr>
        <w:tc>
          <w:tcPr>
            <w:tcW w:type="dxa" w:w="4910"/>
            <w:tcMar>
              <w:top w:w="80" w:type="dxa"/>
              <w:start w:w="120" w:type="dxa"/>
              <w:bottom w:w="80" w:type="dxa"/>
              <w:end w:w="120" w:type="dxa"/>
            </w:tcMar>
            <w:shd w:fill="F4F7FA"/>
          </w:tcPr>
          <w:p>
            <w:r>
              <w:rPr>
                <w:rFonts w:ascii="Aptos" w:hAnsi="Aptos"/>
                <w:b w:val="0"/>
                <w:i w:val="0"/>
                <w:color w:val="1F2933"/>
                <w:sz w:val="18"/>
              </w:rPr>
              <w:t>FinanceHub, HR Core, ServiceNow, Power BI Workspace and GitHub Enterprise</w:t>
            </w:r>
          </w:p>
        </w:tc>
        <w:tc>
          <w:tcPr>
            <w:tcW w:type="dxa" w:w="4910"/>
            <w:tcMar>
              <w:top w:w="80" w:type="dxa"/>
              <w:start w:w="120" w:type="dxa"/>
              <w:bottom w:w="80" w:type="dxa"/>
              <w:end w:w="120" w:type="dxa"/>
            </w:tcMar>
            <w:shd w:fill="F4F7FA"/>
          </w:tcPr>
          <w:p>
            <w:r>
              <w:rPr>
                <w:rFonts w:ascii="Aptos" w:hAnsi="Aptos"/>
                <w:b w:val="0"/>
                <w:i w:val="0"/>
                <w:color w:val="1F2933"/>
                <w:sz w:val="18"/>
              </w:rPr>
              <w:t>Applications outside the five-system pilot</w:t>
            </w:r>
          </w:p>
        </w:tc>
      </w:tr>
      <w:tr>
        <w:tc>
          <w:tcPr>
            <w:tcW w:type="dxa" w:w="4910"/>
            <w:tcMar>
              <w:top w:w="80" w:type="dxa"/>
              <w:start w:w="120" w:type="dxa"/>
              <w:bottom w:w="80" w:type="dxa"/>
              <w:end w:w="120" w:type="dxa"/>
            </w:tcMar>
          </w:tcPr>
          <w:p>
            <w:r>
              <w:rPr>
                <w:rFonts w:ascii="Aptos" w:hAnsi="Aptos"/>
                <w:b w:val="0"/>
                <w:i w:val="0"/>
                <w:color w:val="1F2933"/>
                <w:sz w:val="18"/>
              </w:rPr>
              <w:t>Request, approval, status, fulfilment evidence and revocation request</w:t>
            </w:r>
          </w:p>
        </w:tc>
        <w:tc>
          <w:tcPr>
            <w:tcW w:type="dxa" w:w="4910"/>
            <w:tcMar>
              <w:top w:w="80" w:type="dxa"/>
              <w:start w:w="120" w:type="dxa"/>
              <w:bottom w:w="80" w:type="dxa"/>
              <w:end w:w="120" w:type="dxa"/>
            </w:tcMar>
          </w:tcPr>
          <w:p>
            <w:r>
              <w:rPr>
                <w:rFonts w:ascii="Aptos" w:hAnsi="Aptos"/>
                <w:b w:val="0"/>
                <w:i w:val="0"/>
                <w:color w:val="1F2933"/>
                <w:sz w:val="18"/>
              </w:rPr>
              <w:t>Automatic approval or automatic access provisioning</w:t>
            </w:r>
          </w:p>
        </w:tc>
      </w:tr>
      <w:tr>
        <w:tc>
          <w:tcPr>
            <w:tcW w:type="dxa" w:w="4910"/>
            <w:tcMar>
              <w:top w:w="80" w:type="dxa"/>
              <w:start w:w="120" w:type="dxa"/>
              <w:bottom w:w="80" w:type="dxa"/>
              <w:end w:w="120" w:type="dxa"/>
            </w:tcMar>
            <w:shd w:fill="F4F7FA"/>
          </w:tcPr>
          <w:p>
            <w:r>
              <w:rPr>
                <w:rFonts w:ascii="Aptos" w:hAnsi="Aptos"/>
                <w:b w:val="0"/>
                <w:i w:val="0"/>
                <w:color w:val="1F2933"/>
                <w:sz w:val="18"/>
              </w:rPr>
              <w:t>Suggested classification and clarification questions</w:t>
            </w:r>
          </w:p>
        </w:tc>
        <w:tc>
          <w:tcPr>
            <w:tcW w:type="dxa" w:w="4910"/>
            <w:tcMar>
              <w:top w:w="80" w:type="dxa"/>
              <w:start w:w="120" w:type="dxa"/>
              <w:bottom w:w="80" w:type="dxa"/>
              <w:end w:w="120" w:type="dxa"/>
            </w:tcMar>
            <w:shd w:fill="F4F7FA"/>
          </w:tcPr>
          <w:p>
            <w:r>
              <w:rPr>
                <w:rFonts w:ascii="Aptos" w:hAnsi="Aptos"/>
                <w:b w:val="0"/>
                <w:i w:val="0"/>
                <w:color w:val="1F2933"/>
                <w:sz w:val="18"/>
              </w:rPr>
              <w:t>AI-generated approval recommendations</w:t>
            </w:r>
          </w:p>
        </w:tc>
      </w:tr>
      <w:tr>
        <w:tc>
          <w:tcPr>
            <w:tcW w:type="dxa" w:w="4910"/>
            <w:tcMar>
              <w:top w:w="80" w:type="dxa"/>
              <w:start w:w="120" w:type="dxa"/>
              <w:bottom w:w="80" w:type="dxa"/>
              <w:end w:w="120" w:type="dxa"/>
            </w:tcMar>
          </w:tcPr>
          <w:p>
            <w:r>
              <w:rPr>
                <w:rFonts w:ascii="Aptos" w:hAnsi="Aptos"/>
                <w:b w:val="0"/>
                <w:i w:val="0"/>
                <w:color w:val="1F2933"/>
                <w:sz w:val="18"/>
              </w:rPr>
              <w:t>English interface for the pilot</w:t>
            </w:r>
          </w:p>
        </w:tc>
        <w:tc>
          <w:tcPr>
            <w:tcW w:type="dxa" w:w="4910"/>
            <w:tcMar>
              <w:top w:w="80" w:type="dxa"/>
              <w:start w:w="120" w:type="dxa"/>
              <w:bottom w:w="80" w:type="dxa"/>
              <w:end w:w="120" w:type="dxa"/>
            </w:tcMar>
          </w:tcPr>
          <w:p>
            <w:r>
              <w:rPr>
                <w:rFonts w:ascii="Aptos" w:hAnsi="Aptos"/>
                <w:b w:val="0"/>
                <w:i w:val="0"/>
                <w:color w:val="1F2933"/>
                <w:sz w:val="18"/>
              </w:rPr>
              <w:t>Danish localisation, which requires a later decision</w:t>
            </w:r>
          </w:p>
        </w:tc>
      </w:tr>
    </w:tbl>
    <w:p>
      <w:pPr>
        <w:pStyle w:val="Heading1"/>
      </w:pPr>
      <w:r>
        <w:t>Success measures requiring confirmation</w:t>
      </w:r>
    </w:p>
    <w:p>
      <w:pPr>
        <w:pStyle w:val="ListBullet"/>
      </w:pPr>
      <w:r>
        <w:t>Target time from complete request to first decision: not confirmed.</w:t>
      </w:r>
    </w:p>
    <w:p>
      <w:pPr>
        <w:pStyle w:val="ListBullet"/>
      </w:pPr>
      <w:r>
        <w:t>Target reduction in clarification messages: proposed 40%, not approved.</w:t>
      </w:r>
    </w:p>
    <w:p>
      <w:pPr>
        <w:pStyle w:val="ListBullet"/>
      </w:pPr>
      <w:r>
        <w:t>Target portal availability: proposed 99.5%, not approved.</w:t>
      </w:r>
    </w:p>
    <w:p>
      <w:pPr>
        <w:pStyle w:val="ListBullet"/>
      </w:pPr>
      <w:r>
        <w:t>Maximum request-form completion time: not defined.</w:t>
      </w:r>
    </w:p>
    <w:p>
      <w:pPr>
        <w:pStyle w:val="ListBullet"/>
      </w:pPr>
      <w:r>
        <w:t>Audit evidence retention: governed by the approved security policy.</w:t>
      </w:r>
    </w:p>
    <w:p>
      <w:pPr>
        <w:pStyle w:val="Heading1"/>
      </w:pPr>
      <w:r>
        <w:t>Decision authority</w:t>
      </w:r>
    </w:p>
    <w:tbl>
      <w:tblPr>
        <w:tblW w:type="dxa" w:w="9820"/>
        <w:jc w:val="left"/>
        <w:tblLayout w:type="fixed"/>
        <w:tblLook w:firstColumn="1" w:firstRow="1" w:lastColumn="0" w:lastRow="0" w:noHBand="0" w:noVBand="1" w:val="04A0"/>
        <w:tblInd w:w="120" w:type="dxa"/>
        <w:tblBorders>
          <w:top w:val="single" w:sz="6" w:color="D5DEE8"/>
          <w:left w:val="single" w:sz="6" w:color="D5DEE8"/>
          <w:bottom w:val="single" w:sz="6" w:color="D5DEE8"/>
          <w:right w:val="single" w:sz="6" w:color="D5DEE8"/>
          <w:insideH w:val="single" w:sz="6" w:color="D5DEE8"/>
          <w:insideV w:val="single" w:sz="6" w:color="D5DEE8"/>
        </w:tblBorders>
      </w:tblPr>
      <w:tblGrid>
        <w:gridCol w:w="4939"/>
        <w:gridCol w:w="4939"/>
      </w:tblGrid>
      <w:tr>
        <w:trPr>
          <w:tblHeader w:val="true"/>
        </w:trPr>
        <w:tc>
          <w:tcPr>
            <w:tcW w:type="dxa" w:w="4320"/>
            <w:tcMar>
              <w:top w:w="80" w:type="dxa"/>
              <w:start w:w="120" w:type="dxa"/>
              <w:bottom w:w="80" w:type="dxa"/>
              <w:end w:w="120" w:type="dxa"/>
            </w:tcMar>
            <w:shd w:fill="102A43"/>
          </w:tcPr>
          <w:p>
            <w:r>
              <w:rPr>
                <w:rFonts w:ascii="Aptos" w:hAnsi="Aptos"/>
                <w:b/>
                <w:i w:val="0"/>
                <w:color w:val="FFFFFF"/>
                <w:sz w:val="17"/>
              </w:rPr>
              <w:t>Domain</w:t>
            </w:r>
          </w:p>
        </w:tc>
        <w:tc>
          <w:tcPr>
            <w:tcW w:type="dxa" w:w="5501"/>
            <w:tcMar>
              <w:top w:w="80" w:type="dxa"/>
              <w:start w:w="120" w:type="dxa"/>
              <w:bottom w:w="80" w:type="dxa"/>
              <w:end w:w="120" w:type="dxa"/>
            </w:tcMar>
            <w:shd w:fill="102A43"/>
          </w:tcPr>
          <w:p>
            <w:r>
              <w:rPr>
                <w:rFonts w:ascii="Aptos" w:hAnsi="Aptos"/>
                <w:b/>
                <w:i w:val="0"/>
                <w:color w:val="FFFFFF"/>
                <w:sz w:val="17"/>
              </w:rPr>
              <w:t>Decision owner</w:t>
            </w:r>
          </w:p>
        </w:tc>
      </w:tr>
      <w:tr>
        <w:tc>
          <w:tcPr>
            <w:tcW w:type="dxa" w:w="4320"/>
            <w:tcMar>
              <w:top w:w="80" w:type="dxa"/>
              <w:start w:w="120" w:type="dxa"/>
              <w:bottom w:w="80" w:type="dxa"/>
              <w:end w:w="120" w:type="dxa"/>
            </w:tcMar>
          </w:tcPr>
          <w:p>
            <w:r>
              <w:rPr>
                <w:rFonts w:ascii="Aptos" w:hAnsi="Aptos"/>
                <w:b w:val="0"/>
                <w:i w:val="0"/>
                <w:color w:val="1F2933"/>
                <w:sz w:val="18"/>
              </w:rPr>
              <w:t>MVP scope and funding</w:t>
            </w:r>
          </w:p>
        </w:tc>
        <w:tc>
          <w:tcPr>
            <w:tcW w:type="dxa" w:w="5501"/>
            <w:tcMar>
              <w:top w:w="80" w:type="dxa"/>
              <w:start w:w="120" w:type="dxa"/>
              <w:bottom w:w="80" w:type="dxa"/>
              <w:end w:w="120" w:type="dxa"/>
            </w:tcMar>
          </w:tcPr>
          <w:p>
            <w:r>
              <w:rPr>
                <w:rFonts w:ascii="Aptos" w:hAnsi="Aptos"/>
                <w:b w:val="0"/>
                <w:i w:val="0"/>
                <w:color w:val="1F2933"/>
                <w:sz w:val="18"/>
              </w:rPr>
              <w:t>Maya Chen - Project Sponsor</w:t>
            </w:r>
          </w:p>
        </w:tc>
      </w:tr>
      <w:tr>
        <w:tc>
          <w:tcPr>
            <w:tcW w:type="dxa" w:w="4320"/>
            <w:tcMar>
              <w:top w:w="80" w:type="dxa"/>
              <w:start w:w="120" w:type="dxa"/>
              <w:bottom w:w="80" w:type="dxa"/>
              <w:end w:w="120" w:type="dxa"/>
            </w:tcMar>
            <w:shd w:fill="F4F7FA"/>
          </w:tcPr>
          <w:p>
            <w:r>
              <w:rPr>
                <w:rFonts w:ascii="Aptos" w:hAnsi="Aptos"/>
                <w:b w:val="0"/>
                <w:i w:val="0"/>
                <w:color w:val="1F2933"/>
                <w:sz w:val="18"/>
              </w:rPr>
              <w:t>Security control and privileged approval</w:t>
            </w:r>
          </w:p>
        </w:tc>
        <w:tc>
          <w:tcPr>
            <w:tcW w:type="dxa" w:w="5501"/>
            <w:tcMar>
              <w:top w:w="80" w:type="dxa"/>
              <w:start w:w="120" w:type="dxa"/>
              <w:bottom w:w="80" w:type="dxa"/>
              <w:end w:w="120" w:type="dxa"/>
            </w:tcMar>
            <w:shd w:fill="F4F7FA"/>
          </w:tcPr>
          <w:p>
            <w:r>
              <w:rPr>
                <w:rFonts w:ascii="Aptos" w:hAnsi="Aptos"/>
                <w:b w:val="0"/>
                <w:i w:val="0"/>
                <w:color w:val="1F2933"/>
                <w:sz w:val="18"/>
              </w:rPr>
              <w:t>Omar Rahman - Security Lead</w:t>
            </w:r>
          </w:p>
        </w:tc>
      </w:tr>
      <w:tr>
        <w:tc>
          <w:tcPr>
            <w:tcW w:type="dxa" w:w="4320"/>
            <w:tcMar>
              <w:top w:w="80" w:type="dxa"/>
              <w:start w:w="120" w:type="dxa"/>
              <w:bottom w:w="80" w:type="dxa"/>
              <w:end w:w="120" w:type="dxa"/>
            </w:tcMar>
          </w:tcPr>
          <w:p>
            <w:r>
              <w:rPr>
                <w:rFonts w:ascii="Aptos" w:hAnsi="Aptos"/>
                <w:b w:val="0"/>
                <w:i w:val="0"/>
                <w:color w:val="1F2933"/>
                <w:sz w:val="18"/>
              </w:rPr>
              <w:t>Service Desk operating model</w:t>
            </w:r>
          </w:p>
        </w:tc>
        <w:tc>
          <w:tcPr>
            <w:tcW w:type="dxa" w:w="5501"/>
            <w:tcMar>
              <w:top w:w="80" w:type="dxa"/>
              <w:start w:w="120" w:type="dxa"/>
              <w:bottom w:w="80" w:type="dxa"/>
              <w:end w:w="120" w:type="dxa"/>
            </w:tcMar>
          </w:tcPr>
          <w:p>
            <w:r>
              <w:rPr>
                <w:rFonts w:ascii="Aptos" w:hAnsi="Aptos"/>
                <w:b w:val="0"/>
                <w:i w:val="0"/>
                <w:color w:val="1F2933"/>
                <w:sz w:val="18"/>
              </w:rPr>
              <w:t>Anna Larsen - Service Desk Manager</w:t>
            </w:r>
          </w:p>
        </w:tc>
      </w:tr>
      <w:tr>
        <w:tc>
          <w:tcPr>
            <w:tcW w:type="dxa" w:w="4320"/>
            <w:tcMar>
              <w:top w:w="80" w:type="dxa"/>
              <w:start w:w="120" w:type="dxa"/>
              <w:bottom w:w="80" w:type="dxa"/>
              <w:end w:w="120" w:type="dxa"/>
            </w:tcMar>
            <w:shd w:fill="F4F7FA"/>
          </w:tcPr>
          <w:p>
            <w:r>
              <w:rPr>
                <w:rFonts w:ascii="Aptos" w:hAnsi="Aptos"/>
                <w:b w:val="0"/>
                <w:i w:val="0"/>
                <w:color w:val="1F2933"/>
                <w:sz w:val="18"/>
              </w:rPr>
              <w:t>Joiner data and start-date process</w:t>
            </w:r>
          </w:p>
        </w:tc>
        <w:tc>
          <w:tcPr>
            <w:tcW w:type="dxa" w:w="5501"/>
            <w:tcMar>
              <w:top w:w="80" w:type="dxa"/>
              <w:start w:w="120" w:type="dxa"/>
              <w:bottom w:w="80" w:type="dxa"/>
              <w:end w:w="120" w:type="dxa"/>
            </w:tcMar>
            <w:shd w:fill="F4F7FA"/>
          </w:tcPr>
          <w:p>
            <w:r>
              <w:rPr>
                <w:rFonts w:ascii="Aptos" w:hAnsi="Aptos"/>
                <w:b w:val="0"/>
                <w:i w:val="0"/>
                <w:color w:val="1F2933"/>
                <w:sz w:val="18"/>
              </w:rPr>
              <w:t>Eva Sorensen - HR Operations Lead</w:t>
            </w:r>
          </w:p>
        </w:tc>
      </w:tr>
      <w:tr>
        <w:tc>
          <w:tcPr>
            <w:tcW w:type="dxa" w:w="4320"/>
            <w:tcMar>
              <w:top w:w="80" w:type="dxa"/>
              <w:start w:w="120" w:type="dxa"/>
              <w:bottom w:w="80" w:type="dxa"/>
              <w:end w:w="120" w:type="dxa"/>
            </w:tcMar>
          </w:tcPr>
          <w:p>
            <w:r>
              <w:rPr>
                <w:rFonts w:ascii="Aptos" w:hAnsi="Aptos"/>
                <w:b w:val="0"/>
                <w:i w:val="0"/>
                <w:color w:val="1F2933"/>
                <w:sz w:val="18"/>
              </w:rPr>
              <w:t>Application integration feasibility</w:t>
            </w:r>
          </w:p>
        </w:tc>
        <w:tc>
          <w:tcPr>
            <w:tcW w:type="dxa" w:w="5501"/>
            <w:tcMar>
              <w:top w:w="80" w:type="dxa"/>
              <w:start w:w="120" w:type="dxa"/>
              <w:bottom w:w="80" w:type="dxa"/>
              <w:end w:w="120" w:type="dxa"/>
            </w:tcMar>
          </w:tcPr>
          <w:p>
            <w:r>
              <w:rPr>
                <w:rFonts w:ascii="Aptos" w:hAnsi="Aptos"/>
                <w:b w:val="0"/>
                <w:i w:val="0"/>
                <w:color w:val="1F2933"/>
                <w:sz w:val="18"/>
              </w:rPr>
              <w:t>Leo Martins - Integration Lead</w:t>
            </w:r>
          </w:p>
        </w:tc>
      </w:tr>
      <w:tr>
        <w:tc>
          <w:tcPr>
            <w:tcW w:type="dxa" w:w="4320"/>
            <w:tcMar>
              <w:top w:w="80" w:type="dxa"/>
              <w:start w:w="120" w:type="dxa"/>
              <w:bottom w:w="80" w:type="dxa"/>
              <w:end w:w="120" w:type="dxa"/>
            </w:tcMar>
            <w:shd w:fill="F4F7FA"/>
          </w:tcPr>
          <w:p>
            <w:r>
              <w:rPr>
                <w:rFonts w:ascii="Aptos" w:hAnsi="Aptos"/>
                <w:b w:val="0"/>
                <w:i w:val="0"/>
                <w:color w:val="1F2933"/>
                <w:sz w:val="18"/>
              </w:rPr>
              <w:t>Retention and audit interpretation</w:t>
            </w:r>
          </w:p>
        </w:tc>
        <w:tc>
          <w:tcPr>
            <w:tcW w:type="dxa" w:w="5501"/>
            <w:tcMar>
              <w:top w:w="80" w:type="dxa"/>
              <w:start w:w="120" w:type="dxa"/>
              <w:bottom w:w="80" w:type="dxa"/>
              <w:end w:w="120" w:type="dxa"/>
            </w:tcMar>
            <w:shd w:fill="F4F7FA"/>
          </w:tcPr>
          <w:p>
            <w:r>
              <w:rPr>
                <w:rFonts w:ascii="Aptos" w:hAnsi="Aptos"/>
                <w:b w:val="0"/>
                <w:i w:val="0"/>
                <w:color w:val="1F2933"/>
                <w:sz w:val="18"/>
              </w:rPr>
              <w:t>Nina Patel - Compliance Owner</w:t>
            </w:r>
          </w:p>
        </w:tc>
      </w:tr>
    </w:tbl>
    <w:p>
      <w:pPr>
        <w:pStyle w:val="Heading1"/>
      </w:pPr>
      <w:r>
        <w:t>Discovery deliverables</w:t>
      </w:r>
    </w:p>
    <w:p>
      <w:pPr>
        <w:pStyle w:val="ListNumber"/>
      </w:pPr>
      <w:r>
        <w:t>Source inventory and evidence map</w:t>
      </w:r>
    </w:p>
    <w:p>
      <w:pPr>
        <w:pStyle w:val="ListNumber"/>
      </w:pPr>
      <w:r>
        <w:t>Candidate requirements with citations</w:t>
      </w:r>
    </w:p>
    <w:p>
      <w:pPr>
        <w:pStyle w:val="ListNumber"/>
      </w:pPr>
      <w:r>
        <w:t>Conflict and open-question log</w:t>
      </w:r>
    </w:p>
    <w:p>
      <w:pPr>
        <w:pStyle w:val="ListNumber"/>
      </w:pPr>
      <w:r>
        <w:t>Requirements quality review</w:t>
      </w:r>
    </w:p>
    <w:p>
      <w:pPr>
        <w:pStyle w:val="ListNumber"/>
      </w:pPr>
      <w:r>
        <w:t>Human-approved changes to the controlled requirements register</w:t>
      </w:r>
    </w:p>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27D98"/>
        <w:sz w:val="16"/>
      </w:rPr>
      <w:t>DATech  |  Participant workshop material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8208"/>
      <w:gridCol w:w="1613"/>
    </w:tblGrid>
    <w:tr>
      <w:tc>
        <w:tcPr>
          <w:tcW w:type="dxa" w:w="4910"/>
          <w:vAlign w:val="center"/>
          <w:tcMar>
            <w:top w:w="0" w:type="dxa"/>
            <w:start w:w="0" w:type="dxa"/>
            <w:bottom w:w="0" w:type="dxa"/>
            <w:end w:w="0" w:type="dxa"/>
          </w:tcMar>
        </w:tcPr>
        <w:p>
          <w:pPr>
            <w:jc w:val="left"/>
          </w:pPr>
          <w:r>
            <w:rPr>
              <w:rFonts w:ascii="Aptos" w:hAnsi="Aptos"/>
              <w:b/>
              <w:i w:val="0"/>
              <w:color w:val="627D98"/>
              <w:sz w:val="17"/>
            </w:rPr>
            <w:t>Microsoft Copilot Labs  |  Lab 9 Project Nova business brief</w:t>
          </w:r>
        </w:p>
      </w:tc>
      <w:tc>
        <w:tcPr>
          <w:tcW w:type="dxa" w:w="4910"/>
          <w:vAlign w:val="center"/>
          <w:tcMar>
            <w:top w:w="0" w:type="dxa"/>
            <w:start w:w="0" w:type="dxa"/>
            <w:bottom w:w="0" w:type="dxa"/>
            <w:end w:w="0" w:type="dxa"/>
          </w:tcMar>
        </w:tcPr>
        <w:p>
          <w:pPr>
            <w:jc w:val="right"/>
          </w:pPr>
          <w:r>
            <w:drawing>
              <wp:inline xmlns:a="http://schemas.openxmlformats.org/drawingml/2006/main" xmlns:pic="http://schemas.openxmlformats.org/drawingml/2006/picture">
                <wp:extent cx="713232" cy="364909"/>
                <wp:docPr id="1" name="Picture 1"/>
                <wp:cNvGraphicFramePr>
                  <a:graphicFrameLocks noChangeAspect="1"/>
                </wp:cNvGraphicFramePr>
                <a:graphic>
                  <a:graphicData uri="http://schemas.openxmlformats.org/drawingml/2006/picture">
                    <pic:pic>
                      <pic:nvPicPr>
                        <pic:cNvPr id="0" name="DATech logo copy.jpg"/>
                        <pic:cNvPicPr/>
                      </pic:nvPicPr>
                      <pic:blipFill>
                        <a:blip r:embed="rId1"/>
                        <a:stretch>
                          <a:fillRect/>
                        </a:stretch>
                      </pic:blipFill>
                      <pic:spPr>
                        <a:xfrm>
                          <a:off x="0" y="0"/>
                          <a:ext cx="713232" cy="364909"/>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865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18"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18"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