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ptos" w:hAnsi="Aptos"/>
          <w:b/>
          <w:i w:val="0"/>
          <w:color w:val="2563EB"/>
          <w:sz w:val="18"/>
        </w:rPr>
        <w:t>LAB 9 SOURCE DOCUMENT</w:t>
      </w:r>
    </w:p>
    <w:p>
      <w:pPr>
        <w:spacing w:after="100"/>
      </w:pPr>
      <w:r>
        <w:rPr>
          <w:rFonts w:ascii="Aptos" w:hAnsi="Aptos"/>
          <w:b/>
          <w:i w:val="0"/>
          <w:color w:val="102A43"/>
          <w:sz w:val="52"/>
        </w:rPr>
        <w:t>Project Nova - Current Access Request Process</w:t>
      </w:r>
    </w:p>
    <w:p>
      <w:pPr>
        <w:spacing w:after="300"/>
      </w:pPr>
      <w:r>
        <w:rPr>
          <w:rFonts w:ascii="Aptos" w:hAnsi="Aptos"/>
          <w:b w:val="0"/>
          <w:i w:val="0"/>
          <w:color w:val="486581"/>
          <w:sz w:val="25"/>
        </w:rPr>
        <w:t>Observed current-state steps, exceptions and known evidence gaps.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9F2"/>
          <w:left w:val="single" w:sz="6" w:color="C9D9F2"/>
          <w:bottom w:val="single" w:sz="6" w:color="C9D9F2"/>
          <w:right w:val="single" w:sz="6" w:color="C9D9F2"/>
          <w:insideH w:val="single" w:sz="6" w:color="C9D9F2"/>
          <w:insideV w:val="single" w:sz="6" w:color="C9D9F2"/>
        </w:tblBorders>
      </w:tblPr>
      <w:tblGrid>
        <w:gridCol w:w="3293"/>
        <w:gridCol w:w="3293"/>
        <w:gridCol w:w="3293"/>
      </w:tblGrid>
      <w:tr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OWNER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Service Desk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VERSION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1.2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REVIEWED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18 Aug 2026</w:t>
            </w:r>
          </w:p>
        </w:tc>
      </w:tr>
    </w:tbl>
    <w:p>
      <w:pPr>
        <w:spacing w:after="4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FF5D6"/>
          <w:left w:val="single" w:sz="6" w:color="FFF5D6"/>
          <w:bottom w:val="single" w:sz="6" w:color="FFF5D6"/>
          <w:right w:val="single" w:sz="6" w:color="FFF5D6"/>
          <w:insideH w:val="single" w:sz="6" w:color="FFF5D6"/>
          <w:insideV w:val="single" w:sz="6" w:color="FFF5D6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7"/>
              </w:rPr>
              <w:t>IMPORTANT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This document describes the current process. Current practice is not automatically an approved future-state requirement.</w:t>
            </w:r>
          </w:p>
        </w:tc>
      </w:tr>
    </w:tbl>
    <w:p>
      <w:pPr>
        <w:spacing w:after="20"/>
      </w:pPr>
    </w:p>
    <w:p>
      <w:pPr>
        <w:pStyle w:val="Heading1"/>
      </w:pPr>
      <w:r>
        <w:t>Current process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Activity</w:t>
            </w:r>
          </w:p>
        </w:tc>
        <w:tc>
          <w:tcPr>
            <w:tcW w:type="dxa" w:w="6941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Current behaviour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1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Request submitted</w:t>
            </w:r>
          </w:p>
        </w:tc>
        <w:tc>
          <w:tcPr>
            <w:tcW w:type="dxa" w:w="694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Employee, manager or HR emails the Service Desk. Required information differs by sender.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Manual clarification</w:t>
            </w:r>
          </w:p>
        </w:tc>
        <w:tc>
          <w:tcPr>
            <w:tcW w:type="dxa" w:w="694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An analyst asks for manager, application, access level, start date and business reason.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Approval routing</w:t>
            </w:r>
          </w:p>
        </w:tc>
        <w:tc>
          <w:tcPr>
            <w:tcW w:type="dxa" w:w="694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Standard access normally goes to the line manager. Privileged access is inconsistently routed to Security or an application owner.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4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Fulfilment</w:t>
            </w:r>
          </w:p>
        </w:tc>
        <w:tc>
          <w:tcPr>
            <w:tcW w:type="dxa" w:w="694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The analyst creates or forwards a ticket. Some applications are updated manually outside ServiceNow.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5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Requester notification</w:t>
            </w:r>
          </w:p>
        </w:tc>
        <w:tc>
          <w:tcPr>
            <w:tcW w:type="dxa" w:w="694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The requester receives an email when the analyst believes access is ready.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Evidence storage</w:t>
            </w:r>
          </w:p>
        </w:tc>
        <w:tc>
          <w:tcPr>
            <w:tcW w:type="dxa" w:w="694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Email and ticket history are retained. A legacy work instruction says three years, but its approval status is unclear.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7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Revocation</w:t>
            </w:r>
          </w:p>
        </w:tc>
        <w:tc>
          <w:tcPr>
            <w:tcW w:type="dxa" w:w="694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Managers email the Service Desk. HR termination information is not consistently linked to open access.</w:t>
            </w:r>
          </w:p>
        </w:tc>
      </w:tr>
    </w:tbl>
    <w:p>
      <w:pPr>
        <w:pStyle w:val="Heading1"/>
      </w:pPr>
      <w:r>
        <w:t>Observed exceptions</w:t>
      </w:r>
    </w:p>
    <w:p>
      <w:pPr>
        <w:pStyle w:val="ListBullet"/>
      </w:pPr>
      <w:r>
        <w:t>A contractor can have more than one sponsor.</w:t>
      </w:r>
    </w:p>
    <w:p>
      <w:pPr>
        <w:pStyle w:val="ListBullet"/>
      </w:pPr>
      <w:r>
        <w:t>An urgent request may arrive after the worker has started.</w:t>
      </w:r>
    </w:p>
    <w:p>
      <w:pPr>
        <w:pStyle w:val="ListBullet"/>
      </w:pPr>
      <w:r>
        <w:t>A manager can request access but cannot approve their own privileged access.</w:t>
      </w:r>
    </w:p>
    <w:p>
      <w:pPr>
        <w:pStyle w:val="ListBullet"/>
      </w:pPr>
      <w:r>
        <w:t>FinanceHub has no confirmed real-time provisioning interface.</w:t>
      </w:r>
    </w:p>
    <w:p>
      <w:pPr>
        <w:pStyle w:val="ListBullet"/>
      </w:pPr>
      <w:r>
        <w:t>Power BI workspace access sometimes requires a tenant administrator.</w:t>
      </w:r>
    </w:p>
    <w:p>
      <w:pPr>
        <w:pStyle w:val="ListBullet"/>
      </w:pPr>
      <w:r>
        <w:t>The same user may need standard access to one application and privileged access to another.</w:t>
      </w:r>
    </w:p>
    <w:p>
      <w:pPr>
        <w:pStyle w:val="Heading1"/>
      </w:pPr>
      <w:r>
        <w:t>Known data-quality problems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Problem</w:t>
            </w:r>
          </w:p>
        </w:tc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Application names entered differently</w:t>
            </w:r>
          </w:p>
        </w:tc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Duplicate requests and incorrect routing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No consistent access-level field</w:t>
            </w:r>
          </w:p>
        </w:tc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Privileged access may be treated as standard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Start date written in free text</w:t>
            </w:r>
          </w:p>
        </w:tc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Sorting and deadline monitoring are unreliable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Approval evidence stored in email</w:t>
            </w:r>
          </w:p>
        </w:tc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Audit evidence is difficult to reconstruct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Owner fields frequently blank</w:t>
            </w:r>
          </w:p>
        </w:tc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Actions are not clearly accountable</w:t>
            </w:r>
          </w:p>
        </w:tc>
      </w:tr>
    </w:tbl>
    <w:p>
      <w:pPr>
        <w:pStyle w:val="Heading1"/>
      </w:pPr>
      <w:r>
        <w:t>Unverified current assumptions</w:t>
      </w:r>
    </w:p>
    <w:p>
      <w:pPr>
        <w:pStyle w:val="ListBullet"/>
      </w:pPr>
      <w:r>
        <w:t>All access evidence must be retained for three years.</w:t>
      </w:r>
    </w:p>
    <w:p>
      <w:pPr>
        <w:pStyle w:val="ListBullet"/>
      </w:pPr>
      <w:r>
        <w:t>One manager approval is enough for every request.</w:t>
      </w:r>
    </w:p>
    <w:p>
      <w:pPr>
        <w:pStyle w:val="ListBullet"/>
      </w:pPr>
      <w:r>
        <w:t>All five pilot applications can receive updates through an API.</w:t>
      </w:r>
    </w:p>
    <w:p>
      <w:pPr>
        <w:pStyle w:val="ListBullet"/>
      </w:pPr>
      <w:r>
        <w:t>English-only communication will be sufficient after the pilot.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7D98"/>
        <w:sz w:val="16"/>
      </w:rPr>
      <w:t>DATech  |  Participant workshop material  |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8208"/>
      <w:gridCol w:w="1613"/>
    </w:tblGrid>
    <w:tr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/>
              <w:b/>
              <w:i w:val="0"/>
              <w:color w:val="627D98"/>
              <w:sz w:val="17"/>
            </w:rPr>
            <w:t>Microsoft Copilot Labs  |  Lab 9 Project Nova current process</w:t>
          </w:r>
        </w:p>
      </w:tc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13232" cy="36490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 logo copy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36490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5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