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Aptos" w:hAnsi="Aptos"/>
          <w:b/>
          <w:i w:val="0"/>
          <w:color w:val="2563EB"/>
          <w:sz w:val="18"/>
        </w:rPr>
        <w:t>LAB 9 EVIDENCE SOURCE</w:t>
      </w:r>
    </w:p>
    <w:p>
      <w:pPr>
        <w:spacing w:after="100"/>
      </w:pPr>
      <w:r>
        <w:rPr>
          <w:rFonts w:ascii="Aptos" w:hAnsi="Aptos"/>
          <w:b/>
          <w:i w:val="0"/>
          <w:color w:val="102A43"/>
          <w:sz w:val="52"/>
        </w:rPr>
        <w:t>Project Nova - Stakeholder Interview Notes</w:t>
      </w:r>
    </w:p>
    <w:p>
      <w:pPr>
        <w:spacing w:after="300"/>
      </w:pPr>
      <w:r>
        <w:rPr>
          <w:rFonts w:ascii="Aptos" w:hAnsi="Aptos"/>
          <w:b w:val="0"/>
          <w:i w:val="0"/>
          <w:color w:val="486581"/>
          <w:sz w:val="25"/>
        </w:rPr>
        <w:t>Unapproved discovery statements from five stakeholder interviews.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9F2"/>
          <w:left w:val="single" w:sz="6" w:color="C9D9F2"/>
          <w:bottom w:val="single" w:sz="6" w:color="C9D9F2"/>
          <w:right w:val="single" w:sz="6" w:color="C9D9F2"/>
          <w:insideH w:val="single" w:sz="6" w:color="C9D9F2"/>
          <w:insideV w:val="single" w:sz="6" w:color="C9D9F2"/>
        </w:tblBorders>
      </w:tblPr>
      <w:tblGrid>
        <w:gridCol w:w="3293"/>
        <w:gridCol w:w="3293"/>
        <w:gridCol w:w="3293"/>
      </w:tblGrid>
      <w:tr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INTERVIEWS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PERIOD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19-24 Aug</w:t>
            </w:r>
          </w:p>
        </w:tc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STATUS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Working evidence</w:t>
            </w:r>
          </w:p>
        </w:tc>
      </w:tr>
    </w:tbl>
    <w:p>
      <w:pPr>
        <w:spacing w:after="40"/>
      </w:pP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FDECEC"/>
          <w:left w:val="single" w:sz="6" w:color="FDECEC"/>
          <w:bottom w:val="single" w:sz="6" w:color="FDECEC"/>
          <w:right w:val="single" w:sz="6" w:color="FDECEC"/>
          <w:insideH w:val="single" w:sz="6" w:color="FDECEC"/>
          <w:insideV w:val="single" w:sz="6" w:color="FDECEC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r>
              <w:rPr>
                <w:rFonts w:ascii="Aptos" w:hAnsi="Aptos"/>
                <w:b/>
                <w:i w:val="0"/>
                <w:color w:val="A33A3A"/>
                <w:sz w:val="17"/>
              </w:rPr>
              <w:t>EVIDENCE RULE</w:t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A stakeholder statement can explain a need or propose a solution. It becomes an approved requirement only after the authorised owner confirms it.</w:t>
            </w:r>
          </w:p>
        </w:tc>
      </w:tr>
    </w:tbl>
    <w:p>
      <w:pPr>
        <w:spacing w:after="20"/>
      </w:pPr>
    </w:p>
    <w:p>
      <w:pPr>
        <w:pStyle w:val="Heading2"/>
      </w:pPr>
      <w:r>
        <w:t>INT-01: Anna Larsen - Service Desk Manager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E1EA"/>
          <w:left w:val="single" w:sz="6" w:color="D8E1EA"/>
          <w:bottom w:val="single" w:sz="6" w:color="D8E1EA"/>
          <w:right w:val="single" w:sz="6" w:color="D8E1EA"/>
          <w:insideH w:val="single" w:sz="6" w:color="D8E1EA"/>
          <w:insideV w:val="single" w:sz="6" w:color="D8E1EA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We need all requests in one queue. Analysts lose time searching email and Teams.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A complete standard request should be decided within one business day. I cannot confirm whether that is realistic for privileged access.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I would like the portal to choose the correct approver automatically, but Security must define the rules.</w:t>
            </w:r>
          </w:p>
        </w:tc>
      </w:tr>
    </w:tbl>
    <w:p>
      <w:pPr>
        <w:pStyle w:val="Heading2"/>
      </w:pPr>
      <w:r>
        <w:t>INT-02: Omar Rahman - Security Lead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E1EA"/>
          <w:left w:val="single" w:sz="6" w:color="D8E1EA"/>
          <w:bottom w:val="single" w:sz="6" w:color="D8E1EA"/>
          <w:right w:val="single" w:sz="6" w:color="D8E1EA"/>
          <w:insideH w:val="single" w:sz="6" w:color="D8E1EA"/>
          <w:insideV w:val="single" w:sz="6" w:color="D8E1EA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Privileged access requires both application-owner and Security approval. The requester must use MFA, and privileged sessions must time out after 15 minutes of inactivity.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Standard sessions may use a longer timeout, but I do not own that user-experience decision.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No AI system should approve access or recommend approval in the MVP.</w:t>
            </w:r>
          </w:p>
        </w:tc>
      </w:tr>
    </w:tbl>
    <w:p>
      <w:pPr>
        <w:pStyle w:val="Heading2"/>
      </w:pPr>
      <w:r>
        <w:t>INT-03: Eva Sorensen - HR Operations Lead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E1EA"/>
          <w:left w:val="single" w:sz="6" w:color="D8E1EA"/>
          <w:bottom w:val="single" w:sz="6" w:color="D8E1EA"/>
          <w:right w:val="single" w:sz="6" w:color="D8E1EA"/>
          <w:insideH w:val="single" w:sz="6" w:color="D8E1EA"/>
          <w:insideV w:val="single" w:sz="6" w:color="D8E1EA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New starters should have access on their first day. HR can provide worker ID, worker type, start date, manager and contract end date.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I suggested that the portal predict likely access from job title. That would be helpful, but I do not know whether it is inside the MVP.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Contractor extensions are currently easy to miss.</w:t>
            </w:r>
          </w:p>
        </w:tc>
      </w:tr>
    </w:tbl>
    <w:p>
      <w:pPr>
        <w:pStyle w:val="Heading2"/>
      </w:pPr>
      <w:r>
        <w:t>INT-04: Leo Martins - Integration Lead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E1EA"/>
          <w:left w:val="single" w:sz="6" w:color="D8E1EA"/>
          <w:bottom w:val="single" w:sz="6" w:color="D8E1EA"/>
          <w:right w:val="single" w:sz="6" w:color="D8E1EA"/>
          <w:insideH w:val="single" w:sz="6" w:color="D8E1EA"/>
          <w:insideV w:val="single" w:sz="6" w:color="D8E1EA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ServiceNow and GitHub Enterprise have supported interfaces. HR Core can send a scheduled file. FinanceHub has no approved real-time API. Power BI access depends on tenant-administrator approval.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We can assess options, but I am not the owner of every application and cannot approve a workaround on their behalf.</w:t>
            </w:r>
          </w:p>
        </w:tc>
      </w:tr>
    </w:tbl>
    <w:p>
      <w:pPr>
        <w:pStyle w:val="Heading2"/>
      </w:pPr>
      <w:r>
        <w:t>INT-05: Nina Patel - Compliance Owner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E1EA"/>
          <w:left w:val="single" w:sz="6" w:color="D8E1EA"/>
          <w:bottom w:val="single" w:sz="6" w:color="D8E1EA"/>
          <w:right w:val="single" w:sz="6" w:color="D8E1EA"/>
          <w:insideH w:val="single" w:sz="6" w:color="D8E1EA"/>
          <w:insideV w:val="single" w:sz="6" w:color="D8E1EA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The current approved policy requires seven years of access-decision evidence. The three-year instruction is obsolete.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The record must show requester, subject, application, access level, approvers, decision, timestamps and fulfilment evidence.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I need Legal to confirm whether rejected requests follow the same retention period.</w:t>
            </w:r>
          </w:p>
        </w:tc>
      </w:tr>
    </w:tbl>
    <w:p>
      <w:pPr>
        <w:pStyle w:val="Heading1"/>
      </w:pPr>
      <w:r>
        <w:t>Participant reminder</w:t>
      </w:r>
    </w:p>
    <w:p>
      <w:pPr>
        <w:pStyle w:val="ListNumber"/>
      </w:pPr>
      <w:r>
        <w:t>Identify need statements separately from proposed solutions.</w:t>
      </w:r>
    </w:p>
    <w:p>
      <w:pPr>
        <w:pStyle w:val="ListNumber"/>
      </w:pPr>
      <w:r>
        <w:t>Do not assign authority based only on job title.</w:t>
      </w:r>
    </w:p>
    <w:p>
      <w:pPr>
        <w:pStyle w:val="ListNumber"/>
      </w:pPr>
      <w:r>
        <w:t>Find measurable criteria that are missing.</w:t>
      </w:r>
    </w:p>
    <w:p>
      <w:pPr>
        <w:pStyle w:val="ListNumber"/>
      </w:pPr>
      <w:r>
        <w:t>Preserve disagreements for human resolution.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27D98"/>
        <w:sz w:val="16"/>
      </w:rPr>
      <w:t>DATech  |  Participant workshop material  |  Synthetic data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8208"/>
      <w:gridCol w:w="1613"/>
    </w:tblGrid>
    <w:tr>
      <w:tc>
        <w:tcPr>
          <w:tcW w:type="dxa" w:w="491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ptos" w:hAnsi="Aptos"/>
              <w:b/>
              <w:i w:val="0"/>
              <w:color w:val="627D98"/>
              <w:sz w:val="17"/>
            </w:rPr>
            <w:t>Microsoft Copilot Labs  |  Lab 9 stakeholder interview notes</w:t>
          </w:r>
        </w:p>
      </w:tc>
      <w:tc>
        <w:tcPr>
          <w:tcW w:type="dxa" w:w="491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13232" cy="36490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Tech logo copy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36490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8658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18" w:hanging="259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18" w:hanging="259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